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F287A" w14:textId="67684CBF" w:rsidR="00C323E7" w:rsidRPr="00404255" w:rsidRDefault="00C323E7" w:rsidP="00C323E7">
      <w:pPr>
        <w:tabs>
          <w:tab w:val="right" w:pos="9360"/>
        </w:tabs>
        <w:autoSpaceDE w:val="0"/>
        <w:autoSpaceDN w:val="0"/>
        <w:adjustRightInd w:val="0"/>
        <w:spacing w:line="240" w:lineRule="auto"/>
        <w:ind w:firstLine="0"/>
        <w:rPr>
          <w:bCs/>
        </w:rPr>
      </w:pPr>
      <w:bookmarkStart w:id="0" w:name="_Hlk140673346"/>
      <w:r w:rsidRPr="00404255">
        <w:rPr>
          <w:bCs/>
        </w:rPr>
        <w:t>NO.</w:t>
      </w:r>
      <w:r>
        <w:rPr>
          <w:bCs/>
        </w:rPr>
        <w:t xml:space="preserve"> </w:t>
      </w:r>
      <w:r w:rsidR="008C6B51">
        <w:rPr>
          <w:bCs/>
        </w:rPr>
        <w:t>25-CI-002964</w:t>
      </w:r>
      <w:r>
        <w:rPr>
          <w:bCs/>
        </w:rPr>
        <w:tab/>
      </w:r>
      <w:r w:rsidRPr="00404255">
        <w:rPr>
          <w:bCs/>
        </w:rPr>
        <w:t>JEFFERSON CIRCUIT COURT</w:t>
      </w:r>
    </w:p>
    <w:p w14:paraId="2E209661" w14:textId="0036590A" w:rsidR="00C323E7" w:rsidRPr="00404255" w:rsidRDefault="00C323E7" w:rsidP="00C323E7">
      <w:pPr>
        <w:tabs>
          <w:tab w:val="right" w:pos="9360"/>
        </w:tabs>
        <w:autoSpaceDE w:val="0"/>
        <w:autoSpaceDN w:val="0"/>
        <w:adjustRightInd w:val="0"/>
        <w:spacing w:line="240" w:lineRule="auto"/>
        <w:rPr>
          <w:bCs/>
        </w:rPr>
      </w:pPr>
      <w:r w:rsidRPr="00404255">
        <w:rPr>
          <w:bCs/>
        </w:rPr>
        <w:tab/>
        <w:t>DIVISION</w:t>
      </w:r>
      <w:r>
        <w:rPr>
          <w:bCs/>
        </w:rPr>
        <w:t xml:space="preserve"> </w:t>
      </w:r>
      <w:r w:rsidR="006C3791">
        <w:rPr>
          <w:bCs/>
        </w:rPr>
        <w:t>FOUR (4)</w:t>
      </w:r>
      <w:r w:rsidRPr="00404255">
        <w:rPr>
          <w:bCs/>
        </w:rPr>
        <w:t xml:space="preserve"> </w:t>
      </w:r>
    </w:p>
    <w:p w14:paraId="3335DAB6" w14:textId="03FC3350" w:rsidR="00C323E7" w:rsidRDefault="00C323E7" w:rsidP="00C323E7">
      <w:pPr>
        <w:tabs>
          <w:tab w:val="right" w:pos="9360"/>
        </w:tabs>
        <w:autoSpaceDE w:val="0"/>
        <w:autoSpaceDN w:val="0"/>
        <w:adjustRightInd w:val="0"/>
        <w:spacing w:line="240" w:lineRule="auto"/>
        <w:rPr>
          <w:bCs/>
        </w:rPr>
      </w:pPr>
      <w:r w:rsidRPr="00404255">
        <w:rPr>
          <w:bCs/>
        </w:rPr>
        <w:tab/>
        <w:t>JUDGE</w:t>
      </w:r>
      <w:r>
        <w:rPr>
          <w:bCs/>
        </w:rPr>
        <w:t xml:space="preserve"> </w:t>
      </w:r>
      <w:r w:rsidR="006C3791">
        <w:rPr>
          <w:bCs/>
        </w:rPr>
        <w:t>JULIE KAELIN</w:t>
      </w:r>
      <w:r w:rsidRPr="00404255">
        <w:rPr>
          <w:bCs/>
        </w:rPr>
        <w:t xml:space="preserve"> </w:t>
      </w:r>
    </w:p>
    <w:p w14:paraId="341438EE" w14:textId="77777777" w:rsidR="00C323E7" w:rsidRPr="00712829" w:rsidRDefault="00C323E7" w:rsidP="00C323E7">
      <w:pPr>
        <w:spacing w:line="240" w:lineRule="auto"/>
        <w:rPr>
          <w:bCs/>
        </w:rPr>
      </w:pPr>
    </w:p>
    <w:p w14:paraId="06D8E0E0" w14:textId="77777777" w:rsidR="00C323E7" w:rsidRDefault="00C323E7" w:rsidP="00C323E7">
      <w:pPr>
        <w:tabs>
          <w:tab w:val="right" w:pos="9360"/>
        </w:tabs>
        <w:spacing w:line="240" w:lineRule="auto"/>
        <w:ind w:firstLine="0"/>
        <w:jc w:val="center"/>
        <w:rPr>
          <w:bCs/>
          <w:i/>
        </w:rPr>
      </w:pPr>
      <w:r w:rsidRPr="00B13AA9">
        <w:rPr>
          <w:bCs/>
          <w:i/>
        </w:rPr>
        <w:t>ELECTRONICALLY FILED</w:t>
      </w:r>
    </w:p>
    <w:p w14:paraId="49379FC1" w14:textId="77777777" w:rsidR="00C323E7" w:rsidRPr="00B13AA9" w:rsidRDefault="00C323E7" w:rsidP="00C323E7">
      <w:pPr>
        <w:tabs>
          <w:tab w:val="right" w:pos="9360"/>
        </w:tabs>
        <w:spacing w:line="240" w:lineRule="auto"/>
        <w:jc w:val="center"/>
        <w:rPr>
          <w:bCs/>
          <w:i/>
        </w:rPr>
      </w:pPr>
    </w:p>
    <w:p w14:paraId="75F899A9" w14:textId="77777777" w:rsidR="00C323E7" w:rsidRPr="00B55872" w:rsidRDefault="00C323E7" w:rsidP="00C323E7">
      <w:pPr>
        <w:tabs>
          <w:tab w:val="right" w:pos="9360"/>
        </w:tabs>
        <w:autoSpaceDE w:val="0"/>
        <w:autoSpaceDN w:val="0"/>
        <w:adjustRightInd w:val="0"/>
        <w:spacing w:line="240" w:lineRule="auto"/>
        <w:ind w:firstLine="0"/>
        <w:jc w:val="left"/>
        <w:rPr>
          <w:rFonts w:eastAsiaTheme="minorHAnsi"/>
          <w:bCs/>
          <w:kern w:val="2"/>
        </w:rPr>
      </w:pPr>
    </w:p>
    <w:p w14:paraId="7F6CEC21" w14:textId="44A6EAE9" w:rsidR="00F92D5E" w:rsidRDefault="00544C40" w:rsidP="00544C40">
      <w:pPr>
        <w:tabs>
          <w:tab w:val="right" w:pos="9360"/>
        </w:tabs>
        <w:autoSpaceDE w:val="0"/>
        <w:autoSpaceDN w:val="0"/>
        <w:adjustRightInd w:val="0"/>
        <w:spacing w:line="240" w:lineRule="auto"/>
        <w:ind w:firstLine="0"/>
        <w:jc w:val="left"/>
        <w:rPr>
          <w:rFonts w:eastAsiaTheme="minorHAnsi"/>
          <w:bCs/>
          <w:kern w:val="2"/>
        </w:rPr>
      </w:pPr>
      <w:bookmarkStart w:id="1" w:name="_Hlk195783951"/>
      <w:r w:rsidRPr="00B55872">
        <w:rPr>
          <w:rFonts w:eastAsiaTheme="minorHAnsi"/>
          <w:bCs/>
          <w:kern w:val="2"/>
        </w:rPr>
        <w:t>CHARLES TINKER, INDIVIDUALLY AND</w:t>
      </w:r>
    </w:p>
    <w:p w14:paraId="6AE2E8D5" w14:textId="0DA1FF1C" w:rsidR="00F92D5E" w:rsidRDefault="00544C40" w:rsidP="00544C40">
      <w:pPr>
        <w:tabs>
          <w:tab w:val="right" w:pos="9360"/>
        </w:tabs>
        <w:autoSpaceDE w:val="0"/>
        <w:autoSpaceDN w:val="0"/>
        <w:adjustRightInd w:val="0"/>
        <w:spacing w:line="240" w:lineRule="auto"/>
        <w:ind w:firstLine="0"/>
        <w:jc w:val="left"/>
        <w:rPr>
          <w:rFonts w:eastAsiaTheme="minorHAnsi"/>
          <w:bCs/>
          <w:kern w:val="2"/>
        </w:rPr>
      </w:pPr>
      <w:r w:rsidRPr="00B55872">
        <w:rPr>
          <w:rFonts w:eastAsiaTheme="minorHAnsi"/>
          <w:bCs/>
          <w:kern w:val="2"/>
        </w:rPr>
        <w:t>AS EXECUTOR</w:t>
      </w:r>
      <w:r w:rsidR="00F92D5E">
        <w:rPr>
          <w:rFonts w:eastAsiaTheme="minorHAnsi"/>
          <w:bCs/>
          <w:kern w:val="2"/>
        </w:rPr>
        <w:t xml:space="preserve"> </w:t>
      </w:r>
      <w:r w:rsidRPr="00B55872">
        <w:rPr>
          <w:rFonts w:eastAsiaTheme="minorHAnsi"/>
          <w:bCs/>
          <w:kern w:val="2"/>
        </w:rPr>
        <w:t>OF THE ESTATE OF</w:t>
      </w:r>
    </w:p>
    <w:p w14:paraId="13444F5A" w14:textId="36F833AB" w:rsidR="00544C40" w:rsidRPr="00F92D5E" w:rsidRDefault="00544C40" w:rsidP="00544C40">
      <w:pPr>
        <w:tabs>
          <w:tab w:val="right" w:pos="9360"/>
        </w:tabs>
        <w:autoSpaceDE w:val="0"/>
        <w:autoSpaceDN w:val="0"/>
        <w:adjustRightInd w:val="0"/>
        <w:spacing w:line="240" w:lineRule="auto"/>
        <w:ind w:firstLine="0"/>
        <w:jc w:val="left"/>
        <w:rPr>
          <w:rFonts w:eastAsiaTheme="minorHAnsi"/>
          <w:bCs/>
          <w:kern w:val="2"/>
        </w:rPr>
      </w:pPr>
      <w:r w:rsidRPr="00B55872">
        <w:rPr>
          <w:rFonts w:eastAsiaTheme="minorHAnsi"/>
          <w:bCs/>
          <w:kern w:val="2"/>
        </w:rPr>
        <w:t xml:space="preserve">THELMA TINKER, DECEASED, </w:t>
      </w:r>
      <w:r>
        <w:rPr>
          <w:rFonts w:eastAsiaTheme="minorHAnsi"/>
          <w:bCs/>
          <w:kern w:val="2"/>
        </w:rPr>
        <w:t>ET AL.</w:t>
      </w:r>
      <w:r>
        <w:rPr>
          <w:rFonts w:eastAsiaTheme="minorHAnsi"/>
          <w:bCs/>
          <w:kern w:val="2"/>
        </w:rPr>
        <w:tab/>
      </w:r>
      <w:r w:rsidRPr="00303DA6">
        <w:rPr>
          <w:bCs/>
        </w:rPr>
        <w:t>PLAINTIFF</w:t>
      </w:r>
      <w:r>
        <w:rPr>
          <w:bCs/>
        </w:rPr>
        <w:t>S</w:t>
      </w:r>
    </w:p>
    <w:bookmarkEnd w:id="1"/>
    <w:p w14:paraId="373E874F" w14:textId="77777777" w:rsidR="00C323E7" w:rsidRPr="00303DA6" w:rsidRDefault="00C323E7" w:rsidP="00C323E7">
      <w:pPr>
        <w:spacing w:line="240" w:lineRule="auto"/>
        <w:ind w:firstLine="0"/>
        <w:rPr>
          <w:bCs/>
        </w:rPr>
      </w:pPr>
    </w:p>
    <w:p w14:paraId="265B4E09" w14:textId="77777777" w:rsidR="00B76C5F" w:rsidRDefault="00C323E7" w:rsidP="00C323E7">
      <w:pPr>
        <w:tabs>
          <w:tab w:val="center" w:pos="4680"/>
        </w:tabs>
        <w:spacing w:line="240" w:lineRule="auto"/>
        <w:ind w:firstLine="0"/>
        <w:rPr>
          <w:bCs/>
        </w:rPr>
      </w:pPr>
      <w:r w:rsidRPr="00133B9B">
        <w:rPr>
          <w:bCs/>
        </w:rPr>
        <w:t>v.</w:t>
      </w:r>
    </w:p>
    <w:p w14:paraId="74D9C1C1" w14:textId="0664F080" w:rsidR="00C323E7" w:rsidRDefault="00B76C5F" w:rsidP="00B76C5F">
      <w:pPr>
        <w:tabs>
          <w:tab w:val="center" w:pos="4680"/>
        </w:tabs>
        <w:spacing w:line="240" w:lineRule="auto"/>
        <w:ind w:firstLine="0"/>
        <w:jc w:val="center"/>
        <w:rPr>
          <w:b/>
          <w:bCs/>
          <w:u w:val="single"/>
        </w:rPr>
      </w:pPr>
      <w:r>
        <w:rPr>
          <w:b/>
          <w:bCs/>
          <w:u w:val="single"/>
        </w:rPr>
        <w:t>PLAINTIFFS' RESPONSE TO UofL DEFENDANTS' MOTION FOR PROTECTIVE ORDER</w:t>
      </w:r>
    </w:p>
    <w:p w14:paraId="61DCBC2B" w14:textId="77777777" w:rsidR="00B76C5F" w:rsidRDefault="00B76C5F" w:rsidP="00C323E7">
      <w:pPr>
        <w:tabs>
          <w:tab w:val="center" w:pos="4680"/>
        </w:tabs>
        <w:spacing w:line="240" w:lineRule="auto"/>
        <w:ind w:firstLine="0"/>
        <w:rPr>
          <w:b/>
          <w:bCs/>
          <w:u w:val="single"/>
        </w:rPr>
      </w:pPr>
    </w:p>
    <w:p w14:paraId="60EB0412" w14:textId="77777777" w:rsidR="00C323E7" w:rsidRPr="003B4F92" w:rsidRDefault="00C323E7" w:rsidP="00C323E7">
      <w:pPr>
        <w:spacing w:line="240" w:lineRule="auto"/>
        <w:ind w:firstLine="0"/>
        <w:rPr>
          <w:bCs/>
        </w:rPr>
      </w:pPr>
    </w:p>
    <w:p w14:paraId="3308033A" w14:textId="77777777" w:rsidR="00C323E7" w:rsidRDefault="00C323E7" w:rsidP="00C323E7">
      <w:pPr>
        <w:tabs>
          <w:tab w:val="right" w:pos="9360"/>
        </w:tabs>
        <w:spacing w:line="240" w:lineRule="auto"/>
        <w:ind w:firstLine="0"/>
        <w:rPr>
          <w:bCs/>
        </w:rPr>
      </w:pPr>
      <w:r w:rsidRPr="00303DA6">
        <w:rPr>
          <w:bCs/>
        </w:rPr>
        <w:t>UofL HEALTH-LOUISVILLE, I</w:t>
      </w:r>
      <w:r>
        <w:rPr>
          <w:bCs/>
        </w:rPr>
        <w:t>NC.</w:t>
      </w:r>
    </w:p>
    <w:p w14:paraId="557095FF" w14:textId="5ACA112C" w:rsidR="00C323E7" w:rsidRPr="00303DA6" w:rsidRDefault="00C323E7" w:rsidP="00C323E7">
      <w:pPr>
        <w:tabs>
          <w:tab w:val="right" w:pos="9360"/>
        </w:tabs>
        <w:spacing w:line="240" w:lineRule="auto"/>
        <w:ind w:firstLine="0"/>
        <w:rPr>
          <w:bCs/>
        </w:rPr>
      </w:pPr>
      <w:r w:rsidRPr="00303DA6">
        <w:rPr>
          <w:bCs/>
        </w:rPr>
        <w:t>d/b/a</w:t>
      </w:r>
      <w:r w:rsidRPr="00303DA6">
        <w:rPr>
          <w:bCs/>
          <w:i/>
          <w:iCs/>
        </w:rPr>
        <w:t xml:space="preserve"> </w:t>
      </w:r>
      <w:r w:rsidRPr="00303DA6">
        <w:rPr>
          <w:bCs/>
        </w:rPr>
        <w:t>UofL H</w:t>
      </w:r>
      <w:r w:rsidR="00E21C5E">
        <w:rPr>
          <w:bCs/>
        </w:rPr>
        <w:t>EALTH</w:t>
      </w:r>
      <w:r>
        <w:rPr>
          <w:bCs/>
        </w:rPr>
        <w:t>, ET AL.</w:t>
      </w:r>
      <w:r w:rsidRPr="00303DA6">
        <w:rPr>
          <w:bCs/>
        </w:rPr>
        <w:tab/>
        <w:t xml:space="preserve"> DEFENDANT</w:t>
      </w:r>
      <w:r>
        <w:rPr>
          <w:bCs/>
        </w:rPr>
        <w:t>S</w:t>
      </w:r>
    </w:p>
    <w:bookmarkEnd w:id="0"/>
    <w:p w14:paraId="5B372DE1" w14:textId="77777777" w:rsidR="00C323E7" w:rsidRPr="00303DA6" w:rsidRDefault="00C323E7" w:rsidP="00C323E7">
      <w:pPr>
        <w:spacing w:line="240" w:lineRule="auto"/>
        <w:ind w:firstLine="0"/>
        <w:rPr>
          <w:bCs/>
        </w:rPr>
      </w:pPr>
    </w:p>
    <w:p w14:paraId="6EE7ED32" w14:textId="77777777" w:rsidR="00C323E7" w:rsidRDefault="00C323E7" w:rsidP="00C323E7">
      <w:pPr>
        <w:autoSpaceDE w:val="0"/>
        <w:autoSpaceDN w:val="0"/>
        <w:adjustRightInd w:val="0"/>
        <w:spacing w:line="240" w:lineRule="auto"/>
        <w:jc w:val="center"/>
      </w:pPr>
      <w:r w:rsidRPr="0060775E">
        <w:t>* * * * * *</w:t>
      </w:r>
    </w:p>
    <w:p w14:paraId="52839CE9" w14:textId="77777777" w:rsidR="00C323E7" w:rsidRPr="00C323E7" w:rsidRDefault="00C323E7" w:rsidP="00C323E7">
      <w:pPr>
        <w:autoSpaceDE w:val="0"/>
        <w:autoSpaceDN w:val="0"/>
        <w:adjustRightInd w:val="0"/>
        <w:spacing w:line="240" w:lineRule="auto"/>
        <w:jc w:val="center"/>
      </w:pPr>
    </w:p>
    <w:p>
      <w:pPr>
        <w:pStyle w:val="BrfBdy"/>
      </w:pPr>
      <w:r>
        <w:t>Plaintiffs, Charles Tinker, Individually and as Executor of the Estate of Thelma “Timmi” Tinker, et al., by counsel, submit this Response to the Motion for Protective Order filed by Defendants UofL Health–Louisville, Inc., University of Louisville Physicians, Inc., and UofL Health, Inc. (“UofL Defendants”). For the reasons that follow, the Motion should be denied.</w:t>
      </w:r>
    </w:p>
    <w:p>
      <w:pPr>
        <w:pStyle w:val="Normal"/>
        <w:jc w:val="center"/>
      </w:pPr>
      <w:r>
        <w:rPr>
          <w:b/>
          <w:u w:val="single"/>
        </w:rPr>
        <w:t>INTRODUCTION</w:t>
      </w:r>
    </w:p>
    <w:p>
      <w:pPr>
        <w:pStyle w:val="BrfBdy"/>
      </w:pPr>
      <w:r>
        <w:t>This case arises from Defendants’ failure to communicate the results of Timmi Tinker’s August 15, 2022 PET scan for nearly twenty months. That PET scan was consistent with primary pulmonary neoplasm. During the twenty-month silence, Timmi’s lung cancer spread. She finally learned of her diagnosis on May 9, 2024, in an emergency room. She died eight days later, on May 17, 2024.</w:t>
      </w:r>
    </w:p>
    <w:p>
      <w:pPr>
        <w:pStyle w:val="BrfBdy"/>
      </w:pPr>
      <w:r>
        <w:t>Plaintiffs’ Notice seeks corporate testimony and an accompanying CR 34 inspection directed at how UofL Defendants’ EHR systems handled Timmi’s August 15, 2022 PET scan report.</w:t>
      </w:r>
    </w:p>
    <w:p>
      <w:pPr>
        <w:pStyle w:val="BrfBdy"/>
      </w:pPr>
      <w:r>
        <w:t xml:space="preserve">UofL Defendants label this Notice a “fishing expedition.” That label does not survive scrutiny. As the Kentucky Supreme Court has held, “[w]hile a fishing expedition will not be tolerated, and the limited statutory privilege in KRS 421.100 must be observed, a litigant’s legitimate interest in discovery of information relevant and material to the issues must be respected.” </w:t>
      </w:r>
      <w:r>
        <w:rPr>
          <w:i/>
        </w:rPr>
        <w:t>Lexington Herald-Leader Co. v. Beard</w:t>
      </w:r>
      <w:r>
        <w:t>, 690 S.W.2d 374, 379 (Ky. 1984). The Notice is narrowly targeted at the central factual dispute in this case: whether and when Dr. Gettis and her practice actually saw, routed, and acted on the August 15, 2022 PET scan report. The timing of the Notice is also no accident. UofL Defendants are themselves relying on their own audit trail to advance a defense that Timmi accessed her MyChart, learned of her cancer, and hid that diagnosis from her family. UofL Defendants cannot consistently rely on the audit trail as the foundation of an affirmative defense while preventing Plaintiffs from testing how that data was generated, what it actually shows, and what other audit information UofL Defendants have not produced. In the alternative, should the Court limit the inspection, Plaintiffs respectfully ask that UofL Defendants be precluded from using the audit trail offensively to argue that Timmi knew about her cancer.</w:t>
      </w:r>
    </w:p>
    <w:p>
      <w:pPr>
        <w:pStyle w:val="Normal"/>
        <w:jc w:val="center"/>
      </w:pPr>
      <w:r>
        <w:rPr>
          <w:b/>
          <w:u w:val="single"/>
        </w:rPr>
        <w:t>BACKGROUND</w:t>
      </w:r>
    </w:p>
    <w:p>
      <w:pPr>
        <w:pStyle w:val="BrfBdy"/>
      </w:pPr>
      <w:r>
        <w:t>On July 15, 2022, Dr. Gettis ordered a chest x-ray for Timmi as part of her surgical clearance. The chest x-ray revealed a 2.3 cm pulmonary opacity. Dr. Gettis ordered a CT chest, expressly noting “rule out cancer.” The CT chest was performed on July 21, 2022. It confirmed the pulmonary nodule and recommended a PET scan. Timmi promptly underwent the PET scan on August 15, 2022. Dr. Robert Aria read the PET scan. His impressions were consistent with primary pulmonary neoplasm.</w:t>
      </w:r>
    </w:p>
    <w:p>
      <w:pPr>
        <w:pStyle w:val="BrfBdy"/>
      </w:pPr>
      <w:r>
        <w:t>Nobody told Timmi. Dr. Gettis did not “acknowledge” the August 15, 2022 PET scan report in UofL Defendants’ electronic health record until April 24, 2024. That was the same day Timmi came in for her annual physical, and the same day Dr. Gettis sent Timmi home without mentioning the result. Between August 2022 and April 2024, Timmi interacted with Dr. Gettis’s office repeatedly: for prescription refills, MyChart messages, an annual physical with a nurse practitioner, ear cerumen removal, and mammogram results. At every interaction, the PET scan report sat in Timmi’s chart. Nobody flagged it. Timmi was finally diagnosed with cancer on May 9, 2024 in the emergency department. She died eight days later.</w:t>
      </w:r>
    </w:p>
    <w:p>
      <w:pPr>
        <w:pStyle w:val="BrfBdy"/>
      </w:pPr>
      <w:r>
        <w:rPr>
          <w:i/>
        </w:rPr>
        <w:t xml:space="preserve">The CR 30.02(6) Notice. </w:t>
      </w:r>
      <w:r>
        <w:t>On May 22, 2026, Plaintiffs served the CR 30.02(6) Notice attached to the Motion as Exhibit 1. The Notice identifies eighteen specific topics, all directed to Timmi’s August 15, 2022 PET scan and the EHR functionality that handled it. Among other things, the Notice asks (1) how the PET scan report moved from the PACS into Dr. Gettis’s In-Basket; (2) how the In-Basket and “acknowledgment” functions work; (3) how the August 15, 2022 PET scan was, or was not, released to Timmi’s MyChart; (4) what the audit trail UofL Defendants produced does and does not capture; and (5) whether UofL Defendants contend that Dr. Gettis read the August 15, 2022 PET scan, and if so on what basis. The Notice also expressly invited counsel to confer on both the date and the scope of the topics.</w:t>
      </w:r>
    </w:p>
    <w:p>
      <w:pPr>
        <w:pStyle w:val="BrfBdy"/>
      </w:pPr>
      <w:r>
        <w:rPr>
          <w:i/>
        </w:rPr>
        <w:t xml:space="preserve">The audit trail and its use by UofL Defendants. </w:t>
      </w:r>
      <w:r>
        <w:t>UofL Defendants have produced what they describe as the “audit trail” for Timmi’s electronic medical record. On its face, the audit trail is ambiguous. For example, a single entry from August 18, 2022 reads “Order details viewed,” with associated data of “PET/CT BONE SKULL BASE TO MID THIGH.” Another entry from that afternoon states “Printing occurred in MyChart,” with associated data of only “Web page name Test Details.” Without testimony from a designee of UofL Defendants who can explain what these entries actually mean within UofL Defendants’ system, and without the ability to see how the system behaves when these events occur, the entries are open to multiple interpretations.</w:t>
      </w:r>
    </w:p>
    <w:p>
      <w:pPr>
        <w:pStyle w:val="BrfBdy"/>
      </w:pPr>
      <w:r>
        <w:t>Despite the ambiguity, UofL Defendants have signaled their intent to rely on the audit trail to support a defense that Timmi accessed her MyChart, read the PET scan report, and concealed her diagnosis from her family. UofL Defendants have recently served written discovery demanding production of all browser history, internet search history, URL logs, Google account data, and related digital data from any device used by Timmi between July 2022 and May 2024. The sole stated foundation for those demands is the audit trail. Plaintiffs are filing a separate Motion for Protective Order with respect to that browsing-history discovery, and incorporate that motion here by reference.</w:t>
      </w:r>
    </w:p>
    <w:p>
      <w:pPr>
        <w:pStyle w:val="Normal"/>
        <w:jc w:val="center"/>
      </w:pPr>
      <w:r>
        <w:rPr>
          <w:b/>
          <w:u w:val="single"/>
        </w:rPr>
        <w:t>ARGUMENT</w:t>
      </w:r>
    </w:p>
    <w:p>
      <w:pPr>
        <w:pStyle w:val="BrfBdy"/>
      </w:pPr>
      <w:r>
        <w:rPr>
          <w:b/>
          <w:u w:val="single"/>
        </w:rPr>
        <w:t>I.</w:t>
        <w:tab/>
      </w:r>
      <w:r>
        <w:rPr>
          <w:b/>
          <w:u w:val="single"/>
        </w:rPr>
        <w:t>THE 30.02(6) TOPICS ARE PROPERLY TAILORED TO THE CENTRAL ISSUES IN THIS CASE.</w:t>
      </w:r>
    </w:p>
    <w:p>
      <w:pPr>
        <w:pStyle w:val="BrfBdy"/>
      </w:pPr>
      <w:r>
        <w:t xml:space="preserve">CR 30.02(6) requires only that a deposition notice “describe with reasonable particularity the matters on which examination is requested.” Plaintiffs’ Notice does exactly that. Each of the eighteen topics is tied to a specific aspect of UofL Defendants’ EHR systems as those systems relate to Timmi’s August 15, 2022 PET scan, and each easily satisfies the relevance threshold of CR 26.02, which “is more loosely construed for purposes of discovery than for trial.” </w:t>
      </w:r>
      <w:r>
        <w:rPr>
          <w:i/>
        </w:rPr>
        <w:t>Ewing v. May</w:t>
      </w:r>
      <w:r>
        <w:t>, 705 S.W.2d 910, 913 (Ky. 1986). UofL Defendants’ characterization of the topics as “system-wide” is overstated. Topics 1, 5, 6, 7, 8, 9, and 10 ask how UofL Defendants’ MyChart, PACS, and In-Basket systems work with respect to PET scan reports and the “acknowledgment” function. Those are the very functions that failed Timmi. Topics 11, 12, 13, 15, and 16 ask what the audit trail UofL Defendants produced actually shows, what it is missing, and how to interpret it. The information these topics seek is uniquely within UofL Defendants’ knowledge.</w:t>
      </w:r>
    </w:p>
    <w:p>
      <w:pPr>
        <w:pStyle w:val="BrfBdy"/>
      </w:pPr>
      <w:r>
        <w:t>UofL Defendants take particular issue with Topics 2–4, 11, and 14. Those topics ask UofL Defendants whether they “admit” or “contend” certain things. For example, Topic 11 asks whether UofL Defendants contend that Dr. Gettis read the August 15, 2022 PET scan report. Topic 14 asks whether UofL Defendants contend that Dr. Aria had a responsibility to communicate the report at any time other than as he did. UofL Defendants label these topics as improper requests for “legal conclusions.” They are not. They are requests for the facts and documents supporting positions UofL Defendants have themselves taken (or may take) in this litigation. Asking a corporate defendant to identify the factual basis for its own contentions is permissible and routine. It is, in fact, one of the central purposes of CR 30.02(6). UofL Defendants cannot affirmatively contend that Dr. Gettis read the PET scan report (as the audit-trail theory of their defense necessarily implies) and at the same time argue that Plaintiffs may not ask UofL Defendants to identify the factual basis for that contention.</w:t>
      </w:r>
    </w:p>
    <w:p>
      <w:pPr>
        <w:pStyle w:val="BrfBdy"/>
      </w:pPr>
      <w:r>
        <w:t>Plaintiffs do not ask UofL Defendants’ designees to opine on “standard of care” as that term is understood under Kentucky law. To the extent any topic could be read that way, Plaintiffs are willing to clarify the topic or stipulate that it does not call for expert opinion testimony. That clarification could have been worked out in a brief phone call, had UofL Defendants chosen to make one.</w:t>
      </w:r>
    </w:p>
    <w:p>
      <w:pPr>
        <w:pStyle w:val="BrfBdy"/>
      </w:pPr>
      <w:r>
        <w:rPr>
          <w:b/>
          <w:u w:val="single"/>
        </w:rPr>
        <w:t>II.</w:t>
        <w:tab/>
      </w:r>
      <w:r>
        <w:rPr>
          <w:b/>
          <w:u w:val="single"/>
        </w:rPr>
        <w:t>THE LIVE INSPECTION IS PROCEDURALLY PROPER AND SUBSTANTIVELY NECESSARY.</w:t>
      </w:r>
    </w:p>
    <w:p>
      <w:pPr>
        <w:pStyle w:val="BrfBdy"/>
      </w:pPr>
      <w:r>
        <w:rPr>
          <w:b/>
          <w:i/>
        </w:rPr>
        <w:t>A.</w:t>
        <w:tab/>
      </w:r>
      <w:r>
        <w:rPr>
          <w:b/>
          <w:i/>
        </w:rPr>
        <w:t>The CR 34.02 timing objection fails on its face.</w:t>
      </w:r>
    </w:p>
    <w:p>
      <w:pPr>
        <w:pStyle w:val="BrfBdy"/>
      </w:pPr>
      <w:r>
        <w:t>UofL Defendants assert that the Notice runs afoul of CR 34.02’s thirty-day response period. CR 30.02(5), however, expressly authorizes a deposition notice to be “accompanied by a request made in compliance with Rule 34 for the production of documents and tangible things at the taking of the deposition.” The mechanism is built into the rule. If UofL Defendants believed they needed additional time for any portion of the inspection, the Notice expressly invited them to ask. UofL Defendants never did. They chose instead to file this Motion. In any event, Plaintiffs have always been willing to extend the inspection to a mutually convenient date, and remain willing to do so.</w:t>
      </w:r>
    </w:p>
    <w:p>
      <w:pPr>
        <w:pStyle w:val="BrfBdy"/>
      </w:pPr>
      <w:r>
        <w:rPr>
          <w:b/>
          <w:i/>
        </w:rPr>
        <w:t>B.</w:t>
        <w:tab/>
      </w:r>
      <w:r>
        <w:rPr>
          <w:b/>
          <w:i/>
        </w:rPr>
        <w:t>The Notice seeks a CR 34 inspection of one patient’s chart in native format, not the kind of forensic system inspection the case law disfavors.</w:t>
      </w:r>
    </w:p>
    <w:p>
      <w:pPr>
        <w:pStyle w:val="BrfBdy"/>
      </w:pPr>
      <w:r>
        <w:t xml:space="preserve">Although no Kentucky appellate court has yet had occasion to address the precise question, the New Jersey Appellate Division recently considered a closely analogous request in a medical malpractice case and held that an on-site inspection of a deceased patient’s EMR by plaintiff’s expert was “an eminently reasonable way to proceed under the circumstances.” </w:t>
      </w:r>
      <w:r>
        <w:rPr>
          <w:i/>
        </w:rPr>
        <w:t xml:space="preserve">Estate of Lasiw v. Pereira</w:t>
      </w:r>
      <w:r>
        <w:t xml:space="preserve">, 475 N.J. Super. 378, 400, 293 A.3d 510, 524 (App. Div. 2023). The </w:t>
      </w:r>
      <w:r>
        <w:rPr>
          <w:i/>
        </w:rPr>
        <w:t xml:space="preserve">Lasiw</w:t>
      </w:r>
      <w:r>
        <w:t xml:space="preserve"> court rejected the same concerns UofL Defendants raise here, including the risk of exposing HIPAA-protected information regarding other patients, the risk of cyberattack on the EMR system, and the alleged burden on the producing party. </w:t>
      </w:r>
      <w:r>
        <w:rPr>
          <w:i/>
        </w:rPr>
        <w:t xml:space="preserve">Id.</w:t>
      </w:r>
      <w:r>
        <w:t xml:space="preserve"> at 401–03, 293 A.3d at 525. The inspection protocol approved in </w:t>
      </w:r>
      <w:r>
        <w:rPr>
          <w:i/>
        </w:rPr>
        <w:t xml:space="preserve">Lasiw</w:t>
      </w:r>
      <w:r>
        <w:t xml:space="preserve"> mirrors the one Plaintiffs propose: the producing party’s designee operates the system, plaintiff’s counsel attends, and the inspection is limited to the single decedent’s chart. </w:t>
      </w:r>
      <w:r>
        <w:rPr>
          <w:i/>
        </w:rPr>
        <w:t xml:space="preserve">Id.</w:t>
      </w:r>
      <w:r>
        <w:t xml:space="preserve"> at 403–04, 293 A.3d at 525–26. Notably, </w:t>
      </w:r>
      <w:r>
        <w:rPr>
          <w:i/>
        </w:rPr>
        <w:t xml:space="preserve">Lasiw</w:t>
      </w:r>
      <w:r>
        <w:t xml:space="preserve"> addressed the very Sedona Principles caution UofL Defendants invoke and explained why it has no application to this kind of inspection: “Although the Sedona Principles state that inspection will unlikely be effective because those accessing the computer system are unfamiliar with it, here it would be defendants’ employees, not plaintiff’s expert, manipulating the EPIC system.” </w:t>
      </w:r>
      <w:r>
        <w:rPr>
          <w:i/>
        </w:rPr>
        <w:t xml:space="preserve">Id.</w:t>
      </w:r>
      <w:r>
        <w:t xml:space="preserve"> at 398, 293 A.3d at 522–23.</w:t>
      </w:r>
    </w:p>
    <w:p>
      <w:pPr>
        <w:pStyle w:val="BrfBdy"/>
      </w:pPr>
      <w:r>
        <w:t>Plaintiffs’ request here fits squarely within that framework. It is, at its core, a routine CR 34 inspection of one patient’s electronic medical record in its native format. Plaintiffs ask UofL Defendants to designate someone to log into Timmi’s chart, on UofL Defendants’ own workstation, and demonstrate by screen-sharing on Zoom how the system handled her August 15, 2022 PET scan report. CR 34.01 expressly entitles Plaintiffs to inspect ESI in “NATIVE ELECTRONIC FORMAT,” as the Notice itself requests. What UofL Defendants produced (static PDFs and a spreadsheet-format extract of the audit trail) is not the native record. The native record, viewed on the live system by the designee who uses that system in the ordinary course, is what CR 34 contemplates. Plaintiffs are not asking to mirror UofL Defendants’ systems, to access their source code, to scan their network, or to view any patient record other than Timmi’s.</w:t>
      </w:r>
    </w:p>
    <w:p>
      <w:pPr>
        <w:pStyle w:val="BrfBdy"/>
      </w:pPr>
      <w:r>
        <w:t xml:space="preserve">The federal cases on which UofL Defendants rely are, of course, only persuasive authority, and they confirm the distinction. </w:t>
      </w:r>
      <w:r>
        <w:rPr>
          <w:i/>
        </w:rPr>
        <w:t>John B. v. Goetz</w:t>
      </w:r>
      <w:r>
        <w:t xml:space="preserve">, 531 F.3d 448 (6th Cir. 2008), addressed the forensic mirror imaging of computers across multiple state agencies and private homes, to be executed by the United States Marshal, in a case where the state defendants had repeatedly violated preservation orders. </w:t>
      </w:r>
      <w:r>
        <w:rPr>
          <w:i/>
        </w:rPr>
        <w:t>Id.</w:t>
      </w:r>
      <w:r>
        <w:t xml:space="preserve"> at 455–57. The Sixth Circuit itself acknowledged that “forensic imaging is not the only available means by which the district court may respond to what it perceives to be discovery misconduct,” </w:t>
      </w:r>
      <w:r>
        <w:rPr>
          <w:i/>
        </w:rPr>
        <w:t>id.</w:t>
      </w:r>
      <w:r>
        <w:t xml:space="preserve"> at 460, and that less intrusive measures should be considered first. </w:t>
      </w:r>
      <w:r>
        <w:rPr>
          <w:i/>
        </w:rPr>
        <w:t>Scotts Co. v. Liberty Mutual</w:t>
      </w:r>
      <w:r>
        <w:t xml:space="preserve"> involved a forensic inspection sought on “mere suspicion” that information was being withheld. </w:t>
      </w:r>
      <w:r>
        <w:rPr>
          <w:i/>
        </w:rPr>
        <w:t>In re Ford Motor Co.</w:t>
      </w:r>
      <w:r>
        <w:t xml:space="preserve"> addressed a request to “conduct the actual search” of an opposing party’s files. None of those is what Plaintiffs request here. The Sedona cautions UofL Defendants cite are likewise directed at broad, system-level inspections, not single-chart walkthroughs performed by the producing party’s own designee. The inspection Plaintiffs request is the least intrusive way to obtain the information at issue. It is also the way UofL Defendants’ own employees navigate the system every day.</w:t>
      </w:r>
      <w:r>
        <w:t xml:space="preserve"> The </w:t>
      </w:r>
      <w:r>
        <w:rPr>
          <w:i/>
        </w:rPr>
        <w:t>Lasiw</w:t>
      </w:r>
      <w:r>
        <w:t xml:space="preserve"> court reached the same conclusion when distinguishing these federal authorities, noting that they “addressed requests for direct access to a responding party’s electronic data and did not involve a focused request to a single patient’s EMR.” </w:t>
      </w:r>
      <w:r>
        <w:rPr>
          <w:i/>
        </w:rPr>
        <w:t>Estate of Lasiw</w:t>
      </w:r>
      <w:r>
        <w:t>, 293 A.3d at 524.</w:t>
      </w:r>
    </w:p>
    <w:p>
      <w:pPr>
        <w:pStyle w:val="BrfBdy"/>
      </w:pPr>
      <w:r>
        <w:rPr>
          <w:b/>
          <w:i/>
        </w:rPr>
        <w:t>C.</w:t>
        <w:tab/>
      </w:r>
      <w:r>
        <w:rPr>
          <w:b/>
          <w:i/>
        </w:rPr>
        <w:t>The audit data UofL Defendants produced is incomplete and ambiguous, and only a live inspection will resolve that.</w:t>
      </w:r>
    </w:p>
    <w:p>
      <w:pPr>
        <w:pStyle w:val="BrfBdy"/>
      </w:pPr>
      <w:r>
        <w:t>The audit data UofL Defendants produced omits substantial categories of information. The missing categories include MyChart and In-Basket message content, IP address data, URLs, record-specific logging identifying which test or radiology records were accessed, print-related details, image-viewer links, and patient notifications. See Topic 12. Even the fields that were produced are written in terms whose meaning cannot be discerned without seeing the system in operation. Consider the example noted above. The audit trail records “Printing occurred in MyChart” in association with “Web page name Test Details.” UofL Defendants will likely contend that this entry means Timmi printed her PET scan report. Plaintiffs disagree. On its face, that entry could just as easily reflect the printing of an order detail page, a list of orders, or any number of other pages within MyChart. The only way for the parties, and ultimately for the Court and a jury, to know what these entries actually represent is to see what happens in the system when those entries are generated. Inspection of the live system is the most efficient way to get that answer. It is difficult to imagine what “targeted written discovery,” as UofL Defendants suggest, could substitute for the simple act of watching the system work.</w:t>
      </w:r>
    </w:p>
    <w:p>
      <w:pPr>
        <w:pStyle w:val="BrfBdy"/>
      </w:pPr>
      <w:r>
        <w:t>An inspection would also help resolve another important question the produced audit trail leaves open: whether Dr. Gettis or her office viewed the August 15, 2022 PET scan report at any time prior to April 24, 2024. Only a walk-through of the live system can show what audit entries are generated when a provider opens a report, scrolls through it, prints it, forwards it, or acknowledges it. That information is essential to determining what the existing audit data can fairly be read to say about Dr. Gettis’s actual conduct.</w:t>
      </w:r>
    </w:p>
    <w:p>
      <w:pPr>
        <w:pStyle w:val="BrfBdy"/>
      </w:pPr>
      <w:r>
        <w:rPr>
          <w:b/>
          <w:i/>
        </w:rPr>
        <w:t>D.</w:t>
        <w:tab/>
      </w:r>
      <w:r>
        <w:rPr>
          <w:b/>
          <w:i/>
        </w:rPr>
        <w:t>UofL Defendants’ generalized HIPAA and security concerns are addressable through ordinary safeguards.</w:t>
      </w:r>
    </w:p>
    <w:p>
      <w:pPr>
        <w:pStyle w:val="BrfBdy"/>
      </w:pPr>
      <w:r>
        <w:t>UofL Defendants invoke HIPAA, network security, and disruption to ongoing operations as reasons to forbid any live inspection. None of those concerns withstands scrutiny. Plaintiffs do not seek access to any patient record other than Timmi’s. The inspection would be conducted by a designee of UofL Defendants, on UofL Defendants’ equipment, with UofL Defendants’ counsel present, navigating only Timmi’s chart. If any third-party information were to appear incidentally (in, for example, a navigation menu), the designee could simply navigate away from it. UofL Defendants’ own staff manage these precise risks every day. UofL Defendants notably do not contend that they cannot demonstrate Timmi’s chart safely. UofL Defendants ask the Court to forbid any inspection. That is overreach.</w:t>
      </w:r>
      <w:r>
        <w:t xml:space="preserve"> These same concerns were raised, and rejected, in </w:t>
      </w:r>
      <w:r>
        <w:rPr>
          <w:i/>
        </w:rPr>
        <w:t>Estate of Lasiw</w:t>
      </w:r>
      <w:r>
        <w:t>, 293 A.3d at 525.</w:t>
      </w:r>
    </w:p>
    <w:p>
      <w:pPr>
        <w:pStyle w:val="BrfBdy"/>
      </w:pPr>
      <w:r>
        <w:rPr>
          <w:b/>
          <w:u w:val="single"/>
        </w:rPr>
        <w:t>III.</w:t>
        <w:tab/>
      </w:r>
      <w:r>
        <w:rPr>
          <w:b/>
          <w:u w:val="single"/>
        </w:rPr>
        <w:t>IN THE ALTERNATIVE, IF THE COURT LIMITS THE INSPECTION, IT SHOULD LIKEWISE LIMIT UofL DEFENDANTS’ USE OF THE AUDIT TRAIL.</w:t>
      </w:r>
    </w:p>
    <w:p>
      <w:pPr>
        <w:pStyle w:val="BrfBdy"/>
      </w:pPr>
      <w:r>
        <w:t>Should the Court grant any portion of UofL Defendants’ request to limit the live inspection, Plaintiffs respectfully request reciprocal relief: an Order precluding UofL Defendants from offering or relying on the produced audit trail in support of any contention that Timmi accessed, viewed, read, printed, or knew the substance of her August 15, 2022 PET scan report. UofL Defendants should not be permitted to use the audit trail offensively against Plaintiffs while the underlying system that generated it remains beyond Plaintiffs’ reach.</w:t>
      </w:r>
    </w:p>
    <w:p>
      <w:pPr>
        <w:pStyle w:val="BrfBdy"/>
      </w:pPr>
      <w:r>
        <w:rPr>
          <w:b/>
          <w:u w:val="single"/>
        </w:rPr>
        <w:t>IV.</w:t>
        <w:tab/>
      </w:r>
      <w:r>
        <w:rPr>
          <w:b/>
          <w:u w:val="single"/>
        </w:rPr>
        <w:t>THE MOTION SHOULD BE DENIED ON THE INDEPENDENT GROUND THAT UofL DEFENDANTS DID NOT MEET AND CONFER BEFORE FILING IT.</w:t>
      </w:r>
    </w:p>
    <w:p>
      <w:pPr>
        <w:pStyle w:val="BrfBdy"/>
      </w:pPr>
      <w:r>
        <w:t>Discovery disputes belong in motions practice only after the parties’ good-faith efforts to resolve them have failed. Plaintiffs’ Notice expressly invited those efforts. Footnote 1 addressed scheduling. Footnote 2 addressed the substance of the topics. Plaintiffs’ counsel separately reached out following service of the Notice in the same cooperative spirit. UofL Defendants nonetheless filed this Motion without raising specific objections, proposing alternative dates, or attempting to narrow the issues for the Court. The result is the kind of unnecessary motion practice this Court has previously indicated it has little patience for.</w:t>
      </w:r>
    </w:p>
    <w:p>
      <w:pPr>
        <w:pStyle w:val="BrfBdy"/>
      </w:pPr>
      <w:r>
        <w:t>Plaintiffs remain prepared, today and at any time before the hearing, to confer in good faith about reasonable adjustments to the Notice. Plaintiffs have no objection in principle to a sensible bifurcation of the deposition from any inspection, to rescheduling the deposition to a mutually convenient date, or to clarifying any topic that needs clarification. None of those adjustments, however, requires a protective order. They require a conversation.</w:t>
      </w:r>
    </w:p>
    <w:p>
      <w:pPr>
        <w:pStyle w:val="Normal"/>
        <w:jc w:val="center"/>
      </w:pPr>
      <w:r>
        <w:rPr>
          <w:b/>
          <w:u w:val="single"/>
        </w:rPr>
        <w:t>CONCLUSION</w:t>
      </w:r>
    </w:p>
    <w:p>
      <w:pPr>
        <w:pStyle w:val="BrfBdy"/>
      </w:pPr>
      <w:r>
        <w:t>For the foregoing reasons, Plaintiffs respectfully request that the Court deny UofL Defendants’ Motion for Protective Order in its entirety, and order the parties to confer in good faith and proceed with the CR 30.02(6) deposition and CR 34 inspection on a mutually convenient date. In the alternative, should the Court grant any portion of the Motion limiting the live inspection or the related audit-trail discovery, Plaintiffs request that the Court enter a corresponding Order precluding UofL Defendants from offering or relying on the produced audit trail to support any contention that Timmi viewed, read, printed, or knew the substance of her August 15, 2022 PET scan results.</w:t>
      </w:r>
    </w:p>
    <w:p w14:paraId="6B664775" w14:textId="77777777" w:rsidR="00C323E7" w:rsidRPr="00BE4DD4" w:rsidRDefault="00C323E7" w:rsidP="00C323E7">
      <w:pPr>
        <w:widowControl w:val="0"/>
        <w:suppressAutoHyphens/>
        <w:spacing w:line="240" w:lineRule="auto"/>
        <w:ind w:left="4320"/>
        <w:jc w:val="left"/>
        <w:rPr>
          <w:lang w:val="en-CA"/>
        </w:rPr>
      </w:pPr>
      <w:r w:rsidRPr="00BE4DD4">
        <w:rPr>
          <w:lang w:val="en-CA"/>
        </w:rPr>
        <w:t>Respectfully submitted,</w:t>
      </w:r>
    </w:p>
    <w:p w14:paraId="4DD03955" w14:textId="77777777" w:rsidR="00C323E7" w:rsidRPr="00BE4DD4" w:rsidRDefault="00C323E7" w:rsidP="00C323E7">
      <w:pPr>
        <w:widowControl w:val="0"/>
        <w:spacing w:line="240" w:lineRule="auto"/>
        <w:ind w:left="5130" w:firstLine="0"/>
        <w:rPr>
          <w:lang w:val="en-CA"/>
        </w:rPr>
      </w:pPr>
    </w:p>
    <w:p w14:paraId="48344606" w14:textId="71B29E90" w:rsidR="00C323E7" w:rsidRPr="00EA6D2E" w:rsidRDefault="00C323E7" w:rsidP="00C323E7">
      <w:pPr>
        <w:widowControl w:val="0"/>
        <w:spacing w:line="240" w:lineRule="auto"/>
        <w:ind w:left="5040" w:firstLine="0"/>
        <w:rPr>
          <w:i/>
          <w:iCs/>
          <w:u w:val="single"/>
          <w:lang w:val="en-CA"/>
        </w:rPr>
      </w:pPr>
      <w:r w:rsidRPr="00EA6D2E">
        <w:rPr>
          <w:i/>
          <w:iCs/>
          <w:u w:val="single"/>
          <w:lang w:val="en-CA"/>
        </w:rPr>
        <w:t>/s/</w:t>
      </w:r>
      <w:r w:rsidR="00AC1371">
        <w:rPr>
          <w:i/>
          <w:iCs/>
          <w:u w:val="single"/>
          <w:lang w:val="en-CA"/>
        </w:rPr>
        <w:t xml:space="preserve"> Sheldon L. Haden</w:t>
      </w:r>
      <w:r>
        <w:rPr>
          <w:i/>
          <w:iCs/>
          <w:u w:val="single"/>
          <w:lang w:val="en-CA"/>
        </w:rPr>
        <w:tab/>
      </w:r>
      <w:r>
        <w:rPr>
          <w:i/>
          <w:iCs/>
          <w:u w:val="single"/>
          <w:lang w:val="en-CA"/>
        </w:rPr>
        <w:tab/>
      </w:r>
    </w:p>
    <w:p w14:paraId="186F2D59" w14:textId="77777777" w:rsidR="00C323E7" w:rsidRPr="00BE4DD4" w:rsidRDefault="00C323E7" w:rsidP="00C323E7">
      <w:pPr>
        <w:widowControl w:val="0"/>
        <w:suppressAutoHyphens/>
        <w:spacing w:line="240" w:lineRule="auto"/>
        <w:ind w:left="5040" w:firstLine="0"/>
        <w:jc w:val="left"/>
        <w:rPr>
          <w:color w:val="000000"/>
        </w:rPr>
      </w:pPr>
      <w:r w:rsidRPr="00BE4DD4">
        <w:rPr>
          <w:lang w:val="en-CA"/>
        </w:rPr>
        <w:fldChar w:fldCharType="begin"/>
      </w:r>
      <w:r w:rsidRPr="00BE4DD4">
        <w:rPr>
          <w:lang w:val="en-CA"/>
        </w:rPr>
        <w:instrText xml:space="preserve"> SEQ CHAPTER \h \r 1</w:instrText>
      </w:r>
      <w:r w:rsidRPr="00BE4DD4">
        <w:rPr>
          <w:lang w:val="en-CA"/>
        </w:rPr>
        <w:fldChar w:fldCharType="end"/>
      </w:r>
      <w:r w:rsidRPr="00BE4DD4">
        <w:rPr>
          <w:color w:val="000000"/>
        </w:rPr>
        <w:t>Ann B. Oldfather (KBA 52553)</w:t>
      </w:r>
    </w:p>
    <w:p w14:paraId="7C2B68A6" w14:textId="77777777" w:rsidR="00C323E7" w:rsidRPr="00BE4DD4" w:rsidRDefault="00C323E7" w:rsidP="00C323E7">
      <w:pPr>
        <w:widowControl w:val="0"/>
        <w:suppressAutoHyphens/>
        <w:spacing w:line="240" w:lineRule="auto"/>
        <w:ind w:left="5040" w:firstLine="0"/>
        <w:jc w:val="left"/>
        <w:rPr>
          <w:color w:val="000000"/>
        </w:rPr>
      </w:pPr>
      <w:r w:rsidRPr="00BE4DD4">
        <w:rPr>
          <w:color w:val="000000"/>
        </w:rPr>
        <w:t>Sheldon L. Haden (KBA 88876)</w:t>
      </w:r>
    </w:p>
    <w:p w14:paraId="285AA6C9" w14:textId="77777777" w:rsidR="00C323E7" w:rsidRPr="00BE4DD4" w:rsidRDefault="00C323E7" w:rsidP="00C323E7">
      <w:pPr>
        <w:widowControl w:val="0"/>
        <w:suppressAutoHyphens/>
        <w:spacing w:line="240" w:lineRule="auto"/>
        <w:ind w:left="5040" w:firstLine="0"/>
        <w:jc w:val="left"/>
        <w:rPr>
          <w:color w:val="000000"/>
        </w:rPr>
      </w:pPr>
      <w:r>
        <w:rPr>
          <w:color w:val="000000"/>
        </w:rPr>
        <w:t>Michael R. Hasken</w:t>
      </w:r>
      <w:r w:rsidRPr="00BE4DD4">
        <w:rPr>
          <w:color w:val="000000"/>
        </w:rPr>
        <w:t xml:space="preserve"> (KBA </w:t>
      </w:r>
      <w:r>
        <w:rPr>
          <w:color w:val="000000"/>
        </w:rPr>
        <w:t>94492</w:t>
      </w:r>
      <w:r w:rsidRPr="00BE4DD4">
        <w:rPr>
          <w:color w:val="000000"/>
        </w:rPr>
        <w:t>)</w:t>
      </w:r>
    </w:p>
    <w:p w14:paraId="38BD37E0" w14:textId="77777777" w:rsidR="00C323E7" w:rsidRPr="00BE4DD4" w:rsidRDefault="00C323E7" w:rsidP="00C323E7">
      <w:pPr>
        <w:widowControl w:val="0"/>
        <w:suppressAutoHyphens/>
        <w:spacing w:line="240" w:lineRule="auto"/>
        <w:ind w:left="5040" w:firstLine="0"/>
        <w:jc w:val="left"/>
        <w:rPr>
          <w:color w:val="000000"/>
        </w:rPr>
      </w:pPr>
      <w:r w:rsidRPr="00BE4DD4">
        <w:rPr>
          <w:color w:val="000000"/>
        </w:rPr>
        <w:t>Chancellor R. Peterson (KBA 101018)</w:t>
      </w:r>
    </w:p>
    <w:p w14:paraId="4E155175" w14:textId="77777777" w:rsidR="00C323E7" w:rsidRPr="00BE4DD4" w:rsidRDefault="00C323E7" w:rsidP="00C323E7">
      <w:pPr>
        <w:widowControl w:val="0"/>
        <w:suppressAutoHyphens/>
        <w:spacing w:line="240" w:lineRule="auto"/>
        <w:ind w:left="5040" w:firstLine="0"/>
        <w:jc w:val="left"/>
        <w:rPr>
          <w:smallCaps/>
          <w:color w:val="000000"/>
        </w:rPr>
      </w:pPr>
      <w:r w:rsidRPr="00BE4DD4">
        <w:rPr>
          <w:smallCaps/>
          <w:color w:val="000000"/>
        </w:rPr>
        <w:t>Oldfather Law Firm</w:t>
      </w:r>
    </w:p>
    <w:p w14:paraId="22E2E17A" w14:textId="77777777" w:rsidR="00C323E7" w:rsidRPr="00BE4DD4" w:rsidRDefault="00C323E7" w:rsidP="00C323E7">
      <w:pPr>
        <w:widowControl w:val="0"/>
        <w:suppressAutoHyphens/>
        <w:spacing w:line="240" w:lineRule="auto"/>
        <w:ind w:left="5040" w:firstLine="0"/>
        <w:jc w:val="left"/>
        <w:rPr>
          <w:color w:val="000000"/>
        </w:rPr>
      </w:pPr>
      <w:r w:rsidRPr="00BE4DD4">
        <w:rPr>
          <w:color w:val="000000"/>
        </w:rPr>
        <w:t>1330 South Third Street</w:t>
      </w:r>
    </w:p>
    <w:p w14:paraId="74F0D557"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Louisville, KY  40208</w:t>
      </w:r>
    </w:p>
    <w:p w14:paraId="56356A82"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(502) 637-7200</w:t>
      </w:r>
    </w:p>
    <w:p w14:paraId="5A43D976"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aoldfather@oldfather.com</w:t>
      </w:r>
      <w:r w:rsidRPr="006A2EC6">
        <w:rPr>
          <w:color w:val="000000"/>
          <w:lang w:val="fr-FR"/>
        </w:rPr>
        <w:br/>
        <w:t>shaden@oldfather.com</w:t>
      </w:r>
    </w:p>
    <w:p w14:paraId="77FA74B5"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mhasken@oldfather.com</w:t>
      </w:r>
      <w:r w:rsidRPr="006A2EC6">
        <w:rPr>
          <w:color w:val="000000"/>
          <w:lang w:val="fr-FR"/>
        </w:rPr>
        <w:br/>
        <w:t>cpeterson@oldfather.com</w:t>
      </w:r>
    </w:p>
    <w:p w14:paraId="5E5C32B9" w14:textId="77777777" w:rsidR="00C323E7" w:rsidRDefault="00C323E7" w:rsidP="00C323E7">
      <w:pPr>
        <w:widowControl w:val="0"/>
        <w:suppressAutoHyphens/>
        <w:spacing w:line="240" w:lineRule="auto"/>
        <w:ind w:left="5040" w:firstLine="0"/>
        <w:jc w:val="left"/>
        <w:rPr>
          <w:i/>
          <w:color w:val="000000"/>
        </w:rPr>
      </w:pPr>
      <w:r w:rsidRPr="00BE4DD4">
        <w:rPr>
          <w:i/>
          <w:color w:val="000000"/>
        </w:rPr>
        <w:t>Counsel for Plaintiff</w:t>
      </w:r>
      <w:r>
        <w:rPr>
          <w:i/>
          <w:color w:val="000000"/>
        </w:rPr>
        <w:t>s</w:t>
      </w:r>
    </w:p>
    <w:p w14:paraId="1212BD80" w14:textId="77777777" w:rsidR="00C323E7" w:rsidRPr="00BE4DD4" w:rsidRDefault="00C323E7" w:rsidP="00C323E7">
      <w:pPr>
        <w:widowControl w:val="0"/>
        <w:suppressAutoHyphens/>
        <w:spacing w:line="240" w:lineRule="auto"/>
        <w:jc w:val="left"/>
        <w:rPr>
          <w:i/>
        </w:rPr>
      </w:pPr>
    </w:p>
    <w:p w14:paraId="73FC8641" w14:textId="77777777" w:rsidR="00C323E7" w:rsidRPr="0083506F" w:rsidRDefault="00C323E7" w:rsidP="00C323E7">
      <w:pPr>
        <w:keepNext/>
        <w:keepLines/>
        <w:spacing w:after="200" w:line="276" w:lineRule="auto"/>
        <w:ind w:firstLine="0"/>
        <w:jc w:val="center"/>
        <w:rPr>
          <w:rFonts w:eastAsiaTheme="minorHAnsi" w:cstheme="minorBidi"/>
          <w:b/>
          <w:bCs/>
          <w:u w:val="single"/>
          <w14:ligatures w14:val="none"/>
        </w:rPr>
      </w:pPr>
      <w:r w:rsidRPr="0083506F">
        <w:rPr>
          <w:rFonts w:eastAsiaTheme="minorHAnsi" w:cstheme="minorBidi"/>
          <w:b/>
          <w:bCs/>
          <w:u w:val="single"/>
          <w14:ligatures w14:val="none"/>
        </w:rPr>
        <w:t>CERTIFICATE OF SERVICE</w:t>
      </w:r>
    </w:p>
    <w:p w14:paraId="39B752A4" w14:textId="3F7A9F72" w:rsidR="00C323E7" w:rsidRPr="0083506F" w:rsidRDefault="00C323E7" w:rsidP="00C323E7">
      <w:pPr>
        <w:keepNext/>
        <w:keepLines/>
        <w:spacing w:line="240" w:lineRule="auto"/>
        <w:jc w:val="left"/>
        <w:rPr>
          <w:rFonts w:eastAsiaTheme="minorHAnsi" w:cstheme="minorBidi"/>
          <w:szCs w:val="22"/>
          <w14:ligatures w14:val="none"/>
        </w:rPr>
      </w:pPr>
      <w:r w:rsidRPr="0083506F">
        <w:rPr>
          <w:rFonts w:eastAsiaTheme="minorHAnsi" w:cstheme="minorBidi"/>
          <w:szCs w:val="22"/>
          <w14:ligatures w14:val="none"/>
        </w:rPr>
        <w:t>The above signature certifies that, on</w:t>
      </w:r>
      <w:r>
        <w:rPr>
          <w:rFonts w:eastAsiaTheme="minorHAnsi" w:cstheme="minorBidi"/>
          <w:szCs w:val="22"/>
          <w14:ligatures w14:val="none"/>
        </w:rPr>
        <w:t xml:space="preserve"> </w:t>
      </w:r>
      <w:r w:rsidR="00B07814">
        <w:rPr>
          <w:rFonts w:eastAsiaTheme="minorHAnsi" w:cstheme="minorBidi"/>
          <w:szCs w:val="22"/>
          <w14:ligatures w14:val="none"/>
        </w:rPr>
        <w:t>June __,</w:t>
      </w:r>
      <w:r w:rsidRPr="0083506F">
        <w:rPr>
          <w:rFonts w:eastAsiaTheme="minorHAnsi" w:cstheme="minorBidi"/>
          <w:szCs w:val="22"/>
          <w14:ligatures w14:val="none"/>
        </w:rPr>
        <w:t xml:space="preserve"> 202</w:t>
      </w:r>
      <w:r w:rsidR="00B07814">
        <w:rPr>
          <w:rFonts w:eastAsiaTheme="minorHAnsi" w:cstheme="minorBidi"/>
          <w:szCs w:val="22"/>
          <w14:ligatures w14:val="none"/>
        </w:rPr>
        <w:t>6</w:t>
      </w:r>
      <w:r w:rsidRPr="0083506F">
        <w:rPr>
          <w:rFonts w:eastAsiaTheme="minorHAnsi" w:cstheme="minorBidi"/>
          <w:szCs w:val="22"/>
          <w14:ligatures w14:val="none"/>
        </w:rPr>
        <w:t>, the foregoing was electronically filed with the Clerk of Court using the KCOJ e-filing system and was served via email</w:t>
      </w:r>
      <w:r w:rsidRPr="0083506F">
        <w:rPr>
          <w:rFonts w:eastAsiaTheme="minorHAnsi" w:cstheme="minorBidi"/>
          <w14:ligatures w14:val="none"/>
        </w:rPr>
        <w:t>, in accordance with the notice of electronic service,</w:t>
      </w:r>
      <w:r w:rsidRPr="0083506F">
        <w:rPr>
          <w:rFonts w:eastAsiaTheme="minorHAnsi" w:cstheme="minorBidi"/>
          <w:szCs w:val="22"/>
          <w14:ligatures w14:val="none"/>
        </w:rPr>
        <w:t xml:space="preserve"> to the following:</w:t>
      </w:r>
    </w:p>
    <w:p w14:paraId="48EA2E20" w14:textId="77777777" w:rsidR="00C323E7" w:rsidRPr="00B55872" w:rsidRDefault="00C323E7" w:rsidP="00C323E7">
      <w:pPr>
        <w:keepNext/>
        <w:keepLines/>
        <w:spacing w:after="240" w:line="240" w:lineRule="auto"/>
        <w:ind w:firstLine="0"/>
        <w:jc w:val="left"/>
        <w:rPr>
          <w:rFonts w:eastAsia="Calibri"/>
          <w:kern w:val="2"/>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4490"/>
      </w:tblGrid>
      <w:tr w:rsidR="00C323E7" w:rsidRPr="00B55872" w14:paraId="53B38F7B" w14:textId="77777777" w:rsidTr="008B6DDB">
        <w:tc>
          <w:tcPr>
            <w:tcW w:w="4860" w:type="dxa"/>
          </w:tcPr>
          <w:p w14:paraId="5AF86594" w14:textId="77777777" w:rsidR="00C323E7" w:rsidRDefault="00C323E7" w:rsidP="00147CD8">
            <w:pPr>
              <w:keepNext/>
              <w:keepLines/>
              <w:spacing w:line="240" w:lineRule="auto"/>
              <w:ind w:firstLine="0"/>
              <w:jc w:val="left"/>
              <w:rPr>
                <w:rFonts w:eastAsia="Calibri"/>
              </w:rPr>
            </w:pPr>
            <w:r w:rsidRPr="00B55872">
              <w:rPr>
                <w:rFonts w:eastAsia="Calibri"/>
              </w:rPr>
              <w:t>Craig L. Johnson</w:t>
            </w:r>
          </w:p>
          <w:p w14:paraId="0D4A270E" w14:textId="2D2A2868" w:rsidR="00B06ACD" w:rsidRPr="00B55872" w:rsidRDefault="00B06ACD" w:rsidP="00147CD8">
            <w:pPr>
              <w:keepNext/>
              <w:keepLines/>
              <w:spacing w:line="240" w:lineRule="auto"/>
              <w:ind w:firstLine="0"/>
              <w:jc w:val="left"/>
              <w:rPr>
                <w:rFonts w:eastAsia="Calibri"/>
              </w:rPr>
            </w:pPr>
            <w:r>
              <w:rPr>
                <w:rFonts w:eastAsia="Calibri"/>
              </w:rPr>
              <w:t>Bennett Z. Tuleja</w:t>
            </w:r>
          </w:p>
          <w:p w14:paraId="065DC472" w14:textId="77777777" w:rsidR="00C323E7" w:rsidRPr="00B55872" w:rsidRDefault="00C323E7" w:rsidP="00147CD8">
            <w:pPr>
              <w:keepNext/>
              <w:keepLines/>
              <w:spacing w:line="240" w:lineRule="auto"/>
              <w:ind w:firstLine="0"/>
              <w:jc w:val="left"/>
              <w:rPr>
                <w:rFonts w:eastAsia="Calibri"/>
                <w:smallCaps/>
              </w:rPr>
            </w:pPr>
            <w:r w:rsidRPr="00B55872">
              <w:rPr>
                <w:rFonts w:eastAsia="Calibri"/>
                <w:smallCaps/>
              </w:rPr>
              <w:t>Steptoe &amp; Johnson PLLC</w:t>
            </w:r>
          </w:p>
          <w:p w14:paraId="58CF484C" w14:textId="3216B720" w:rsidR="00C323E7" w:rsidRPr="00B55872" w:rsidRDefault="00F25713" w:rsidP="00147CD8">
            <w:pPr>
              <w:keepNext/>
              <w:keepLines/>
              <w:spacing w:line="240" w:lineRule="auto"/>
              <w:ind w:firstLine="0"/>
              <w:jc w:val="left"/>
              <w:rPr>
                <w:rFonts w:eastAsia="Calibri"/>
              </w:rPr>
            </w:pPr>
            <w:r>
              <w:rPr>
                <w:rFonts w:eastAsia="Calibri"/>
              </w:rPr>
              <w:t>101 South Fifth Street, Suite 3200</w:t>
            </w:r>
          </w:p>
          <w:p w14:paraId="23156EAB" w14:textId="48F43727" w:rsidR="00C323E7" w:rsidRPr="00B55872" w:rsidRDefault="00C323E7" w:rsidP="00147CD8">
            <w:pPr>
              <w:keepNext/>
              <w:keepLines/>
              <w:spacing w:line="240" w:lineRule="auto"/>
              <w:ind w:firstLine="0"/>
              <w:jc w:val="left"/>
              <w:rPr>
                <w:rFonts w:eastAsia="Calibri"/>
              </w:rPr>
            </w:pPr>
            <w:r w:rsidRPr="00B55872">
              <w:rPr>
                <w:rFonts w:eastAsia="Calibri"/>
              </w:rPr>
              <w:t>Louisville, KY 402</w:t>
            </w:r>
            <w:r w:rsidR="00F25713">
              <w:rPr>
                <w:rFonts w:eastAsia="Calibri"/>
              </w:rPr>
              <w:t>02</w:t>
            </w:r>
          </w:p>
          <w:p w14:paraId="08434E8C" w14:textId="77777777" w:rsidR="00C323E7" w:rsidRPr="00B55872" w:rsidRDefault="00C323E7" w:rsidP="00147CD8">
            <w:pPr>
              <w:keepNext/>
              <w:keepLines/>
              <w:spacing w:line="240" w:lineRule="auto"/>
              <w:ind w:firstLine="0"/>
              <w:jc w:val="left"/>
              <w:rPr>
                <w:rFonts w:eastAsia="Calibri"/>
              </w:rPr>
            </w:pPr>
            <w:r w:rsidRPr="00B55872">
              <w:rPr>
                <w:rFonts w:eastAsia="Calibri"/>
              </w:rPr>
              <w:t>(502) 423-2060</w:t>
            </w:r>
          </w:p>
          <w:p w14:paraId="544D97C9" w14:textId="726B60D4" w:rsidR="00C323E7" w:rsidRDefault="00B06ACD" w:rsidP="00147CD8">
            <w:pPr>
              <w:keepNext/>
              <w:keepLines/>
              <w:spacing w:line="240" w:lineRule="auto"/>
              <w:ind w:firstLine="0"/>
              <w:jc w:val="left"/>
              <w:rPr>
                <w:rFonts w:eastAsia="Calibri"/>
              </w:rPr>
            </w:pPr>
            <w:r w:rsidRPr="00B06ACD">
              <w:rPr>
                <w:rFonts w:eastAsia="Calibri"/>
              </w:rPr>
              <w:t>craig.johnson@steptoe-johnson.com</w:t>
            </w:r>
          </w:p>
          <w:p w14:paraId="07998484" w14:textId="77CF5D31" w:rsidR="00B06ACD" w:rsidRPr="00B55872" w:rsidRDefault="00B06ACD" w:rsidP="00147CD8">
            <w:pPr>
              <w:keepNext/>
              <w:keepLines/>
              <w:spacing w:line="240" w:lineRule="auto"/>
              <w:ind w:firstLine="0"/>
              <w:jc w:val="left"/>
              <w:rPr>
                <w:rFonts w:eastAsia="Calibri"/>
              </w:rPr>
            </w:pPr>
            <w:r>
              <w:rPr>
                <w:rFonts w:eastAsia="Calibri"/>
              </w:rPr>
              <w:t>bennett.teluja@steptoe-johnson.com</w:t>
            </w:r>
          </w:p>
          <w:p w14:paraId="3FC4E0F9" w14:textId="77777777" w:rsidR="00C323E7" w:rsidRPr="00B55872" w:rsidRDefault="00C323E7" w:rsidP="00147CD8">
            <w:pPr>
              <w:keepNext/>
              <w:keepLines/>
              <w:spacing w:line="240" w:lineRule="auto"/>
              <w:ind w:firstLine="0"/>
              <w:jc w:val="left"/>
              <w:rPr>
                <w:rFonts w:eastAsia="Calibri"/>
                <w:i/>
                <w:iCs/>
              </w:rPr>
            </w:pPr>
            <w:r w:rsidRPr="00B55872">
              <w:rPr>
                <w:rFonts w:eastAsia="Calibri"/>
                <w:i/>
                <w:iCs/>
              </w:rPr>
              <w:t>Counsel for Defendant, Robert Aria, M.D.</w:t>
            </w:r>
          </w:p>
          <w:p w14:paraId="7EF779F5" w14:textId="77777777" w:rsidR="00C323E7" w:rsidRPr="00B55872" w:rsidRDefault="00C323E7" w:rsidP="00147CD8">
            <w:pPr>
              <w:keepNext/>
              <w:keepLines/>
              <w:spacing w:line="240" w:lineRule="auto"/>
              <w:ind w:firstLine="0"/>
              <w:jc w:val="left"/>
              <w:rPr>
                <w:rFonts w:eastAsia="Calibri"/>
              </w:rPr>
            </w:pPr>
          </w:p>
        </w:tc>
        <w:tc>
          <w:tcPr>
            <w:tcW w:w="4490" w:type="dxa"/>
          </w:tcPr>
          <w:p w14:paraId="770EB379" w14:textId="77777777" w:rsidR="00C323E7" w:rsidRDefault="00C323E7" w:rsidP="00147CD8">
            <w:pPr>
              <w:keepNext/>
              <w:keepLines/>
              <w:spacing w:line="240" w:lineRule="auto"/>
              <w:ind w:firstLine="0"/>
              <w:jc w:val="left"/>
              <w:rPr>
                <w:rFonts w:eastAsia="Calibri"/>
              </w:rPr>
            </w:pPr>
            <w:r w:rsidRPr="00B55872">
              <w:rPr>
                <w:rFonts w:eastAsia="Calibri"/>
              </w:rPr>
              <w:t>Katherine Kerns Vesely</w:t>
            </w:r>
          </w:p>
          <w:p w14:paraId="396AC1B9" w14:textId="222494DD" w:rsidR="000E0B8F" w:rsidRDefault="000E0B8F" w:rsidP="00147CD8">
            <w:pPr>
              <w:keepNext/>
              <w:keepLines/>
              <w:spacing w:line="240" w:lineRule="auto"/>
              <w:ind w:firstLine="0"/>
              <w:jc w:val="left"/>
              <w:rPr>
                <w:rFonts w:eastAsia="Calibri"/>
              </w:rPr>
            </w:pPr>
            <w:r>
              <w:rPr>
                <w:rFonts w:eastAsia="Calibri"/>
              </w:rPr>
              <w:t>Kenneth H. Decker</w:t>
            </w:r>
          </w:p>
          <w:p w14:paraId="750F9642" w14:textId="389DFCAD" w:rsidR="007A3F9D" w:rsidRPr="00B55872" w:rsidRDefault="007A3F9D" w:rsidP="00147CD8">
            <w:pPr>
              <w:keepNext/>
              <w:keepLines/>
              <w:spacing w:line="240" w:lineRule="auto"/>
              <w:ind w:firstLine="0"/>
              <w:jc w:val="left"/>
              <w:rPr>
                <w:rFonts w:eastAsia="Calibri"/>
              </w:rPr>
            </w:pPr>
            <w:r>
              <w:rPr>
                <w:rFonts w:eastAsia="Calibri"/>
              </w:rPr>
              <w:t>Andie Brent Camden</w:t>
            </w:r>
          </w:p>
          <w:p w14:paraId="0A081262" w14:textId="77777777" w:rsidR="00C323E7" w:rsidRPr="00B55872" w:rsidRDefault="00C323E7" w:rsidP="00147CD8">
            <w:pPr>
              <w:keepNext/>
              <w:keepLines/>
              <w:spacing w:line="240" w:lineRule="auto"/>
              <w:ind w:firstLine="0"/>
              <w:jc w:val="left"/>
              <w:rPr>
                <w:rFonts w:eastAsia="Calibri"/>
                <w:smallCaps/>
              </w:rPr>
            </w:pPr>
            <w:r w:rsidRPr="00B55872">
              <w:rPr>
                <w:rFonts w:eastAsia="Calibri"/>
                <w:smallCaps/>
              </w:rPr>
              <w:t>O'Bryan, Brown &amp; Toner, PLLC</w:t>
            </w:r>
          </w:p>
          <w:p w14:paraId="72B602F4" w14:textId="77777777" w:rsidR="00C323E7" w:rsidRPr="00B55872" w:rsidRDefault="00C323E7" w:rsidP="00147CD8">
            <w:pPr>
              <w:keepNext/>
              <w:keepLines/>
              <w:spacing w:line="240" w:lineRule="auto"/>
              <w:ind w:firstLine="0"/>
              <w:jc w:val="left"/>
              <w:rPr>
                <w:rFonts w:eastAsia="Calibri"/>
              </w:rPr>
            </w:pPr>
            <w:r w:rsidRPr="00B55872">
              <w:rPr>
                <w:rFonts w:eastAsia="Calibri"/>
              </w:rPr>
              <w:t>401 South Fourth Street, Suite 2200</w:t>
            </w:r>
          </w:p>
          <w:p w14:paraId="4B9C442D" w14:textId="77777777" w:rsidR="00C323E7" w:rsidRPr="00B55872" w:rsidRDefault="00C323E7" w:rsidP="00147CD8">
            <w:pPr>
              <w:keepNext/>
              <w:keepLines/>
              <w:spacing w:line="240" w:lineRule="auto"/>
              <w:ind w:firstLine="0"/>
              <w:jc w:val="left"/>
              <w:rPr>
                <w:rFonts w:eastAsia="Calibri"/>
              </w:rPr>
            </w:pPr>
            <w:r w:rsidRPr="00B55872">
              <w:rPr>
                <w:rFonts w:eastAsia="Calibri"/>
              </w:rPr>
              <w:t>Louisville, KY  40202</w:t>
            </w:r>
          </w:p>
          <w:p w14:paraId="44F03DCD" w14:textId="77777777" w:rsidR="00C323E7" w:rsidRPr="00B55872" w:rsidRDefault="00C323E7" w:rsidP="00147CD8">
            <w:pPr>
              <w:keepNext/>
              <w:keepLines/>
              <w:spacing w:line="240" w:lineRule="auto"/>
              <w:ind w:firstLine="0"/>
              <w:jc w:val="left"/>
              <w:rPr>
                <w:rFonts w:eastAsia="Calibri"/>
              </w:rPr>
            </w:pPr>
            <w:r w:rsidRPr="00B55872">
              <w:rPr>
                <w:rFonts w:eastAsia="Calibri"/>
              </w:rPr>
              <w:t>(502) 585-4700</w:t>
            </w:r>
          </w:p>
          <w:p w14:paraId="71C0638D" w14:textId="61BA3642" w:rsidR="00C323E7" w:rsidRDefault="000E0B8F" w:rsidP="00147CD8">
            <w:pPr>
              <w:keepNext/>
              <w:keepLines/>
              <w:spacing w:line="240" w:lineRule="auto"/>
              <w:ind w:firstLine="0"/>
              <w:jc w:val="left"/>
              <w:rPr>
                <w:rFonts w:eastAsia="Calibri"/>
              </w:rPr>
            </w:pPr>
            <w:r w:rsidRPr="000E0B8F">
              <w:rPr>
                <w:rFonts w:eastAsia="Calibri"/>
              </w:rPr>
              <w:t>veselyk@obtlaw.com</w:t>
            </w:r>
          </w:p>
          <w:p w14:paraId="68983D4C" w14:textId="4599BC17" w:rsidR="000E0B8F" w:rsidRDefault="000E0B8F" w:rsidP="00147CD8">
            <w:pPr>
              <w:keepNext/>
              <w:keepLines/>
              <w:spacing w:line="240" w:lineRule="auto"/>
              <w:ind w:firstLine="0"/>
              <w:jc w:val="left"/>
              <w:rPr>
                <w:rFonts w:eastAsia="Calibri"/>
              </w:rPr>
            </w:pPr>
            <w:r>
              <w:rPr>
                <w:rFonts w:eastAsia="Calibri"/>
              </w:rPr>
              <w:t>deckerk@obtlaw.com</w:t>
            </w:r>
          </w:p>
          <w:p w14:paraId="5C2B0343" w14:textId="2DA17337" w:rsidR="007A3F9D" w:rsidRPr="00B55872" w:rsidRDefault="007A3F9D" w:rsidP="00147CD8">
            <w:pPr>
              <w:keepNext/>
              <w:keepLines/>
              <w:spacing w:line="240" w:lineRule="auto"/>
              <w:ind w:firstLine="0"/>
              <w:jc w:val="left"/>
              <w:rPr>
                <w:rFonts w:eastAsia="Calibri"/>
              </w:rPr>
            </w:pPr>
            <w:r>
              <w:rPr>
                <w:rFonts w:eastAsia="Calibri"/>
              </w:rPr>
              <w:t>camdena@obtlaw.com</w:t>
            </w:r>
          </w:p>
          <w:p w14:paraId="15818491" w14:textId="265D3061" w:rsidR="007973F2" w:rsidRPr="00B55872" w:rsidRDefault="00C323E7" w:rsidP="00147CD8">
            <w:pPr>
              <w:keepNext/>
              <w:keepLines/>
              <w:spacing w:line="240" w:lineRule="auto"/>
              <w:ind w:firstLine="0"/>
              <w:jc w:val="left"/>
              <w:rPr>
                <w:rFonts w:eastAsia="Calibri"/>
                <w:i/>
                <w:iCs/>
              </w:rPr>
            </w:pPr>
            <w:r w:rsidRPr="00B55872">
              <w:rPr>
                <w:rFonts w:eastAsia="Calibri"/>
                <w:i/>
                <w:iCs/>
              </w:rPr>
              <w:t>Counsel for Defendant, Erica Gettis</w:t>
            </w:r>
            <w:r w:rsidR="00A07B32">
              <w:rPr>
                <w:rFonts w:eastAsia="Calibri"/>
                <w:i/>
                <w:iCs/>
              </w:rPr>
              <w:t>, D.O.</w:t>
            </w:r>
          </w:p>
          <w:p w14:paraId="3C884B0A" w14:textId="77777777" w:rsidR="00C323E7" w:rsidRPr="00B55872" w:rsidRDefault="00C323E7" w:rsidP="00147CD8">
            <w:pPr>
              <w:keepNext/>
              <w:keepLines/>
              <w:spacing w:line="240" w:lineRule="auto"/>
              <w:ind w:firstLine="0"/>
              <w:jc w:val="left"/>
              <w:rPr>
                <w:rFonts w:eastAsia="Calibri"/>
              </w:rPr>
            </w:pPr>
          </w:p>
        </w:tc>
      </w:tr>
      <w:tr w:rsidR="007973F2" w:rsidRPr="00B55872" w14:paraId="1B3C876F" w14:textId="77777777" w:rsidTr="008B6DDB">
        <w:tc>
          <w:tcPr>
            <w:tcW w:w="4860" w:type="dxa"/>
          </w:tcPr>
          <w:p w14:paraId="50745584" w14:textId="77777777" w:rsidR="007973F2" w:rsidRDefault="007973F2"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Eleanor M. B. Davi</w:t>
            </w:r>
            <w:r>
              <w:t>s</w:t>
            </w:r>
          </w:p>
          <w:p w14:paraId="04E86507" w14:textId="3611A124" w:rsidR="00B06ACD" w:rsidRDefault="00F02E9A"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t>Faith O. Turner</w:t>
            </w:r>
          </w:p>
          <w:p w14:paraId="1A019454" w14:textId="77777777" w:rsidR="007973F2" w:rsidRPr="00615A9B" w:rsidRDefault="007973F2"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rPr>
                <w:smallCaps/>
              </w:rPr>
            </w:pPr>
            <w:r w:rsidRPr="00615A9B">
              <w:rPr>
                <w:smallCaps/>
              </w:rPr>
              <w:t>Thompson Miller &amp; Simpson, PLC</w:t>
            </w:r>
          </w:p>
          <w:p w14:paraId="49A41928" w14:textId="77777777" w:rsidR="007973F2" w:rsidRPr="00614020" w:rsidRDefault="007973F2" w:rsidP="00B07814">
            <w:pPr>
              <w:tabs>
                <w:tab w:val="left" w:pos="-1200"/>
                <w:tab w:val="left" w:pos="-720"/>
                <w:tab w:val="left" w:pos="18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734 West Main Street, Suite 400</w:t>
            </w:r>
          </w:p>
          <w:p w14:paraId="3765E7AD" w14:textId="77777777" w:rsidR="007973F2" w:rsidRDefault="007973F2" w:rsidP="00B07814">
            <w:pPr>
              <w:tabs>
                <w:tab w:val="left" w:pos="-1200"/>
                <w:tab w:val="left" w:pos="-720"/>
                <w:tab w:val="left" w:pos="18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Louisville, Kentucky 40202</w:t>
            </w:r>
          </w:p>
          <w:p w14:paraId="5B75B103" w14:textId="77777777" w:rsidR="007973F2" w:rsidRPr="00614020" w:rsidRDefault="007973F2" w:rsidP="00B07814">
            <w:pPr>
              <w:tabs>
                <w:tab w:val="left" w:pos="-1200"/>
                <w:tab w:val="left" w:pos="-720"/>
                <w:tab w:val="left" w:pos="18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lastRenderedPageBreak/>
              <w:t>(502) 585-9900</w:t>
            </w:r>
          </w:p>
          <w:p w14:paraId="4D149FC6" w14:textId="0A3FA799" w:rsidR="007973F2" w:rsidRDefault="00B06ACD"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B06ACD">
              <w:t>edavis@tmslawplc.com</w:t>
            </w:r>
          </w:p>
          <w:p w14:paraId="36A254E9" w14:textId="49FF472A" w:rsidR="00B06ACD" w:rsidRPr="00614020" w:rsidRDefault="00F02E9A"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t>fturner</w:t>
            </w:r>
            <w:r w:rsidR="00B06ACD">
              <w:t>@tmslawplc.com</w:t>
            </w:r>
          </w:p>
          <w:p w14:paraId="2B42470C" w14:textId="77777777" w:rsidR="007973F2" w:rsidRPr="00614020" w:rsidRDefault="007973F2" w:rsidP="00B07814">
            <w:pPr>
              <w:tabs>
                <w:tab w:val="left" w:pos="-360"/>
                <w:tab w:val="left" w:pos="180"/>
                <w:tab w:val="right" w:pos="4320"/>
                <w:tab w:val="left" w:pos="4680"/>
              </w:tabs>
              <w:spacing w:line="240" w:lineRule="auto"/>
              <w:ind w:firstLine="0"/>
              <w:rPr>
                <w:i/>
                <w:iCs/>
              </w:rPr>
            </w:pPr>
            <w:r w:rsidRPr="00614020">
              <w:rPr>
                <w:i/>
                <w:iCs/>
              </w:rPr>
              <w:t>Counsel for Defendants</w:t>
            </w:r>
            <w:r>
              <w:rPr>
                <w:i/>
                <w:iCs/>
              </w:rPr>
              <w:t xml:space="preserve">, </w:t>
            </w:r>
          </w:p>
          <w:p w14:paraId="28AC6237" w14:textId="214D9820" w:rsidR="007973F2" w:rsidRDefault="007973F2" w:rsidP="00B07814">
            <w:pPr>
              <w:tabs>
                <w:tab w:val="left" w:pos="-360"/>
                <w:tab w:val="left" w:pos="180"/>
              </w:tabs>
              <w:spacing w:line="240" w:lineRule="auto"/>
              <w:ind w:firstLine="0"/>
              <w:rPr>
                <w:i/>
                <w:iCs/>
              </w:rPr>
            </w:pPr>
            <w:r>
              <w:rPr>
                <w:i/>
                <w:iCs/>
              </w:rPr>
              <w:t>U</w:t>
            </w:r>
            <w:r w:rsidRPr="00614020">
              <w:rPr>
                <w:i/>
                <w:iCs/>
              </w:rPr>
              <w:t>ofL Health–Louisville, Inc.</w:t>
            </w:r>
            <w:r w:rsidR="00B42157">
              <w:rPr>
                <w:i/>
                <w:iCs/>
              </w:rPr>
              <w:t>,</w:t>
            </w:r>
          </w:p>
          <w:p w14:paraId="551558A6" w14:textId="26C96D51" w:rsidR="00B42157" w:rsidRDefault="007973F2" w:rsidP="00B07814">
            <w:pPr>
              <w:tabs>
                <w:tab w:val="left" w:pos="-360"/>
                <w:tab w:val="left" w:pos="180"/>
              </w:tabs>
              <w:spacing w:line="240" w:lineRule="auto"/>
              <w:ind w:firstLine="0"/>
              <w:rPr>
                <w:i/>
                <w:iCs/>
              </w:rPr>
            </w:pPr>
            <w:r w:rsidRPr="00614020">
              <w:rPr>
                <w:i/>
                <w:iCs/>
              </w:rPr>
              <w:t>University of Louisville Physicians,</w:t>
            </w:r>
          </w:p>
          <w:p w14:paraId="78409D10" w14:textId="02CB8761" w:rsidR="007973F2" w:rsidRPr="00614020" w:rsidRDefault="007973F2" w:rsidP="00B07814">
            <w:pPr>
              <w:tabs>
                <w:tab w:val="left" w:pos="-360"/>
                <w:tab w:val="left" w:pos="180"/>
              </w:tabs>
              <w:spacing w:line="240" w:lineRule="auto"/>
              <w:ind w:firstLine="0"/>
              <w:rPr>
                <w:i/>
                <w:iCs/>
              </w:rPr>
            </w:pPr>
            <w:r w:rsidRPr="00614020">
              <w:rPr>
                <w:i/>
                <w:iCs/>
              </w:rPr>
              <w:t>Inc.</w:t>
            </w:r>
            <w:r w:rsidR="00B42157">
              <w:rPr>
                <w:i/>
                <w:iCs/>
              </w:rPr>
              <w:t>, and UofL Health, Inc.</w:t>
            </w:r>
          </w:p>
          <w:p w14:paraId="24B60726" w14:textId="77777777" w:rsidR="007973F2" w:rsidRPr="00B55872" w:rsidRDefault="007973F2" w:rsidP="00B07814">
            <w:pPr>
              <w:keepNext/>
              <w:keepLines/>
              <w:spacing w:line="240" w:lineRule="auto"/>
              <w:ind w:firstLine="0"/>
              <w:jc w:val="left"/>
              <w:rPr>
                <w:rFonts w:eastAsia="Calibri"/>
              </w:rPr>
            </w:pPr>
          </w:p>
        </w:tc>
        <w:tc>
          <w:tcPr>
            <w:tcW w:w="4490" w:type="dxa"/>
          </w:tcPr>
          <w:p w14:paraId="763CF2D3" w14:textId="3A6C70DF" w:rsidR="007973F2" w:rsidRPr="007973F2" w:rsidRDefault="007973F2" w:rsidP="00147CD8">
            <w:pPr>
              <w:keepNext/>
              <w:keepLines/>
              <w:spacing w:line="240" w:lineRule="auto"/>
              <w:ind w:firstLine="0"/>
              <w:jc w:val="left"/>
              <w:rPr>
                <w:rFonts w:eastAsia="Calibri"/>
                <w:i/>
                <w:iCs/>
              </w:rPr>
            </w:pPr>
          </w:p>
        </w:tc>
      </w:tr>
    </w:tbl>
    <w:p w14:paraId="2A943B26" w14:textId="77777777" w:rsidR="00C323E7" w:rsidRDefault="00C323E7" w:rsidP="00C323E7">
      <w:pPr>
        <w:spacing w:after="160" w:line="259" w:lineRule="auto"/>
        <w:ind w:firstLine="0"/>
        <w:jc w:val="left"/>
        <w:rPr>
          <w:rFonts w:eastAsiaTheme="minorHAnsi" w:cstheme="minorBidi"/>
          <w:szCs w:val="22"/>
          <w14:ligatures w14:val="none"/>
        </w:rPr>
      </w:pPr>
    </w:p>
    <w:p w14:paraId="299CD4E4" w14:textId="77777777" w:rsidR="00725147" w:rsidRDefault="00725147"/>
    <w:sectPr w:rsidR="00725147" w:rsidSect="00C323E7">
      <w:footerReference w:type="even" r:id="rId10"/>
      <w:footerReference w:type="defaul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2C639" w14:textId="77777777" w:rsidR="00EC4AFA" w:rsidRDefault="00EC4AFA">
      <w:pPr>
        <w:spacing w:line="240" w:lineRule="auto"/>
      </w:pPr>
      <w:r>
        <w:separator/>
      </w:r>
    </w:p>
  </w:endnote>
  <w:endnote w:type="continuationSeparator" w:id="0">
    <w:p w14:paraId="1A47618B" w14:textId="77777777" w:rsidR="00EC4AFA" w:rsidRDefault="00EC4A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DF600" w14:textId="77777777" w:rsidR="007359E2" w:rsidRDefault="007359E2">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13C325A2" w14:textId="77777777" w:rsidR="007359E2" w:rsidRDefault="007359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3018941"/>
      <w:docPartObj>
        <w:docPartGallery w:val="Page Numbers (Bottom of Page)"/>
        <w:docPartUnique/>
      </w:docPartObj>
    </w:sdtPr>
    <w:sdtEndPr>
      <w:rPr>
        <w:rFonts w:ascii="Century Schoolbook" w:hAnsi="Century Schoolbook"/>
        <w:noProof/>
        <w:sz w:val="24"/>
        <w:szCs w:val="32"/>
      </w:rPr>
    </w:sdtEndPr>
    <w:sdtContent>
      <w:p w14:paraId="29E79C41" w14:textId="77777777" w:rsidR="007359E2" w:rsidRPr="003E1E72" w:rsidRDefault="007359E2" w:rsidP="003E1E72">
        <w:pPr>
          <w:pStyle w:val="Footer"/>
          <w:ind w:firstLine="0"/>
          <w:jc w:val="center"/>
          <w:rPr>
            <w:rFonts w:ascii="Century Schoolbook" w:hAnsi="Century Schoolbook"/>
            <w:sz w:val="24"/>
            <w:szCs w:val="32"/>
          </w:rPr>
        </w:pPr>
        <w:r w:rsidRPr="003E1E72">
          <w:rPr>
            <w:rFonts w:ascii="Century Schoolbook" w:hAnsi="Century Schoolbook"/>
            <w:sz w:val="24"/>
            <w:szCs w:val="32"/>
          </w:rPr>
          <w:fldChar w:fldCharType="begin"/>
        </w:r>
        <w:r w:rsidRPr="003E1E72">
          <w:rPr>
            <w:rFonts w:ascii="Century Schoolbook" w:hAnsi="Century Schoolbook"/>
            <w:sz w:val="24"/>
            <w:szCs w:val="32"/>
          </w:rPr>
          <w:instrText xml:space="preserve"> PAGE   \* MERGEFORMAT </w:instrText>
        </w:r>
        <w:r w:rsidRPr="003E1E72">
          <w:rPr>
            <w:rFonts w:ascii="Century Schoolbook" w:hAnsi="Century Schoolbook"/>
            <w:sz w:val="24"/>
            <w:szCs w:val="32"/>
          </w:rPr>
          <w:fldChar w:fldCharType="separate"/>
        </w:r>
        <w:r w:rsidRPr="003E1E72">
          <w:rPr>
            <w:rFonts w:ascii="Century Schoolbook" w:hAnsi="Century Schoolbook"/>
            <w:noProof/>
            <w:sz w:val="24"/>
            <w:szCs w:val="32"/>
          </w:rPr>
          <w:t>2</w:t>
        </w:r>
        <w:r w:rsidRPr="003E1E72">
          <w:rPr>
            <w:rFonts w:ascii="Century Schoolbook" w:hAnsi="Century Schoolbook"/>
            <w:noProof/>
            <w:sz w:val="24"/>
            <w:szCs w:val="32"/>
          </w:rPr>
          <w:fldChar w:fldCharType="end"/>
        </w:r>
      </w:p>
    </w:sdtContent>
  </w:sdt>
  <w:p w14:paraId="35622987" w14:textId="77777777" w:rsidR="007359E2" w:rsidRDefault="007359E2" w:rsidP="003E1E72">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908C8" w14:textId="259320CB" w:rsidR="007359E2" w:rsidRDefault="007359E2">
    <w:pPr>
      <w:pStyle w:val="Footer"/>
    </w:pPr>
    <w:r>
      <w:fldChar w:fldCharType="begin"/>
    </w:r>
    <w:r>
      <w:instrText xml:space="preserve"> IF </w:instrText>
    </w:r>
    <w:fldSimple w:instr=" NUMPAGES ">
      <w:r w:rsidR="00D72367">
        <w:rPr>
          <w:noProof/>
        </w:rPr>
        <w:instrText>12</w:instrText>
      </w:r>
    </w:fldSimple>
    <w:r>
      <w:instrText xml:space="preserve"> = </w:instrText>
    </w:r>
    <w:r>
      <w:fldChar w:fldCharType="begin"/>
    </w:r>
    <w:r>
      <w:instrText xml:space="preserve"> PAGE </w:instrText>
    </w:r>
    <w:r>
      <w:fldChar w:fldCharType="separate"/>
    </w:r>
    <w:r w:rsidR="00D72367">
      <w:rPr>
        <w:noProof/>
      </w:rPr>
      <w:instrText>1</w:instrText>
    </w:r>
    <w:r>
      <w:fldChar w:fldCharType="end"/>
    </w:r>
    <w:r>
      <w:instrText xml:space="preserve"> "</w:instrText>
    </w:r>
    <w:fldSimple w:instr=" FILENAME \p \* Lower ">
      <w:r>
        <w:rPr>
          <w:noProof/>
        </w:rPr>
        <w:instrText>document37</w:instrText>
      </w:r>
    </w:fldSimple>
    <w:r>
      <w:instrText xml:space="preserve">" "" \* MERGEFORMAT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BA6BC" w14:textId="77777777" w:rsidR="00EC4AFA" w:rsidRDefault="00EC4AFA">
      <w:pPr>
        <w:spacing w:line="240" w:lineRule="auto"/>
      </w:pPr>
      <w:r>
        <w:separator/>
      </w:r>
    </w:p>
  </w:footnote>
  <w:footnote w:type="continuationSeparator" w:id="0">
    <w:p w14:paraId="1B6432DB" w14:textId="77777777" w:rsidR="00EC4AFA" w:rsidRDefault="00EC4AF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901" w:allStyles="1" w:customStyles="0" w:latentStyles="0" w:stylesInUse="0" w:headingStyles="0" w:numberingStyles="0" w:tableStyles="0" w:directFormattingOnRuns="1" w:directFormattingOnParagraphs="0" w:directFormattingOnNumbering="0"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3E7"/>
    <w:rsid w:val="00012CF5"/>
    <w:rsid w:val="00025D67"/>
    <w:rsid w:val="000647BA"/>
    <w:rsid w:val="00074ACD"/>
    <w:rsid w:val="000C75A0"/>
    <w:rsid w:val="000D0E06"/>
    <w:rsid w:val="000E0B8F"/>
    <w:rsid w:val="000E5DCB"/>
    <w:rsid w:val="00123081"/>
    <w:rsid w:val="001C07B2"/>
    <w:rsid w:val="001E6C94"/>
    <w:rsid w:val="001E769B"/>
    <w:rsid w:val="0020282E"/>
    <w:rsid w:val="00211B8A"/>
    <w:rsid w:val="0028303A"/>
    <w:rsid w:val="00294960"/>
    <w:rsid w:val="002B343A"/>
    <w:rsid w:val="002C005F"/>
    <w:rsid w:val="002F2A07"/>
    <w:rsid w:val="00364CC6"/>
    <w:rsid w:val="003B6C86"/>
    <w:rsid w:val="00485DF2"/>
    <w:rsid w:val="004C33E5"/>
    <w:rsid w:val="004D7549"/>
    <w:rsid w:val="005143CF"/>
    <w:rsid w:val="00534A67"/>
    <w:rsid w:val="0054331A"/>
    <w:rsid w:val="00544C40"/>
    <w:rsid w:val="00580D01"/>
    <w:rsid w:val="00615A9B"/>
    <w:rsid w:val="00643081"/>
    <w:rsid w:val="0065165D"/>
    <w:rsid w:val="00686994"/>
    <w:rsid w:val="006A2EC6"/>
    <w:rsid w:val="006B2C65"/>
    <w:rsid w:val="006C3791"/>
    <w:rsid w:val="006C673A"/>
    <w:rsid w:val="006D354E"/>
    <w:rsid w:val="006E45CC"/>
    <w:rsid w:val="00725147"/>
    <w:rsid w:val="007359E2"/>
    <w:rsid w:val="007973F2"/>
    <w:rsid w:val="007A3F9D"/>
    <w:rsid w:val="007D31B6"/>
    <w:rsid w:val="007F1F08"/>
    <w:rsid w:val="00801322"/>
    <w:rsid w:val="008876BB"/>
    <w:rsid w:val="008B6DDB"/>
    <w:rsid w:val="008C6B51"/>
    <w:rsid w:val="00905D5D"/>
    <w:rsid w:val="009768FE"/>
    <w:rsid w:val="009C6BB3"/>
    <w:rsid w:val="009E0BC6"/>
    <w:rsid w:val="00A07B32"/>
    <w:rsid w:val="00AB06DB"/>
    <w:rsid w:val="00AC1371"/>
    <w:rsid w:val="00AC1901"/>
    <w:rsid w:val="00B06ACD"/>
    <w:rsid w:val="00B07814"/>
    <w:rsid w:val="00B42157"/>
    <w:rsid w:val="00B76C5F"/>
    <w:rsid w:val="00B77A98"/>
    <w:rsid w:val="00B81437"/>
    <w:rsid w:val="00BB1A03"/>
    <w:rsid w:val="00C323E7"/>
    <w:rsid w:val="00C402D7"/>
    <w:rsid w:val="00C47EE8"/>
    <w:rsid w:val="00C95DAB"/>
    <w:rsid w:val="00CA61EF"/>
    <w:rsid w:val="00CD3491"/>
    <w:rsid w:val="00D47EA4"/>
    <w:rsid w:val="00D72367"/>
    <w:rsid w:val="00DC3D6A"/>
    <w:rsid w:val="00E20FE9"/>
    <w:rsid w:val="00E21C5E"/>
    <w:rsid w:val="00E5380B"/>
    <w:rsid w:val="00EC335B"/>
    <w:rsid w:val="00EC4AFA"/>
    <w:rsid w:val="00F02E9A"/>
    <w:rsid w:val="00F25713"/>
    <w:rsid w:val="00F529E9"/>
    <w:rsid w:val="00F92D5E"/>
    <w:rsid w:val="00FC7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00D58"/>
  <w15:chartTrackingRefBased/>
  <w15:docId w15:val="{BE958755-5546-431A-92CF-539CFF4F5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ldg"/>
    <w:qFormat/>
    <w:rsid w:val="00C323E7"/>
    <w:pPr>
      <w:spacing w:line="480" w:lineRule="auto"/>
      <w:ind w:firstLine="720"/>
      <w:jc w:val="both"/>
    </w:pPr>
    <w:rPr>
      <w:rFonts w:ascii="Century Schoolbook" w:eastAsia="Times New Roman" w:hAnsi="Century Schoolbook"/>
      <w:kern w:val="0"/>
      <w:sz w:val="24"/>
      <w:szCs w:val="24"/>
    </w:rPr>
  </w:style>
  <w:style w:type="paragraph" w:styleId="Heading1">
    <w:name w:val="heading 1"/>
    <w:basedOn w:val="Normal"/>
    <w:next w:val="Normal"/>
    <w:link w:val="Heading1Char"/>
    <w:uiPriority w:val="9"/>
    <w:qFormat/>
    <w:rsid w:val="00C323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23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3E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3E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323E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323E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23E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23E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23E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C95DAB"/>
    <w:pPr>
      <w:framePr w:w="7920" w:h="1980" w:hRule="exact" w:hSpace="180" w:wrap="auto" w:hAnchor="page" w:xAlign="center" w:yAlign="bottom"/>
      <w:ind w:left="2880"/>
    </w:pPr>
    <w:rPr>
      <w:rFonts w:eastAsiaTheme="majorEastAsia" w:cstheme="majorBidi"/>
    </w:rPr>
  </w:style>
  <w:style w:type="character" w:customStyle="1" w:styleId="Heading1Char">
    <w:name w:val="Heading 1 Char"/>
    <w:basedOn w:val="DefaultParagraphFont"/>
    <w:link w:val="Heading1"/>
    <w:uiPriority w:val="9"/>
    <w:rsid w:val="00C323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23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23E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23E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323E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323E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323E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323E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323E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323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3E7"/>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3E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323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23E7"/>
    <w:rPr>
      <w:i/>
      <w:iCs/>
      <w:color w:val="404040" w:themeColor="text1" w:themeTint="BF"/>
    </w:rPr>
  </w:style>
  <w:style w:type="paragraph" w:styleId="ListParagraph">
    <w:name w:val="List Paragraph"/>
    <w:basedOn w:val="Normal"/>
    <w:uiPriority w:val="34"/>
    <w:qFormat/>
    <w:rsid w:val="00C323E7"/>
    <w:pPr>
      <w:ind w:left="720"/>
      <w:contextualSpacing/>
    </w:pPr>
  </w:style>
  <w:style w:type="character" w:styleId="IntenseEmphasis">
    <w:name w:val="Intense Emphasis"/>
    <w:basedOn w:val="DefaultParagraphFont"/>
    <w:uiPriority w:val="21"/>
    <w:qFormat/>
    <w:rsid w:val="00C323E7"/>
    <w:rPr>
      <w:i/>
      <w:iCs/>
      <w:color w:val="2F5496" w:themeColor="accent1" w:themeShade="BF"/>
    </w:rPr>
  </w:style>
  <w:style w:type="paragraph" w:styleId="IntenseQuote">
    <w:name w:val="Intense Quote"/>
    <w:basedOn w:val="Normal"/>
    <w:next w:val="Normal"/>
    <w:link w:val="IntenseQuoteChar"/>
    <w:uiPriority w:val="30"/>
    <w:qFormat/>
    <w:rsid w:val="00C323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3E7"/>
    <w:rPr>
      <w:i/>
      <w:iCs/>
      <w:color w:val="2F5496" w:themeColor="accent1" w:themeShade="BF"/>
    </w:rPr>
  </w:style>
  <w:style w:type="character" w:styleId="IntenseReference">
    <w:name w:val="Intense Reference"/>
    <w:basedOn w:val="DefaultParagraphFont"/>
    <w:uiPriority w:val="32"/>
    <w:qFormat/>
    <w:rsid w:val="00C323E7"/>
    <w:rPr>
      <w:b/>
      <w:bCs/>
      <w:smallCaps/>
      <w:color w:val="2F5496" w:themeColor="accent1" w:themeShade="BF"/>
      <w:spacing w:val="5"/>
    </w:rPr>
  </w:style>
  <w:style w:type="paragraph" w:styleId="Footer">
    <w:name w:val="footer"/>
    <w:link w:val="FooterChar"/>
    <w:uiPriority w:val="99"/>
    <w:rsid w:val="00C323E7"/>
    <w:pPr>
      <w:tabs>
        <w:tab w:val="center" w:pos="4320"/>
        <w:tab w:val="right" w:pos="8640"/>
      </w:tabs>
      <w:spacing w:line="480" w:lineRule="auto"/>
      <w:ind w:firstLine="720"/>
      <w:jc w:val="both"/>
    </w:pPr>
    <w:rPr>
      <w:rFonts w:eastAsia="Times New Roman"/>
      <w:kern w:val="0"/>
      <w:sz w:val="16"/>
    </w:rPr>
  </w:style>
  <w:style w:type="character" w:customStyle="1" w:styleId="FooterChar">
    <w:name w:val="Footer Char"/>
    <w:basedOn w:val="DefaultParagraphFont"/>
    <w:link w:val="Footer"/>
    <w:uiPriority w:val="99"/>
    <w:rsid w:val="00C323E7"/>
    <w:rPr>
      <w:rFonts w:eastAsia="Times New Roman"/>
      <w:kern w:val="0"/>
      <w:sz w:val="16"/>
    </w:rPr>
  </w:style>
  <w:style w:type="character" w:styleId="PageNumber">
    <w:name w:val="page number"/>
    <w:basedOn w:val="DefaultParagraphFont"/>
    <w:rsid w:val="00C323E7"/>
    <w:rPr>
      <w:sz w:val="24"/>
    </w:rPr>
  </w:style>
  <w:style w:type="table" w:customStyle="1" w:styleId="TableGrid1">
    <w:name w:val="Table Grid1"/>
    <w:basedOn w:val="TableNormal"/>
    <w:next w:val="TableGrid"/>
    <w:uiPriority w:val="39"/>
    <w:rsid w:val="00C323E7"/>
    <w:rPr>
      <w:rFonts w:ascii="Century Schoolbook" w:eastAsia="Calibri" w:hAnsi="Century Schoolbook"/>
      <w:kern w:val="0"/>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C323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0B8F"/>
    <w:rPr>
      <w:color w:val="0563C1" w:themeColor="hyperlink"/>
      <w:u w:val="single"/>
    </w:rPr>
  </w:style>
  <w:style w:type="character" w:styleId="UnresolvedMention">
    <w:name w:val="Unresolved Mention"/>
    <w:basedOn w:val="DefaultParagraphFont"/>
    <w:uiPriority w:val="99"/>
    <w:semiHidden/>
    <w:unhideWhenUsed/>
    <w:rsid w:val="000E0B8F"/>
    <w:rPr>
      <w:color w:val="605E5C"/>
      <w:shd w:val="clear" w:color="auto" w:fill="E1DFDD"/>
    </w:rPr>
  </w:style>
  <w:style w:type="character" w:styleId="FootnoteReference">
    <w:name w:val="footnote reference"/>
    <w:basedOn w:val="DefaultParagraphFont"/>
    <w:uiPriority w:val="99"/>
    <w:semiHidden/>
    <w:unhideWhenUsed/>
    <w:rsid w:val="00B76C5F"/>
    <w:rPr>
      <w:vertAlign w:val="superscript"/>
    </w:rPr>
  </w:style>
  <w:style w:type="paragraph" w:customStyle="1" w:styleId="Ftnbdy">
    <w:name w:val="Ftn bdy"/>
    <w:basedOn w:val="FootnoteText"/>
    <w:qFormat/>
    <w:rsid w:val="00B76C5F"/>
    <w:pPr>
      <w:keepNext/>
      <w:keepLines/>
      <w:widowControl w:val="0"/>
      <w:tabs>
        <w:tab w:val="left" w:pos="446"/>
        <w:tab w:val="left" w:pos="540"/>
      </w:tabs>
      <w:spacing w:after="120"/>
      <w:ind w:firstLine="0"/>
      <w:jc w:val="left"/>
    </w:pPr>
    <w:rPr>
      <w:rFonts w:eastAsiaTheme="minorHAnsi" w:cstheme="minorBidi"/>
      <w:sz w:val="24"/>
      <w:szCs w:val="24"/>
      <w14:ligatures w14:val="none"/>
    </w:rPr>
  </w:style>
  <w:style w:type="paragraph" w:customStyle="1" w:styleId="BrfBdy">
    <w:name w:val="Brf Bdy"/>
    <w:qFormat/>
    <w:rsid w:val="00B76C5F"/>
    <w:pPr>
      <w:widowControl w:val="0"/>
      <w:spacing w:line="480" w:lineRule="auto"/>
      <w:ind w:firstLine="720"/>
    </w:pPr>
    <w:rPr>
      <w:rFonts w:ascii="Century Schoolbook" w:hAnsi="Century Schoolbook" w:cstheme="minorBidi"/>
      <w:kern w:val="0"/>
      <w:sz w:val="24"/>
      <w:szCs w:val="22"/>
      <w14:ligatures w14:val="none"/>
    </w:rPr>
  </w:style>
  <w:style w:type="paragraph" w:customStyle="1" w:styleId="CaseQuote">
    <w:name w:val="Case Quote"/>
    <w:basedOn w:val="Normal"/>
    <w:qFormat/>
    <w:rsid w:val="00B76C5F"/>
    <w:pPr>
      <w:widowControl w:val="0"/>
      <w:tabs>
        <w:tab w:val="left" w:pos="720"/>
      </w:tabs>
      <w:spacing w:after="120" w:line="240" w:lineRule="auto"/>
      <w:ind w:left="720" w:firstLine="0"/>
      <w:jc w:val="left"/>
    </w:pPr>
    <w:rPr>
      <w:rFonts w:ascii="Bookman Old Style" w:eastAsiaTheme="minorHAnsi" w:hAnsi="Bookman Old Style" w:cstheme="minorBidi"/>
      <w:szCs w:val="22"/>
      <w14:ligatures w14:val="none"/>
    </w:rPr>
  </w:style>
  <w:style w:type="paragraph" w:styleId="FootnoteText">
    <w:name w:val="footnote text"/>
    <w:basedOn w:val="Normal"/>
    <w:link w:val="FootnoteTextChar"/>
    <w:uiPriority w:val="99"/>
    <w:semiHidden/>
    <w:unhideWhenUsed/>
    <w:rsid w:val="00B76C5F"/>
    <w:pPr>
      <w:spacing w:line="240" w:lineRule="auto"/>
    </w:pPr>
    <w:rPr>
      <w:sz w:val="20"/>
      <w:szCs w:val="20"/>
    </w:rPr>
  </w:style>
  <w:style w:type="character" w:customStyle="1" w:styleId="FootnoteTextChar">
    <w:name w:val="Footnote Text Char"/>
    <w:basedOn w:val="DefaultParagraphFont"/>
    <w:link w:val="FootnoteText"/>
    <w:uiPriority w:val="99"/>
    <w:semiHidden/>
    <w:rsid w:val="00B76C5F"/>
    <w:rPr>
      <w:rFonts w:ascii="Century Schoolbook" w:eastAsia="Times New Roman" w:hAnsi="Century Schoolbook"/>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cid:1A939B53-5D43-4D16-9281-F97CCE315254" TargetMode="Externa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3.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12</Pages>
  <Words>2533</Words>
  <Characters>12164</Characters>
  <Application>Microsoft Office Word</Application>
  <DocSecurity>0</DocSecurity>
  <Lines>311</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Peterson</dc:creator>
  <cp:keywords/>
  <dc:description/>
  <cp:lastModifiedBy>Sheldon L. Haden</cp:lastModifiedBy>
  <cp:revision>16</cp:revision>
  <dcterms:created xsi:type="dcterms:W3CDTF">2026-05-31T18:00:00Z</dcterms:created>
  <dcterms:modified xsi:type="dcterms:W3CDTF">2026-06-03T20:39:00Z</dcterms:modified>
</cp:coreProperties>
</file>