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F287A" w14:textId="67684CBF" w:rsidR="00C323E7" w:rsidRPr="00404255" w:rsidRDefault="00C323E7" w:rsidP="00C323E7">
      <w:pPr>
        <w:tabs>
          <w:tab w:val="right" w:pos="9360"/>
        </w:tabs>
        <w:autoSpaceDE w:val="0"/>
        <w:autoSpaceDN w:val="0"/>
        <w:adjustRightInd w:val="0"/>
        <w:spacing w:line="240" w:lineRule="auto"/>
        <w:ind w:firstLine="0"/>
        <w:rPr>
          <w:bCs/>
        </w:rPr>
      </w:pPr>
      <w:bookmarkStart w:id="0" w:name="_Hlk140673346"/>
      <w:r w:rsidRPr="00404255">
        <w:rPr>
          <w:bCs/>
        </w:rPr>
        <w:t>NO.</w:t>
      </w:r>
      <w:r>
        <w:rPr>
          <w:bCs/>
        </w:rPr>
        <w:t xml:space="preserve"> </w:t>
      </w:r>
      <w:r w:rsidR="008C6B51">
        <w:rPr>
          <w:bCs/>
        </w:rPr>
        <w:t>25-CI-002964</w:t>
      </w:r>
      <w:r>
        <w:rPr>
          <w:bCs/>
        </w:rPr>
        <w:tab/>
      </w:r>
      <w:r w:rsidRPr="00404255">
        <w:rPr>
          <w:bCs/>
        </w:rPr>
        <w:t>JEFFERSON CIRCUIT COURT</w:t>
      </w:r>
    </w:p>
    <w:p w14:paraId="2E209661" w14:textId="0036590A" w:rsidR="00C323E7" w:rsidRPr="00404255" w:rsidRDefault="00C323E7" w:rsidP="00C323E7">
      <w:pPr>
        <w:tabs>
          <w:tab w:val="right" w:pos="9360"/>
        </w:tabs>
        <w:autoSpaceDE w:val="0"/>
        <w:autoSpaceDN w:val="0"/>
        <w:adjustRightInd w:val="0"/>
        <w:spacing w:line="240" w:lineRule="auto"/>
        <w:rPr>
          <w:bCs/>
        </w:rPr>
      </w:pPr>
      <w:r w:rsidRPr="00404255">
        <w:rPr>
          <w:bCs/>
        </w:rPr>
        <w:tab/>
        <w:t>DIVISION</w:t>
      </w:r>
      <w:r>
        <w:rPr>
          <w:bCs/>
        </w:rPr>
        <w:t xml:space="preserve"> </w:t>
      </w:r>
      <w:r w:rsidR="006C3791">
        <w:rPr>
          <w:bCs/>
        </w:rPr>
        <w:t>FOUR (4)</w:t>
      </w:r>
      <w:r w:rsidRPr="00404255">
        <w:rPr>
          <w:bCs/>
        </w:rPr>
        <w:t xml:space="preserve"> </w:t>
      </w:r>
    </w:p>
    <w:p w14:paraId="3335DAB6" w14:textId="03FC3350" w:rsidR="00C323E7" w:rsidRDefault="00C323E7" w:rsidP="00C323E7">
      <w:pPr>
        <w:tabs>
          <w:tab w:val="right" w:pos="9360"/>
        </w:tabs>
        <w:autoSpaceDE w:val="0"/>
        <w:autoSpaceDN w:val="0"/>
        <w:adjustRightInd w:val="0"/>
        <w:spacing w:line="240" w:lineRule="auto"/>
        <w:rPr>
          <w:bCs/>
        </w:rPr>
      </w:pPr>
      <w:r w:rsidRPr="00404255">
        <w:rPr>
          <w:bCs/>
        </w:rPr>
        <w:tab/>
        <w:t>JUDGE</w:t>
      </w:r>
      <w:r>
        <w:rPr>
          <w:bCs/>
        </w:rPr>
        <w:t xml:space="preserve"> </w:t>
      </w:r>
      <w:r w:rsidR="006C3791">
        <w:rPr>
          <w:bCs/>
        </w:rPr>
        <w:t>JULIE KAELIN</w:t>
      </w:r>
      <w:r w:rsidRPr="00404255">
        <w:rPr>
          <w:bCs/>
        </w:rPr>
        <w:t xml:space="preserve"> </w:t>
      </w:r>
    </w:p>
    <w:p w14:paraId="341438EE" w14:textId="77777777" w:rsidR="00C323E7" w:rsidRPr="00712829" w:rsidRDefault="00C323E7" w:rsidP="00C323E7">
      <w:pPr>
        <w:spacing w:line="240" w:lineRule="auto"/>
        <w:rPr>
          <w:bCs/>
        </w:rPr>
      </w:pPr>
    </w:p>
    <w:p w14:paraId="06D8E0E0" w14:textId="77777777" w:rsidR="00C323E7" w:rsidRDefault="00C323E7" w:rsidP="00C323E7">
      <w:pPr>
        <w:tabs>
          <w:tab w:val="right" w:pos="9360"/>
        </w:tabs>
        <w:spacing w:line="240" w:lineRule="auto"/>
        <w:ind w:firstLine="0"/>
        <w:jc w:val="center"/>
        <w:rPr>
          <w:bCs/>
          <w:i/>
        </w:rPr>
      </w:pPr>
      <w:r w:rsidRPr="00B13AA9">
        <w:rPr>
          <w:bCs/>
          <w:i/>
        </w:rPr>
        <w:t>ELECTRONICALLY FILED</w:t>
      </w:r>
    </w:p>
    <w:p w14:paraId="49379FC1" w14:textId="77777777" w:rsidR="00C323E7" w:rsidRPr="00B13AA9" w:rsidRDefault="00C323E7" w:rsidP="00C323E7">
      <w:pPr>
        <w:tabs>
          <w:tab w:val="right" w:pos="9360"/>
        </w:tabs>
        <w:spacing w:line="240" w:lineRule="auto"/>
        <w:jc w:val="center"/>
        <w:rPr>
          <w:bCs/>
          <w:i/>
        </w:rPr>
      </w:pPr>
    </w:p>
    <w:p w14:paraId="75F899A9" w14:textId="77777777" w:rsidR="00C323E7" w:rsidRPr="00B55872" w:rsidRDefault="00C323E7" w:rsidP="00C323E7">
      <w:pPr>
        <w:tabs>
          <w:tab w:val="right" w:pos="9360"/>
        </w:tabs>
        <w:autoSpaceDE w:val="0"/>
        <w:autoSpaceDN w:val="0"/>
        <w:adjustRightInd w:val="0"/>
        <w:spacing w:line="240" w:lineRule="auto"/>
        <w:ind w:firstLine="0"/>
        <w:jc w:val="left"/>
        <w:rPr>
          <w:rFonts w:eastAsiaTheme="minorHAnsi"/>
          <w:bCs/>
          <w:kern w:val="2"/>
        </w:rPr>
      </w:pPr>
    </w:p>
    <w:p w14:paraId="7F6CEC21" w14:textId="44A6EAE9" w:rsidR="00F92D5E" w:rsidRDefault="00544C40" w:rsidP="00544C40">
      <w:pPr>
        <w:tabs>
          <w:tab w:val="right" w:pos="9360"/>
        </w:tabs>
        <w:autoSpaceDE w:val="0"/>
        <w:autoSpaceDN w:val="0"/>
        <w:adjustRightInd w:val="0"/>
        <w:spacing w:line="240" w:lineRule="auto"/>
        <w:ind w:firstLine="0"/>
        <w:jc w:val="left"/>
        <w:rPr>
          <w:rFonts w:eastAsiaTheme="minorHAnsi"/>
          <w:bCs/>
          <w:kern w:val="2"/>
        </w:rPr>
      </w:pPr>
      <w:bookmarkStart w:id="1" w:name="_Hlk195783951"/>
      <w:r w:rsidRPr="00B55872">
        <w:rPr>
          <w:rFonts w:eastAsiaTheme="minorHAnsi"/>
          <w:bCs/>
          <w:kern w:val="2"/>
        </w:rPr>
        <w:t>CHARLES TINKER, INDIVIDUALLY AND</w:t>
      </w:r>
    </w:p>
    <w:p w14:paraId="6AE2E8D5" w14:textId="0DA1FF1C" w:rsidR="00F92D5E" w:rsidRDefault="00544C40" w:rsidP="00544C40">
      <w:pPr>
        <w:tabs>
          <w:tab w:val="right" w:pos="9360"/>
        </w:tabs>
        <w:autoSpaceDE w:val="0"/>
        <w:autoSpaceDN w:val="0"/>
        <w:adjustRightInd w:val="0"/>
        <w:spacing w:line="240" w:lineRule="auto"/>
        <w:ind w:firstLine="0"/>
        <w:jc w:val="left"/>
        <w:rPr>
          <w:rFonts w:eastAsiaTheme="minorHAnsi"/>
          <w:bCs/>
          <w:kern w:val="2"/>
        </w:rPr>
      </w:pPr>
      <w:r w:rsidRPr="00B55872">
        <w:rPr>
          <w:rFonts w:eastAsiaTheme="minorHAnsi"/>
          <w:bCs/>
          <w:kern w:val="2"/>
        </w:rPr>
        <w:t>AS EXECUTOR</w:t>
      </w:r>
      <w:r w:rsidR="00F92D5E">
        <w:rPr>
          <w:rFonts w:eastAsiaTheme="minorHAnsi"/>
          <w:bCs/>
          <w:kern w:val="2"/>
        </w:rPr>
        <w:t xml:space="preserve"> </w:t>
      </w:r>
      <w:r w:rsidRPr="00B55872">
        <w:rPr>
          <w:rFonts w:eastAsiaTheme="minorHAnsi"/>
          <w:bCs/>
          <w:kern w:val="2"/>
        </w:rPr>
        <w:t>OF THE ESTATE OF</w:t>
      </w:r>
    </w:p>
    <w:p w14:paraId="13444F5A" w14:textId="36F833AB" w:rsidR="00544C40" w:rsidRPr="00F92D5E" w:rsidRDefault="00544C40" w:rsidP="00544C40">
      <w:pPr>
        <w:tabs>
          <w:tab w:val="right" w:pos="9360"/>
        </w:tabs>
        <w:autoSpaceDE w:val="0"/>
        <w:autoSpaceDN w:val="0"/>
        <w:adjustRightInd w:val="0"/>
        <w:spacing w:line="240" w:lineRule="auto"/>
        <w:ind w:firstLine="0"/>
        <w:jc w:val="left"/>
        <w:rPr>
          <w:rFonts w:eastAsiaTheme="minorHAnsi"/>
          <w:bCs/>
          <w:kern w:val="2"/>
        </w:rPr>
      </w:pPr>
      <w:r w:rsidRPr="00B55872">
        <w:rPr>
          <w:rFonts w:eastAsiaTheme="minorHAnsi"/>
          <w:bCs/>
          <w:kern w:val="2"/>
        </w:rPr>
        <w:t xml:space="preserve">THELMA TINKER, DECEASED, </w:t>
      </w:r>
      <w:r>
        <w:rPr>
          <w:rFonts w:eastAsiaTheme="minorHAnsi"/>
          <w:bCs/>
          <w:kern w:val="2"/>
        </w:rPr>
        <w:t>ET AL.</w:t>
      </w:r>
      <w:r>
        <w:rPr>
          <w:rFonts w:eastAsiaTheme="minorHAnsi"/>
          <w:bCs/>
          <w:kern w:val="2"/>
        </w:rPr>
        <w:tab/>
      </w:r>
      <w:r w:rsidRPr="00303DA6">
        <w:rPr>
          <w:bCs/>
        </w:rPr>
        <w:t>PLAINTIFF</w:t>
      </w:r>
      <w:r>
        <w:rPr>
          <w:bCs/>
        </w:rPr>
        <w:t>S</w:t>
      </w:r>
    </w:p>
    <w:bookmarkEnd w:id="1"/>
    <w:p w14:paraId="373E874F" w14:textId="77777777" w:rsidR="00C323E7" w:rsidRPr="00303DA6" w:rsidRDefault="00C323E7" w:rsidP="00C323E7">
      <w:pPr>
        <w:spacing w:line="240" w:lineRule="auto"/>
        <w:ind w:firstLine="0"/>
        <w:rPr>
          <w:bCs/>
        </w:rPr>
      </w:pPr>
    </w:p>
    <w:p w14:paraId="265B4E09" w14:textId="77777777" w:rsidR="00B76C5F" w:rsidRDefault="00C323E7" w:rsidP="00C323E7">
      <w:pPr>
        <w:tabs>
          <w:tab w:val="center" w:pos="4680"/>
        </w:tabs>
        <w:spacing w:line="240" w:lineRule="auto"/>
        <w:ind w:firstLine="0"/>
        <w:rPr>
          <w:bCs/>
        </w:rPr>
      </w:pPr>
      <w:r w:rsidRPr="00133B9B">
        <w:rPr>
          <w:bCs/>
        </w:rPr>
        <w:t>v.</w:t>
      </w:r>
    </w:p>
    <w:p w14:paraId="74D9C1C1" w14:textId="0664F080" w:rsidR="00C323E7" w:rsidRDefault="00B76C5F" w:rsidP="00B76C5F">
      <w:pPr>
        <w:tabs>
          <w:tab w:val="center" w:pos="4680"/>
        </w:tabs>
        <w:spacing w:line="240" w:lineRule="auto"/>
        <w:ind w:firstLine="0"/>
        <w:jc w:val="center"/>
        <w:rPr>
          <w:b/>
          <w:bCs/>
          <w:u w:val="single"/>
        </w:rPr>
      </w:pPr>
      <w:r>
        <w:rPr>
          <w:b/>
          <w:bCs/>
          <w:u w:val="single"/>
        </w:rPr>
        <w:t>PLAINTIFFS' RESPONSE TO UofL DEFENDANTS' MOTION FOR PROTECTIVE ORDER</w:t>
      </w:r>
    </w:p>
    <w:p w14:paraId="61DCBC2B" w14:textId="77777777" w:rsidR="00B76C5F" w:rsidRDefault="00B76C5F" w:rsidP="00C323E7">
      <w:pPr>
        <w:tabs>
          <w:tab w:val="center" w:pos="4680"/>
        </w:tabs>
        <w:spacing w:line="240" w:lineRule="auto"/>
        <w:ind w:firstLine="0"/>
        <w:rPr>
          <w:b/>
          <w:bCs/>
          <w:u w:val="single"/>
        </w:rPr>
      </w:pPr>
    </w:p>
    <w:p w14:paraId="60EB0412" w14:textId="77777777" w:rsidR="00C323E7" w:rsidRPr="003B4F92" w:rsidRDefault="00C323E7" w:rsidP="00C323E7">
      <w:pPr>
        <w:spacing w:line="240" w:lineRule="auto"/>
        <w:ind w:firstLine="0"/>
        <w:rPr>
          <w:bCs/>
        </w:rPr>
      </w:pPr>
    </w:p>
    <w:p w14:paraId="3308033A" w14:textId="77777777" w:rsidR="00C323E7" w:rsidRDefault="00C323E7" w:rsidP="00C323E7">
      <w:pPr>
        <w:tabs>
          <w:tab w:val="right" w:pos="9360"/>
        </w:tabs>
        <w:spacing w:line="240" w:lineRule="auto"/>
        <w:ind w:firstLine="0"/>
        <w:rPr>
          <w:bCs/>
        </w:rPr>
      </w:pPr>
      <w:r w:rsidRPr="00303DA6">
        <w:rPr>
          <w:bCs/>
        </w:rPr>
        <w:t>UofL HEALTH-LOUISVILLE, I</w:t>
      </w:r>
      <w:r>
        <w:rPr>
          <w:bCs/>
        </w:rPr>
        <w:t>NC.</w:t>
      </w:r>
    </w:p>
    <w:p w14:paraId="557095FF" w14:textId="5ACA112C" w:rsidR="00C323E7" w:rsidRPr="00303DA6" w:rsidRDefault="00C323E7" w:rsidP="00C323E7">
      <w:pPr>
        <w:tabs>
          <w:tab w:val="right" w:pos="9360"/>
        </w:tabs>
        <w:spacing w:line="240" w:lineRule="auto"/>
        <w:ind w:firstLine="0"/>
        <w:rPr>
          <w:bCs/>
        </w:rPr>
      </w:pPr>
      <w:r w:rsidRPr="00303DA6">
        <w:rPr>
          <w:bCs/>
        </w:rPr>
        <w:t>d/b/a</w:t>
      </w:r>
      <w:r w:rsidRPr="00303DA6">
        <w:rPr>
          <w:bCs/>
          <w:i/>
          <w:iCs/>
        </w:rPr>
        <w:t xml:space="preserve"> </w:t>
      </w:r>
      <w:r w:rsidRPr="00303DA6">
        <w:rPr>
          <w:bCs/>
        </w:rPr>
        <w:t>UofL H</w:t>
      </w:r>
      <w:r w:rsidR="00E21C5E">
        <w:rPr>
          <w:bCs/>
        </w:rPr>
        <w:t>EALTH</w:t>
      </w:r>
      <w:r>
        <w:rPr>
          <w:bCs/>
        </w:rPr>
        <w:t>, ET AL.</w:t>
      </w:r>
      <w:r w:rsidRPr="00303DA6">
        <w:rPr>
          <w:bCs/>
        </w:rPr>
        <w:tab/>
        <w:t xml:space="preserve"> DEFENDANT</w:t>
      </w:r>
      <w:r>
        <w:rPr>
          <w:bCs/>
        </w:rPr>
        <w:t>S</w:t>
      </w:r>
    </w:p>
    <w:bookmarkEnd w:id="0"/>
    <w:p w14:paraId="5B372DE1" w14:textId="77777777" w:rsidR="00C323E7" w:rsidRPr="00303DA6" w:rsidRDefault="00C323E7" w:rsidP="00C323E7">
      <w:pPr>
        <w:spacing w:line="240" w:lineRule="auto"/>
        <w:ind w:firstLine="0"/>
        <w:rPr>
          <w:bCs/>
        </w:rPr>
      </w:pPr>
    </w:p>
    <w:p w14:paraId="6EE7ED32" w14:textId="77777777" w:rsidR="00C323E7" w:rsidRDefault="00C323E7" w:rsidP="00C323E7">
      <w:pPr>
        <w:autoSpaceDE w:val="0"/>
        <w:autoSpaceDN w:val="0"/>
        <w:adjustRightInd w:val="0"/>
        <w:spacing w:line="240" w:lineRule="auto"/>
        <w:jc w:val="center"/>
      </w:pPr>
      <w:r w:rsidRPr="0060775E">
        <w:t>* * * * * *</w:t>
      </w:r>
    </w:p>
    <w:p w14:paraId="52839CE9" w14:textId="77777777" w:rsidR="00C323E7" w:rsidRPr="00C323E7" w:rsidRDefault="00C323E7" w:rsidP="00C323E7">
      <w:pPr>
        <w:autoSpaceDE w:val="0"/>
        <w:autoSpaceDN w:val="0"/>
        <w:adjustRightInd w:val="0"/>
        <w:spacing w:line="240" w:lineRule="auto"/>
        <w:jc w:val="center"/>
      </w:pPr>
    </w:p>
    <w:p>
      <w:pPr>
        <w:pStyle w:val="BrfBdy"/>
      </w:pPr>
      <w:r>
        <w:t>Plaintiffs, Charles Tinker, Individually and as Executor of the Estate of Thelma “Timmi” Tinker, et al., by counsel, submit this Response to the Motion for Protective Order filed by Defendants UofL Health–Louisville, Inc., University of Louisville Physicians, Inc., and UofL Health, Inc. (“UofL Defendants”). For the reasons that follow, the Motion should be denied.</w:t>
      </w:r>
    </w:p>
    <w:p>
      <w:pPr>
        <w:pStyle w:val="Normal"/>
        <w:jc w:val="center"/>
      </w:pPr>
      <w:r>
        <w:rPr>
          <w:b/>
          <w:u w:val="single"/>
        </w:rPr>
        <w:t>INTRODUCTION</w:t>
      </w:r>
    </w:p>
    <w:p>
      <w:pPr>
        <w:pStyle w:val="BrfBdy"/>
      </w:pPr>
      <w:r>
        <w:t>This case arises from Defendants’ failure to communicate the results of Timmi Tinker’s August 15, 2022 PET scan for nearly twenty months. That PET scan was consistent with primary pulmonary neoplasm. During the twenty-month silence, Timmi’s lung cancer spread. She finally learned of her diagnosis on May 9, 2024, in an emergency room. She died eight days later, on May 17, 2024.</w:t>
      </w:r>
    </w:p>
    <w:p>
      <w:pPr>
        <w:pStyle w:val="BrfBdy"/>
      </w:pPr>
      <w:r>
        <w:t>Plaintiffs’ CR 30.02(6) Notice is directed at how that failure happened inside UofL Defendants’ electronic health record systems. The Notice asks UofL Defendants to designate witnesses on three categories of issues. First, the Notice asks how PET scan reports travel through UofL Defendants’ PACS, In-Basket, “acknowledgment,” and MyChart systems. Second, it asks how the audit data UofL Defendants have produced should be interpreted, and what that data does and does not show. Third, it asks UofL Defendants to identify the factual support for certain contentions UofL Defendants have placed at issue in this case. The companion CR 34 request asks UofL Defendants’ designees to demonstrate the answers by screen-sharing Timmi’s live chart on Zoom. That is the same way UofL Defendants’ providers and staff view the chart every day.</w:t>
      </w:r>
    </w:p>
    <w:p>
      <w:pPr>
        <w:pStyle w:val="BrfBdy"/>
      </w:pPr>
      <w:r>
        <w:t>UofL Defendants label this Notice a “fishing expedition.” That label does not survive scrutiny. The Notice is narrowly targeted at the central factual dispute in this case: whether and when Dr. Gettis and her practice actually saw, routed, and acted on the August 15, 2022 PET scan report. The timing of the Notice is also no accident. UofL Defendants are themselves relying on their own audit trail to advance a defense that Timmi accessed her MyChart, learned of her cancer, and hid that diagnosis from her family. UofL Defendants cannot consistently rely on the audit trail as the foundation of an affirmative defense while preventing Plaintiffs from testing how that data was generated, what it actually shows, and what other audit information UofL Defendants have not produced. In the alternative, should the Court limit the inspection, Plaintiffs respectfully ask that UofL Defendants be precluded from using the audit trail offensively to argue that Timmi knew about her cancer.</w:t>
      </w:r>
    </w:p>
    <w:p>
      <w:pPr>
        <w:pStyle w:val="BrfBdy"/>
      </w:pPr>
      <w:r>
        <w:t>One last point at the outset. UofL Defendants invoke meet-and-confer principles throughout their brief. Yet they filed this Motion only six days after Plaintiffs served the Notice, without a single telephone call, email, or letter raising specific objections. The Notice itself invited dialogue on both scheduling and substance, in two separate footnotes. Plaintiffs’ counsel remain prepared to discuss reasonable adjustments. The appropriate resolution here is for the parties to confer and proceed with the deposition and inspection on a workable schedule, not for the Court to enter a protective order shutting down what is plainly proper discovery.</w:t>
      </w:r>
    </w:p>
    <w:p>
      <w:pPr>
        <w:pStyle w:val="Normal"/>
        <w:jc w:val="center"/>
      </w:pPr>
      <w:r>
        <w:rPr>
          <w:b/>
          <w:u w:val="single"/>
        </w:rPr>
        <w:t>BACKGROUND</w:t>
      </w:r>
    </w:p>
    <w:p>
      <w:pPr>
        <w:pStyle w:val="BrfBdy"/>
      </w:pPr>
      <w:r>
        <w:t>On July 15, 2022, Dr. Gettis ordered a chest x-ray for Timmi as part of her surgical clearance. The chest x-ray revealed a 2.3 cm pulmonary opacity. Dr. Gettis ordered a CT chest, expressly noting “rule out cancer.” The CT chest was performed on July 21, 2022. It confirmed the pulmonary nodule and recommended a PET scan. Timmi promptly underwent the PET scan on August 15, 2022. Dr. Robert Aria read the PET scan. His impressions were consistent with primary pulmonary neoplasm.</w:t>
      </w:r>
    </w:p>
    <w:p>
      <w:pPr>
        <w:pStyle w:val="BrfBdy"/>
      </w:pPr>
      <w:r>
        <w:t>Nobody told Timmi. Dr. Gettis did not “acknowledge” the August 15, 2022 PET scan report in UofL Defendants’ electronic health record until April 24, 2024. That was the same day Timmi came in for her annual physical, and the same day Dr. Gettis sent Timmi home without mentioning the result. Between August 2022 and April 2024, Timmi interacted with Dr. Gettis’s office repeatedly: for prescription refills, MyChart messages, an annual physical with a nurse practitioner, ear cerumen removal, and mammogram results. At every interaction, the PET scan report sat in Timmi’s chart. Nobody flagged it. Timmi was finally diagnosed with cancer on May 9, 2024 in the emergency department. She died eight days later.</w:t>
      </w:r>
    </w:p>
    <w:p>
      <w:pPr>
        <w:pStyle w:val="BrfBdy"/>
      </w:pPr>
      <w:r>
        <w:rPr>
          <w:i/>
        </w:rPr>
        <w:t xml:space="preserve">The CR 30.02(6) Notice. </w:t>
      </w:r>
      <w:r>
        <w:t>On May 22, 2026, Plaintiffs served the CR 30.02(6) Notice attached to the Motion as Exhibit 1. The Notice identifies eighteen specific topics, all directed to Timmi’s August 15, 2022 PET scan and the EHR functionality that handled it. Among other things, the Notice asks (1) how the PET scan report moved from the PACS into Dr. Gettis’s In-Basket; (2) how the In-Basket and “acknowledgment” functions work; (3) how the August 15, 2022 PET scan was, or was not, released to Timmi’s MyChart; (4) what the audit trail UofL Defendants produced does and does not capture; and (5) whether UofL Defendants contend that Dr. Gettis read the August 15, 2022 PET scan, and if so on what basis. The Notice also expressly invited counsel to confer on both the date and the scope of the topics.</w:t>
      </w:r>
    </w:p>
    <w:p>
      <w:pPr>
        <w:pStyle w:val="BrfBdy"/>
      </w:pPr>
      <w:r>
        <w:rPr>
          <w:i/>
        </w:rPr>
        <w:t xml:space="preserve">The audit trail and its use by UofL Defendants. </w:t>
      </w:r>
      <w:r>
        <w:t>UofL Defendants have produced what they describe as the “audit trail” for Timmi’s electronic medical record. On its face, the audit trail is ambiguous. For example, a single entry from August 18, 2022 reads “Order details viewed,” with associated data of “PET/CT BONE SKULL BASE TO MID THIGH.” Another entry from that afternoon states “Printing occurred in MyChart,” with associated data of only “Web page name Test Details.” Without testimony from a designee of UofL Defendants who can explain what these entries actually mean within UofL Defendants’ system, and without the ability to see how the system behaves when these events occur, the entries are open to multiple interpretations.</w:t>
      </w:r>
    </w:p>
    <w:p>
      <w:pPr>
        <w:pStyle w:val="BrfBdy"/>
      </w:pPr>
      <w:r>
        <w:t>Despite the ambiguity, UofL Defendants have signaled their intent to rely on the audit trail to support a defense that Timmi accessed her MyChart, read the PET scan report, and concealed her diagnosis from her family. UofL Defendants have recently served written discovery demanding production of all browser history, internet search history, URL logs, Google account data, and related digital data from any device used by Timmi between July 2022 and May 2024. The sole stated foundation for those demands is the audit trail. Plaintiffs are filing a separate Motion for Protective Order with respect to that browsing-history discovery, and incorporate that motion here by reference.</w:t>
      </w:r>
    </w:p>
    <w:p>
      <w:pPr>
        <w:pStyle w:val="BrfBdy"/>
      </w:pPr>
      <w:r>
        <w:rPr>
          <w:i/>
        </w:rPr>
        <w:t xml:space="preserve">No meet and confer occurred. </w:t>
      </w:r>
      <w:r>
        <w:t>The Notice itself invited dialogue. The first footnote stated: “If the date selected does not work for witness or counsel, please contact the undersigned, and we will adjust to a date within the court-ordered due dates.” The second footnote stated: “Counsel are prepared to discuss and attempt to resolve any disagreement as to scope or content of the Topics; please contact the undersigned as soon as convenient should that be necessary.” Plaintiffs’ counsel separately reached out to defense counsel after serving the Notice to discuss reasonable adjustments. UofL Defendants nevertheless filed this Motion six days after the Notice was served, without ever raising specific objections.</w:t>
      </w:r>
    </w:p>
    <w:p>
      <w:pPr>
        <w:pStyle w:val="Normal"/>
        <w:jc w:val="center"/>
      </w:pPr>
      <w:r>
        <w:rPr>
          <w:b/>
          <w:u w:val="single"/>
        </w:rPr>
        <w:t>ARGUMENT</w:t>
      </w:r>
    </w:p>
    <w:p>
      <w:pPr>
        <w:pStyle w:val="BrfBdy"/>
      </w:pPr>
      <w:r>
        <w:rPr>
          <w:b/>
          <w:u w:val="single"/>
        </w:rPr>
        <w:t>I.</w:t>
        <w:tab/>
      </w:r>
      <w:r>
        <w:rPr>
          <w:b/>
          <w:u w:val="single"/>
        </w:rPr>
        <w:t>THE 30.02(6) TOPICS ARE PROPERLY TAILORED TO THE CENTRAL ISSUES IN THIS CASE.</w:t>
      </w:r>
    </w:p>
    <w:p>
      <w:pPr>
        <w:pStyle w:val="BrfBdy"/>
      </w:pPr>
      <w:r>
        <w:t>CR 30.02(6) requires only that a deposition notice “describe with reasonable particularity the matters on which examination is requested.” Plaintiffs’ Notice does exactly that. Each of the eighteen topics is tied to a specific aspect of UofL Defendants’ EHR systems as those systems relate to Timmi’s August 15, 2022 PET scan. UofL Defendants’ characterization of the topics as “system-wide” is overstated. Topics 1, 5, 6, 7, 8, 9, and 10 ask how UofL Defendants’ MyChart, PACS, and In-Basket systems work with respect to PET scan reports and the “acknowledgment” function. Those are the very functions that failed Timmi. Topics 11, 12, 13, 15, and 16 ask what the audit trail UofL Defendants produced actually shows, what it is missing, and how to interpret it. The information these topics seek is uniquely within UofL Defendants’ knowledge.</w:t>
      </w:r>
    </w:p>
    <w:p>
      <w:pPr>
        <w:pStyle w:val="BrfBdy"/>
      </w:pPr>
      <w:r>
        <w:t>UofL Defendants take particular issue with Topics 2–4, 11, and 14. Those topics ask UofL Defendants whether they “admit” or “contend” certain things. For example, Topic 11 asks whether UofL Defendants contend that Dr. Gettis read the August 15, 2022 PET scan report. Topic 14 asks whether UofL Defendants contend that Dr. Aria had a responsibility to communicate the report at any time other than as he did. UofL Defendants label these topics as improper requests for “legal conclusions.” They are not. They are requests for the facts and documents supporting positions UofL Defendants have themselves taken (or may take) in this litigation. Asking a corporate defendant to identify the factual basis for its own contentions is permissible and routine. It is, in fact, one of the central purposes of CR 30.02(6). UofL Defendants cannot affirmatively contend that Dr. Gettis read the PET scan report (as the audit-trail theory of their defense necessarily implies) and at the same time argue that Plaintiffs may not ask UofL Defendants to identify the factual basis for that contention.</w:t>
      </w:r>
    </w:p>
    <w:p>
      <w:pPr>
        <w:pStyle w:val="BrfBdy"/>
      </w:pPr>
      <w:r>
        <w:t>Plaintiffs do not ask UofL Defendants’ designees to opine on “standard of care” as that term is understood under Kentucky law. To the extent any topic could be read that way, Plaintiffs are willing to clarify the topic or stipulate that it does not call for expert opinion testimony. That clarification could have been worked out in a brief phone call, had UofL Defendants chosen to make one.</w:t>
      </w:r>
    </w:p>
    <w:p>
      <w:pPr>
        <w:pStyle w:val="BrfBdy"/>
      </w:pPr>
      <w:r>
        <w:t>Finally, UofL Defendants object to the so-called “catchall” language in the Notice, which states that the deposition “may cover any topics within the general knowledge of the designee(s).” This language is unremarkable. It appears in countless 30.02(6) notices in this jurisdiction. It does not convert the deposition into limitless discovery. It simply reflects the practical reality that depositions occasionally touch on related matters that arise during testimony. UofL Defendants are protected from genuine overreach by the existing rules. The catchall language alone is not a basis for a protective order.</w:t>
      </w:r>
    </w:p>
    <w:p>
      <w:pPr>
        <w:pStyle w:val="BrfBdy"/>
      </w:pPr>
      <w:r>
        <w:rPr>
          <w:b/>
          <w:u w:val="single"/>
        </w:rPr>
        <w:t>II.</w:t>
        <w:tab/>
      </w:r>
      <w:r>
        <w:rPr>
          <w:b/>
          <w:u w:val="single"/>
        </w:rPr>
        <w:t>THE LIVE INSPECTION IS PROCEDURALLY PROPER AND SUBSTANTIVELY NECESSARY.</w:t>
      </w:r>
    </w:p>
    <w:p>
      <w:pPr>
        <w:pStyle w:val="BrfBdy"/>
      </w:pPr>
      <w:r>
        <w:rPr>
          <w:b/>
          <w:i/>
        </w:rPr>
        <w:t>A.</w:t>
        <w:tab/>
      </w:r>
      <w:r>
        <w:rPr>
          <w:b/>
          <w:i/>
        </w:rPr>
        <w:t>The CR 34.02 timing objection fails on its face.</w:t>
      </w:r>
    </w:p>
    <w:p>
      <w:pPr>
        <w:pStyle w:val="BrfBdy"/>
      </w:pPr>
      <w:r>
        <w:t>UofL Defendants assert that the Notice runs afoul of CR 34.02’s thirty-day response period. CR 30.02(5), however, expressly authorizes a deposition notice to be “accompanied by a request made in compliance with Rule 34 for the production of documents and tangible things at the taking of the deposition.” The mechanism is built into the rule. If UofL Defendants believed they needed additional time for any portion of the inspection, the Notice expressly invited them to ask. UofL Defendants never did. They chose instead to file this Motion. In any event, Plaintiffs have always been willing to extend the inspection to a mutually convenient date, and remain willing to do so.</w:t>
      </w:r>
    </w:p>
    <w:p>
      <w:pPr>
        <w:pStyle w:val="BrfBdy"/>
      </w:pPr>
      <w:r>
        <w:rPr>
          <w:b/>
          <w:i/>
        </w:rPr>
        <w:t>B.</w:t>
        <w:tab/>
      </w:r>
      <w:r>
        <w:rPr>
          <w:b/>
          <w:i/>
        </w:rPr>
        <w:t>The Notice seeks a CR 34 inspection of one patient’s chart in native format, not the kind of forensic system inspection the case law disfavors.</w:t>
      </w:r>
    </w:p>
    <w:p>
      <w:pPr>
        <w:pStyle w:val="BrfBdy"/>
      </w:pPr>
      <w:r>
        <w:t>Plaintiffs’ request is, at its core, a routine CR 34 inspection of one patient’s electronic medical record in its native format. Plaintiffs ask UofL Defendants to designate someone to log into Timmi’s chart, on UofL Defendants’ own workstation, and demonstrate by screen-sharing on Zoom how the system handled her August 15, 2022 PET scan report. CR 34.01 expressly entitles Plaintiffs to inspect ESI in “NATIVE ELECTRONIC FORMAT,” as the Notice itself requests. What UofL Defendants produced (static PDFs and a spreadsheet-format extract of the audit trail) is not the native record. The native record, viewed on the live system by the designee who uses that system in the ordinary course, is what CR 34 contemplates. Plaintiffs are not asking to mirror UofL Defendants’ systems, to access their source code, to scan their network, or to view any patient record other than Timmi’s.</w:t>
      </w:r>
    </w:p>
    <w:p>
      <w:pPr>
        <w:pStyle w:val="BrfBdy"/>
      </w:pPr>
      <w:r>
        <w:t xml:space="preserve">The federal cases UofL Defendants rely on illustrate the distinction. </w:t>
      </w:r>
      <w:r>
        <w:rPr>
          <w:i/>
        </w:rPr>
        <w:t>John B. v. Goetz</w:t>
      </w:r>
      <w:r>
        <w:t xml:space="preserve"> concerned “mirror imaging” of computers based on vague allegations. </w:t>
      </w:r>
      <w:r>
        <w:rPr>
          <w:i/>
        </w:rPr>
        <w:t>Scotts Co. v. Liberty Mutual</w:t>
      </w:r>
      <w:r>
        <w:t xml:space="preserve"> involved a forensic inspection based on “mere suspicion” that information was being withheld. </w:t>
      </w:r>
      <w:r>
        <w:rPr>
          <w:i/>
        </w:rPr>
        <w:t>In re Ford Motor Co.</w:t>
      </w:r>
      <w:r>
        <w:t xml:space="preserve"> addressed a request to “conduct the actual search” of an opposing party’s files. None of those is what Plaintiffs request here. The Sedona cautions UofL Defendants cite are likewise directed at broad, system-level inspections, not single-chart walkthroughs performed by the producing party’s own designee. The inspection Plaintiffs request is the least intrusive way to obtain the information at issue. It is also the way UofL Defendants’ own employees navigate the system every day.</w:t>
      </w:r>
    </w:p>
    <w:p>
      <w:pPr>
        <w:pStyle w:val="BrfBdy"/>
      </w:pPr>
      <w:r>
        <w:rPr>
          <w:b/>
          <w:i/>
        </w:rPr>
        <w:t>C.</w:t>
        <w:tab/>
      </w:r>
      <w:r>
        <w:rPr>
          <w:b/>
          <w:i/>
        </w:rPr>
        <w:t>The audit data UofL Defendants produced is incomplete and ambiguous, and only a live inspection will resolve that.</w:t>
      </w:r>
    </w:p>
    <w:p>
      <w:pPr>
        <w:pStyle w:val="BrfBdy"/>
      </w:pPr>
      <w:r>
        <w:t>The audit data UofL Defendants produced omits substantial categories of information. The missing categories include MyChart and In-Basket message content, IP address data, URLs, record-specific logging identifying which test or radiology records were accessed, print-related details, image-viewer links, and patient notifications. See Topic 12. Even the fields that were produced are written in terms whose meaning cannot be discerned without seeing the system in operation. Consider the example noted above. The audit trail records “Printing occurred in MyChart” in association with “Web page name Test Details.” UofL Defendants will likely contend that this entry means Timmi printed her PET scan report. Plaintiffs disagree. On its face, that entry could just as easily reflect the printing of an order detail page, a list of orders, or any number of other pages within MyChart. The only way for the parties, and ultimately for the Court and a jury, to know what these entries actually represent is to see what happens in the system when those entries are generated. Inspection of the live system is the most efficient way to get that answer. It is difficult to imagine what “targeted written discovery,” as UofL Defendants suggest, could substitute for the simple act of watching the system work.</w:t>
      </w:r>
    </w:p>
    <w:p>
      <w:pPr>
        <w:pStyle w:val="BrfBdy"/>
      </w:pPr>
      <w:r>
        <w:t>An inspection would also help resolve another important question the produced audit trail leaves open: whether Dr. Gettis or her office viewed the August 15, 2022 PET scan report at any time prior to April 24, 2024. Only a walk-through of the live system can show what audit entries are generated when a provider opens a report, scrolls through it, prints it, forwards it, or acknowledges it. That information is essential to determining what the existing audit data can fairly be read to say about Dr. Gettis’s actual conduct.</w:t>
      </w:r>
    </w:p>
    <w:p>
      <w:pPr>
        <w:pStyle w:val="BrfBdy"/>
      </w:pPr>
      <w:r>
        <w:rPr>
          <w:b/>
          <w:i/>
        </w:rPr>
        <w:t>D.</w:t>
        <w:tab/>
      </w:r>
      <w:r>
        <w:rPr>
          <w:b/>
          <w:i/>
        </w:rPr>
        <w:t>UofL Defendants’ generalized HIPAA and security concerns are addressable through ordinary safeguards.</w:t>
      </w:r>
    </w:p>
    <w:p>
      <w:pPr>
        <w:pStyle w:val="BrfBdy"/>
      </w:pPr>
      <w:r>
        <w:t>UofL Defendants invoke HIPAA, network security, and disruption to ongoing operations as reasons to forbid any live inspection. None of those concerns withstands scrutiny. Plaintiffs do not seek access to any patient record other than Timmi’s. The inspection would be conducted by a designee of UofL Defendants, on UofL Defendants’ equipment, with UofL Defendants’ counsel present, navigating only Timmi’s chart. If any third-party information were to appear incidentally (in, for example, a navigation menu), the designee could simply navigate away from it. UofL Defendants’ own staff manage these precise risks every day. UofL Defendants notably do not contend that they cannot demonstrate Timmi’s chart safely. UofL Defendants ask the Court to forbid any inspection. That is overreach.</w:t>
      </w:r>
    </w:p>
    <w:p>
      <w:pPr>
        <w:pStyle w:val="BrfBdy"/>
      </w:pPr>
      <w:r>
        <w:rPr>
          <w:b/>
          <w:u w:val="single"/>
        </w:rPr>
        <w:t>III.</w:t>
        <w:tab/>
      </w:r>
      <w:r>
        <w:rPr>
          <w:b/>
          <w:u w:val="single"/>
        </w:rPr>
        <w:t>IN THE ALTERNATIVE, IF THE COURT LIMITS THE INSPECTION, IT SHOULD LIKEWISE LIMIT UofL DEFENDANTS’ USE OF THE AUDIT TRAIL.</w:t>
      </w:r>
    </w:p>
    <w:p>
      <w:pPr>
        <w:pStyle w:val="BrfBdy"/>
      </w:pPr>
      <w:r>
        <w:t>Should the Court grant any portion of UofL Defendants’ request to limit the live inspection, Plaintiffs respectfully request reciprocal relief: an Order precluding UofL Defendants from offering or relying on the produced audit trail in support of any contention that Timmi accessed, viewed, read, printed, or knew the substance of her August 15, 2022 PET scan report. UofL Defendants should not be permitted to use the audit trail offensively against Plaintiffs while the underlying system that generated it remains beyond Plaintiffs’ reach.</w:t>
      </w:r>
    </w:p>
    <w:p>
      <w:pPr>
        <w:pStyle w:val="BrfBdy"/>
      </w:pPr>
      <w:r>
        <w:rPr>
          <w:b/>
          <w:u w:val="single"/>
        </w:rPr>
        <w:t>IV.</w:t>
        <w:tab/>
      </w:r>
      <w:r>
        <w:rPr>
          <w:b/>
          <w:u w:val="single"/>
        </w:rPr>
        <w:t>THE MOTION SHOULD BE DENIED ON THE INDEPENDENT GROUND THAT UofL DEFENDANTS DID NOT MEET AND CONFER BEFORE FILING IT.</w:t>
      </w:r>
    </w:p>
    <w:p>
      <w:pPr>
        <w:pStyle w:val="BrfBdy"/>
      </w:pPr>
      <w:r>
        <w:t>Discovery disputes belong in motions practice only after the parties’ good-faith efforts to resolve them have failed. Plaintiffs’ Notice expressly invited those efforts. Footnote 1 addressed scheduling. Footnote 2 addressed the substance of the topics. Plaintiffs’ counsel separately reached out following service of the Notice in the same cooperative spirit. UofL Defendants nonetheless filed this Motion without raising specific objections, proposing alternative dates, or attempting to narrow the issues for the Court. The result is the kind of unnecessary motion practice this Court has previously indicated it has little patience for.</w:t>
      </w:r>
    </w:p>
    <w:p>
      <w:pPr>
        <w:pStyle w:val="BrfBdy"/>
      </w:pPr>
      <w:r>
        <w:t>Plaintiffs remain prepared, today and at any time before the hearing, to confer in good faith about reasonable adjustments to the Notice. Plaintiffs have no objection in principle to a sensible bifurcation of the deposition from any inspection, to rescheduling the deposition to a mutually convenient date, or to clarifying any topic that needs clarification. None of those adjustments, however, requires a protective order. They require a conversation.</w:t>
      </w:r>
    </w:p>
    <w:p>
      <w:pPr>
        <w:pStyle w:val="Normal"/>
        <w:jc w:val="center"/>
      </w:pPr>
      <w:r>
        <w:rPr>
          <w:b/>
          <w:u w:val="single"/>
        </w:rPr>
        <w:t>CONCLUSION</w:t>
      </w:r>
    </w:p>
    <w:p>
      <w:pPr>
        <w:pStyle w:val="BrfBdy"/>
      </w:pPr>
      <w:r>
        <w:t>For the foregoing reasons, Plaintiffs respectfully request that the Court deny UofL Defendants’ Motion for Protective Order in its entirety, and order the parties to confer in good faith and proceed with the CR 30.02(6) deposition and CR 34 inspection on a mutually convenient date. In the alternative, should the Court grant any portion of the Motion limiting the live inspection or the related audit-trail discovery, Plaintiffs request that the Court enter a corresponding Order precluding UofL Defendants from offering or relying on the produced audit trail to support any contention that Timmi viewed, read, printed, or knew the substance of her August 15, 2022 PET scan results.</w:t>
      </w:r>
    </w:p>
    <w:p w14:paraId="6B664775" w14:textId="77777777" w:rsidR="00C323E7" w:rsidRPr="00BE4DD4" w:rsidRDefault="00C323E7" w:rsidP="00C323E7">
      <w:pPr>
        <w:widowControl w:val="0"/>
        <w:suppressAutoHyphens/>
        <w:spacing w:line="240" w:lineRule="auto"/>
        <w:ind w:left="4320"/>
        <w:jc w:val="left"/>
        <w:rPr>
          <w:lang w:val="en-CA"/>
        </w:rPr>
      </w:pPr>
      <w:r w:rsidRPr="00BE4DD4">
        <w:rPr>
          <w:lang w:val="en-CA"/>
        </w:rPr>
        <w:t>Respectfully submitted,</w:t>
      </w:r>
    </w:p>
    <w:p w14:paraId="4DD03955" w14:textId="77777777" w:rsidR="00C323E7" w:rsidRPr="00BE4DD4" w:rsidRDefault="00C323E7" w:rsidP="00C323E7">
      <w:pPr>
        <w:widowControl w:val="0"/>
        <w:spacing w:line="240" w:lineRule="auto"/>
        <w:ind w:left="5130" w:firstLine="0"/>
        <w:rPr>
          <w:lang w:val="en-CA"/>
        </w:rPr>
      </w:pPr>
    </w:p>
    <w:p w14:paraId="48344606" w14:textId="71B29E90" w:rsidR="00C323E7" w:rsidRPr="00EA6D2E" w:rsidRDefault="00C323E7" w:rsidP="00C323E7">
      <w:pPr>
        <w:widowControl w:val="0"/>
        <w:spacing w:line="240" w:lineRule="auto"/>
        <w:ind w:left="5040" w:firstLine="0"/>
        <w:rPr>
          <w:i/>
          <w:iCs/>
          <w:u w:val="single"/>
          <w:lang w:val="en-CA"/>
        </w:rPr>
      </w:pPr>
      <w:r w:rsidRPr="00EA6D2E">
        <w:rPr>
          <w:i/>
          <w:iCs/>
          <w:u w:val="single"/>
          <w:lang w:val="en-CA"/>
        </w:rPr>
        <w:t>/s/</w:t>
      </w:r>
      <w:r w:rsidR="00AC1371">
        <w:rPr>
          <w:i/>
          <w:iCs/>
          <w:u w:val="single"/>
          <w:lang w:val="en-CA"/>
        </w:rPr>
        <w:t xml:space="preserve"> Sheldon L. Haden</w:t>
      </w:r>
      <w:r>
        <w:rPr>
          <w:i/>
          <w:iCs/>
          <w:u w:val="single"/>
          <w:lang w:val="en-CA"/>
        </w:rPr>
        <w:tab/>
      </w:r>
      <w:r>
        <w:rPr>
          <w:i/>
          <w:iCs/>
          <w:u w:val="single"/>
          <w:lang w:val="en-CA"/>
        </w:rPr>
        <w:tab/>
      </w:r>
    </w:p>
    <w:p w14:paraId="186F2D59" w14:textId="77777777" w:rsidR="00C323E7" w:rsidRPr="00BE4DD4" w:rsidRDefault="00C323E7" w:rsidP="00C323E7">
      <w:pPr>
        <w:widowControl w:val="0"/>
        <w:suppressAutoHyphens/>
        <w:spacing w:line="240" w:lineRule="auto"/>
        <w:ind w:left="5040" w:firstLine="0"/>
        <w:jc w:val="left"/>
        <w:rPr>
          <w:color w:val="000000"/>
        </w:rPr>
      </w:pPr>
      <w:r w:rsidRPr="00BE4DD4">
        <w:rPr>
          <w:lang w:val="en-CA"/>
        </w:rPr>
        <w:fldChar w:fldCharType="begin"/>
      </w:r>
      <w:r w:rsidRPr="00BE4DD4">
        <w:rPr>
          <w:lang w:val="en-CA"/>
        </w:rPr>
        <w:instrText xml:space="preserve"> SEQ CHAPTER \h \r 1</w:instrText>
      </w:r>
      <w:r w:rsidRPr="00BE4DD4">
        <w:rPr>
          <w:lang w:val="en-CA"/>
        </w:rPr>
        <w:fldChar w:fldCharType="end"/>
      </w:r>
      <w:r w:rsidRPr="00BE4DD4">
        <w:rPr>
          <w:color w:val="000000"/>
        </w:rPr>
        <w:t>Ann B. Oldfather (KBA 52553)</w:t>
      </w:r>
    </w:p>
    <w:p w14:paraId="7C2B68A6" w14:textId="77777777" w:rsidR="00C323E7" w:rsidRPr="00BE4DD4" w:rsidRDefault="00C323E7" w:rsidP="00C323E7">
      <w:pPr>
        <w:widowControl w:val="0"/>
        <w:suppressAutoHyphens/>
        <w:spacing w:line="240" w:lineRule="auto"/>
        <w:ind w:left="5040" w:firstLine="0"/>
        <w:jc w:val="left"/>
        <w:rPr>
          <w:color w:val="000000"/>
        </w:rPr>
      </w:pPr>
      <w:r w:rsidRPr="00BE4DD4">
        <w:rPr>
          <w:color w:val="000000"/>
        </w:rPr>
        <w:t>Sheldon L. Haden (KBA 88876)</w:t>
      </w:r>
    </w:p>
    <w:p w14:paraId="285AA6C9" w14:textId="77777777" w:rsidR="00C323E7" w:rsidRPr="00BE4DD4" w:rsidRDefault="00C323E7" w:rsidP="00C323E7">
      <w:pPr>
        <w:widowControl w:val="0"/>
        <w:suppressAutoHyphens/>
        <w:spacing w:line="240" w:lineRule="auto"/>
        <w:ind w:left="5040" w:firstLine="0"/>
        <w:jc w:val="left"/>
        <w:rPr>
          <w:color w:val="000000"/>
        </w:rPr>
      </w:pPr>
      <w:r>
        <w:rPr>
          <w:color w:val="000000"/>
        </w:rPr>
        <w:t>Michael R. Hasken</w:t>
      </w:r>
      <w:r w:rsidRPr="00BE4DD4">
        <w:rPr>
          <w:color w:val="000000"/>
        </w:rPr>
        <w:t xml:space="preserve"> (KBA </w:t>
      </w:r>
      <w:r>
        <w:rPr>
          <w:color w:val="000000"/>
        </w:rPr>
        <w:t>94492</w:t>
      </w:r>
      <w:r w:rsidRPr="00BE4DD4">
        <w:rPr>
          <w:color w:val="000000"/>
        </w:rPr>
        <w:t>)</w:t>
      </w:r>
    </w:p>
    <w:p w14:paraId="38BD37E0" w14:textId="77777777" w:rsidR="00C323E7" w:rsidRPr="00BE4DD4" w:rsidRDefault="00C323E7" w:rsidP="00C323E7">
      <w:pPr>
        <w:widowControl w:val="0"/>
        <w:suppressAutoHyphens/>
        <w:spacing w:line="240" w:lineRule="auto"/>
        <w:ind w:left="5040" w:firstLine="0"/>
        <w:jc w:val="left"/>
        <w:rPr>
          <w:color w:val="000000"/>
        </w:rPr>
      </w:pPr>
      <w:r w:rsidRPr="00BE4DD4">
        <w:rPr>
          <w:color w:val="000000"/>
        </w:rPr>
        <w:t>Chancellor R. Peterson (KBA 101018)</w:t>
      </w:r>
    </w:p>
    <w:p w14:paraId="4E155175" w14:textId="77777777" w:rsidR="00C323E7" w:rsidRPr="00BE4DD4" w:rsidRDefault="00C323E7" w:rsidP="00C323E7">
      <w:pPr>
        <w:widowControl w:val="0"/>
        <w:suppressAutoHyphens/>
        <w:spacing w:line="240" w:lineRule="auto"/>
        <w:ind w:left="5040" w:firstLine="0"/>
        <w:jc w:val="left"/>
        <w:rPr>
          <w:smallCaps/>
          <w:color w:val="000000"/>
        </w:rPr>
      </w:pPr>
      <w:r w:rsidRPr="00BE4DD4">
        <w:rPr>
          <w:smallCaps/>
          <w:color w:val="000000"/>
        </w:rPr>
        <w:t>Oldfather Law Firm</w:t>
      </w:r>
    </w:p>
    <w:p w14:paraId="22E2E17A" w14:textId="77777777" w:rsidR="00C323E7" w:rsidRPr="00BE4DD4" w:rsidRDefault="00C323E7" w:rsidP="00C323E7">
      <w:pPr>
        <w:widowControl w:val="0"/>
        <w:suppressAutoHyphens/>
        <w:spacing w:line="240" w:lineRule="auto"/>
        <w:ind w:left="5040" w:firstLine="0"/>
        <w:jc w:val="left"/>
        <w:rPr>
          <w:color w:val="000000"/>
        </w:rPr>
      </w:pPr>
      <w:r w:rsidRPr="00BE4DD4">
        <w:rPr>
          <w:color w:val="000000"/>
        </w:rPr>
        <w:t>1330 South Third Street</w:t>
      </w:r>
    </w:p>
    <w:p w14:paraId="74F0D557" w14:textId="77777777" w:rsidR="00C323E7" w:rsidRPr="006A2EC6" w:rsidRDefault="00C323E7" w:rsidP="00C323E7">
      <w:pPr>
        <w:widowControl w:val="0"/>
        <w:suppressAutoHyphens/>
        <w:spacing w:line="240" w:lineRule="auto"/>
        <w:ind w:left="5040" w:firstLine="0"/>
        <w:jc w:val="left"/>
        <w:rPr>
          <w:color w:val="000000"/>
          <w:lang w:val="fr-FR"/>
        </w:rPr>
      </w:pPr>
      <w:r w:rsidRPr="006A2EC6">
        <w:rPr>
          <w:color w:val="000000"/>
          <w:lang w:val="fr-FR"/>
        </w:rPr>
        <w:t>Louisville, KY  40208</w:t>
      </w:r>
    </w:p>
    <w:p w14:paraId="56356A82" w14:textId="77777777" w:rsidR="00C323E7" w:rsidRPr="006A2EC6" w:rsidRDefault="00C323E7" w:rsidP="00C323E7">
      <w:pPr>
        <w:widowControl w:val="0"/>
        <w:suppressAutoHyphens/>
        <w:spacing w:line="240" w:lineRule="auto"/>
        <w:ind w:left="5040" w:firstLine="0"/>
        <w:jc w:val="left"/>
        <w:rPr>
          <w:color w:val="000000"/>
          <w:lang w:val="fr-FR"/>
        </w:rPr>
      </w:pPr>
      <w:r w:rsidRPr="006A2EC6">
        <w:rPr>
          <w:color w:val="000000"/>
          <w:lang w:val="fr-FR"/>
        </w:rPr>
        <w:t>(502) 637-7200</w:t>
      </w:r>
    </w:p>
    <w:p w14:paraId="5A43D976" w14:textId="77777777" w:rsidR="00C323E7" w:rsidRPr="006A2EC6" w:rsidRDefault="00C323E7" w:rsidP="00C323E7">
      <w:pPr>
        <w:widowControl w:val="0"/>
        <w:suppressAutoHyphens/>
        <w:spacing w:line="240" w:lineRule="auto"/>
        <w:ind w:left="5040" w:firstLine="0"/>
        <w:jc w:val="left"/>
        <w:rPr>
          <w:color w:val="000000"/>
          <w:lang w:val="fr-FR"/>
        </w:rPr>
      </w:pPr>
      <w:r w:rsidRPr="006A2EC6">
        <w:rPr>
          <w:color w:val="000000"/>
          <w:lang w:val="fr-FR"/>
        </w:rPr>
        <w:t>aoldfather@oldfather.com</w:t>
      </w:r>
      <w:r w:rsidRPr="006A2EC6">
        <w:rPr>
          <w:color w:val="000000"/>
          <w:lang w:val="fr-FR"/>
        </w:rPr>
        <w:br/>
        <w:t>shaden@oldfather.com</w:t>
      </w:r>
    </w:p>
    <w:p w14:paraId="77FA74B5" w14:textId="77777777" w:rsidR="00C323E7" w:rsidRPr="006A2EC6" w:rsidRDefault="00C323E7" w:rsidP="00C323E7">
      <w:pPr>
        <w:widowControl w:val="0"/>
        <w:suppressAutoHyphens/>
        <w:spacing w:line="240" w:lineRule="auto"/>
        <w:ind w:left="5040" w:firstLine="0"/>
        <w:jc w:val="left"/>
        <w:rPr>
          <w:color w:val="000000"/>
          <w:lang w:val="fr-FR"/>
        </w:rPr>
      </w:pPr>
      <w:r w:rsidRPr="006A2EC6">
        <w:rPr>
          <w:color w:val="000000"/>
          <w:lang w:val="fr-FR"/>
        </w:rPr>
        <w:t>mhasken@oldfather.com</w:t>
      </w:r>
      <w:r w:rsidRPr="006A2EC6">
        <w:rPr>
          <w:color w:val="000000"/>
          <w:lang w:val="fr-FR"/>
        </w:rPr>
        <w:br/>
        <w:t>cpeterson@oldfather.com</w:t>
      </w:r>
    </w:p>
    <w:p w14:paraId="5E5C32B9" w14:textId="77777777" w:rsidR="00C323E7" w:rsidRDefault="00C323E7" w:rsidP="00C323E7">
      <w:pPr>
        <w:widowControl w:val="0"/>
        <w:suppressAutoHyphens/>
        <w:spacing w:line="240" w:lineRule="auto"/>
        <w:ind w:left="5040" w:firstLine="0"/>
        <w:jc w:val="left"/>
        <w:rPr>
          <w:i/>
          <w:color w:val="000000"/>
        </w:rPr>
      </w:pPr>
      <w:r w:rsidRPr="00BE4DD4">
        <w:rPr>
          <w:i/>
          <w:color w:val="000000"/>
        </w:rPr>
        <w:t>Counsel for Plaintiff</w:t>
      </w:r>
      <w:r>
        <w:rPr>
          <w:i/>
          <w:color w:val="000000"/>
        </w:rPr>
        <w:t>s</w:t>
      </w:r>
    </w:p>
    <w:p w14:paraId="1212BD80" w14:textId="77777777" w:rsidR="00C323E7" w:rsidRPr="00BE4DD4" w:rsidRDefault="00C323E7" w:rsidP="00C323E7">
      <w:pPr>
        <w:widowControl w:val="0"/>
        <w:suppressAutoHyphens/>
        <w:spacing w:line="240" w:lineRule="auto"/>
        <w:jc w:val="left"/>
        <w:rPr>
          <w:i/>
        </w:rPr>
      </w:pPr>
    </w:p>
    <w:p w14:paraId="73FC8641" w14:textId="77777777" w:rsidR="00C323E7" w:rsidRPr="0083506F" w:rsidRDefault="00C323E7" w:rsidP="00C323E7">
      <w:pPr>
        <w:keepNext/>
        <w:keepLines/>
        <w:spacing w:after="200" w:line="276" w:lineRule="auto"/>
        <w:ind w:firstLine="0"/>
        <w:jc w:val="center"/>
        <w:rPr>
          <w:rFonts w:eastAsiaTheme="minorHAnsi" w:cstheme="minorBidi"/>
          <w:b/>
          <w:bCs/>
          <w:u w:val="single"/>
          <w14:ligatures w14:val="none"/>
        </w:rPr>
      </w:pPr>
      <w:r w:rsidRPr="0083506F">
        <w:rPr>
          <w:rFonts w:eastAsiaTheme="minorHAnsi" w:cstheme="minorBidi"/>
          <w:b/>
          <w:bCs/>
          <w:u w:val="single"/>
          <w14:ligatures w14:val="none"/>
        </w:rPr>
        <w:t>CERTIFICATE OF SERVICE</w:t>
      </w:r>
    </w:p>
    <w:p w14:paraId="39B752A4" w14:textId="3F7A9F72" w:rsidR="00C323E7" w:rsidRPr="0083506F" w:rsidRDefault="00C323E7" w:rsidP="00C323E7">
      <w:pPr>
        <w:keepNext/>
        <w:keepLines/>
        <w:spacing w:line="240" w:lineRule="auto"/>
        <w:jc w:val="left"/>
        <w:rPr>
          <w:rFonts w:eastAsiaTheme="minorHAnsi" w:cstheme="minorBidi"/>
          <w:szCs w:val="22"/>
          <w14:ligatures w14:val="none"/>
        </w:rPr>
      </w:pPr>
      <w:r w:rsidRPr="0083506F">
        <w:rPr>
          <w:rFonts w:eastAsiaTheme="minorHAnsi" w:cstheme="minorBidi"/>
          <w:szCs w:val="22"/>
          <w14:ligatures w14:val="none"/>
        </w:rPr>
        <w:t>The above signature certifies that, on</w:t>
      </w:r>
      <w:r>
        <w:rPr>
          <w:rFonts w:eastAsiaTheme="minorHAnsi" w:cstheme="minorBidi"/>
          <w:szCs w:val="22"/>
          <w14:ligatures w14:val="none"/>
        </w:rPr>
        <w:t xml:space="preserve"> </w:t>
      </w:r>
      <w:r w:rsidR="00B07814">
        <w:rPr>
          <w:rFonts w:eastAsiaTheme="minorHAnsi" w:cstheme="minorBidi"/>
          <w:szCs w:val="22"/>
          <w14:ligatures w14:val="none"/>
        </w:rPr>
        <w:t>June __,</w:t>
      </w:r>
      <w:r w:rsidRPr="0083506F">
        <w:rPr>
          <w:rFonts w:eastAsiaTheme="minorHAnsi" w:cstheme="minorBidi"/>
          <w:szCs w:val="22"/>
          <w14:ligatures w14:val="none"/>
        </w:rPr>
        <w:t xml:space="preserve"> 202</w:t>
      </w:r>
      <w:r w:rsidR="00B07814">
        <w:rPr>
          <w:rFonts w:eastAsiaTheme="minorHAnsi" w:cstheme="minorBidi"/>
          <w:szCs w:val="22"/>
          <w14:ligatures w14:val="none"/>
        </w:rPr>
        <w:t>6</w:t>
      </w:r>
      <w:r w:rsidRPr="0083506F">
        <w:rPr>
          <w:rFonts w:eastAsiaTheme="minorHAnsi" w:cstheme="minorBidi"/>
          <w:szCs w:val="22"/>
          <w14:ligatures w14:val="none"/>
        </w:rPr>
        <w:t>, the foregoing was electronically filed with the Clerk of Court using the KCOJ e-filing system and was served via email</w:t>
      </w:r>
      <w:r w:rsidRPr="0083506F">
        <w:rPr>
          <w:rFonts w:eastAsiaTheme="minorHAnsi" w:cstheme="minorBidi"/>
          <w14:ligatures w14:val="none"/>
        </w:rPr>
        <w:t>, in accordance with the notice of electronic service,</w:t>
      </w:r>
      <w:r w:rsidRPr="0083506F">
        <w:rPr>
          <w:rFonts w:eastAsiaTheme="minorHAnsi" w:cstheme="minorBidi"/>
          <w:szCs w:val="22"/>
          <w14:ligatures w14:val="none"/>
        </w:rPr>
        <w:t xml:space="preserve"> to the following:</w:t>
      </w:r>
    </w:p>
    <w:p w14:paraId="48EA2E20" w14:textId="77777777" w:rsidR="00C323E7" w:rsidRPr="00B55872" w:rsidRDefault="00C323E7" w:rsidP="00C323E7">
      <w:pPr>
        <w:keepNext/>
        <w:keepLines/>
        <w:spacing w:after="240" w:line="240" w:lineRule="auto"/>
        <w:ind w:firstLine="0"/>
        <w:jc w:val="left"/>
        <w:rPr>
          <w:rFonts w:eastAsia="Calibri"/>
          <w:kern w:val="2"/>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0"/>
        <w:gridCol w:w="4490"/>
      </w:tblGrid>
      <w:tr w:rsidR="00C323E7" w:rsidRPr="00B55872" w14:paraId="53B38F7B" w14:textId="77777777" w:rsidTr="008B6DDB">
        <w:tc>
          <w:tcPr>
            <w:tcW w:w="4860" w:type="dxa"/>
          </w:tcPr>
          <w:p w14:paraId="5AF86594" w14:textId="77777777" w:rsidR="00C323E7" w:rsidRDefault="00C323E7" w:rsidP="00147CD8">
            <w:pPr>
              <w:keepNext/>
              <w:keepLines/>
              <w:spacing w:line="240" w:lineRule="auto"/>
              <w:ind w:firstLine="0"/>
              <w:jc w:val="left"/>
              <w:rPr>
                <w:rFonts w:eastAsia="Calibri"/>
              </w:rPr>
            </w:pPr>
            <w:r w:rsidRPr="00B55872">
              <w:rPr>
                <w:rFonts w:eastAsia="Calibri"/>
              </w:rPr>
              <w:t>Craig L. Johnson</w:t>
            </w:r>
          </w:p>
          <w:p w14:paraId="0D4A270E" w14:textId="2D2A2868" w:rsidR="00B06ACD" w:rsidRPr="00B55872" w:rsidRDefault="00B06ACD" w:rsidP="00147CD8">
            <w:pPr>
              <w:keepNext/>
              <w:keepLines/>
              <w:spacing w:line="240" w:lineRule="auto"/>
              <w:ind w:firstLine="0"/>
              <w:jc w:val="left"/>
              <w:rPr>
                <w:rFonts w:eastAsia="Calibri"/>
              </w:rPr>
            </w:pPr>
            <w:r>
              <w:rPr>
                <w:rFonts w:eastAsia="Calibri"/>
              </w:rPr>
              <w:t>Bennett Z. Tuleja</w:t>
            </w:r>
          </w:p>
          <w:p w14:paraId="065DC472" w14:textId="77777777" w:rsidR="00C323E7" w:rsidRPr="00B55872" w:rsidRDefault="00C323E7" w:rsidP="00147CD8">
            <w:pPr>
              <w:keepNext/>
              <w:keepLines/>
              <w:spacing w:line="240" w:lineRule="auto"/>
              <w:ind w:firstLine="0"/>
              <w:jc w:val="left"/>
              <w:rPr>
                <w:rFonts w:eastAsia="Calibri"/>
                <w:smallCaps/>
              </w:rPr>
            </w:pPr>
            <w:r w:rsidRPr="00B55872">
              <w:rPr>
                <w:rFonts w:eastAsia="Calibri"/>
                <w:smallCaps/>
              </w:rPr>
              <w:t>Steptoe &amp; Johnson PLLC</w:t>
            </w:r>
          </w:p>
          <w:p w14:paraId="58CF484C" w14:textId="3216B720" w:rsidR="00C323E7" w:rsidRPr="00B55872" w:rsidRDefault="00F25713" w:rsidP="00147CD8">
            <w:pPr>
              <w:keepNext/>
              <w:keepLines/>
              <w:spacing w:line="240" w:lineRule="auto"/>
              <w:ind w:firstLine="0"/>
              <w:jc w:val="left"/>
              <w:rPr>
                <w:rFonts w:eastAsia="Calibri"/>
              </w:rPr>
            </w:pPr>
            <w:r>
              <w:rPr>
                <w:rFonts w:eastAsia="Calibri"/>
              </w:rPr>
              <w:t>101 South Fifth Street, Suite 3200</w:t>
            </w:r>
          </w:p>
          <w:p w14:paraId="23156EAB" w14:textId="48F43727" w:rsidR="00C323E7" w:rsidRPr="00B55872" w:rsidRDefault="00C323E7" w:rsidP="00147CD8">
            <w:pPr>
              <w:keepNext/>
              <w:keepLines/>
              <w:spacing w:line="240" w:lineRule="auto"/>
              <w:ind w:firstLine="0"/>
              <w:jc w:val="left"/>
              <w:rPr>
                <w:rFonts w:eastAsia="Calibri"/>
              </w:rPr>
            </w:pPr>
            <w:r w:rsidRPr="00B55872">
              <w:rPr>
                <w:rFonts w:eastAsia="Calibri"/>
              </w:rPr>
              <w:t>Louisville, KY 402</w:t>
            </w:r>
            <w:r w:rsidR="00F25713">
              <w:rPr>
                <w:rFonts w:eastAsia="Calibri"/>
              </w:rPr>
              <w:t>02</w:t>
            </w:r>
          </w:p>
          <w:p w14:paraId="08434E8C" w14:textId="77777777" w:rsidR="00C323E7" w:rsidRPr="00B55872" w:rsidRDefault="00C323E7" w:rsidP="00147CD8">
            <w:pPr>
              <w:keepNext/>
              <w:keepLines/>
              <w:spacing w:line="240" w:lineRule="auto"/>
              <w:ind w:firstLine="0"/>
              <w:jc w:val="left"/>
              <w:rPr>
                <w:rFonts w:eastAsia="Calibri"/>
              </w:rPr>
            </w:pPr>
            <w:r w:rsidRPr="00B55872">
              <w:rPr>
                <w:rFonts w:eastAsia="Calibri"/>
              </w:rPr>
              <w:t>(502) 423-2060</w:t>
            </w:r>
          </w:p>
          <w:p w14:paraId="544D97C9" w14:textId="726B60D4" w:rsidR="00C323E7" w:rsidRDefault="00B06ACD" w:rsidP="00147CD8">
            <w:pPr>
              <w:keepNext/>
              <w:keepLines/>
              <w:spacing w:line="240" w:lineRule="auto"/>
              <w:ind w:firstLine="0"/>
              <w:jc w:val="left"/>
              <w:rPr>
                <w:rFonts w:eastAsia="Calibri"/>
              </w:rPr>
            </w:pPr>
            <w:r w:rsidRPr="00B06ACD">
              <w:rPr>
                <w:rFonts w:eastAsia="Calibri"/>
              </w:rPr>
              <w:t>craig.johnson@steptoe-johnson.com</w:t>
            </w:r>
          </w:p>
          <w:p w14:paraId="07998484" w14:textId="77CF5D31" w:rsidR="00B06ACD" w:rsidRPr="00B55872" w:rsidRDefault="00B06ACD" w:rsidP="00147CD8">
            <w:pPr>
              <w:keepNext/>
              <w:keepLines/>
              <w:spacing w:line="240" w:lineRule="auto"/>
              <w:ind w:firstLine="0"/>
              <w:jc w:val="left"/>
              <w:rPr>
                <w:rFonts w:eastAsia="Calibri"/>
              </w:rPr>
            </w:pPr>
            <w:r>
              <w:rPr>
                <w:rFonts w:eastAsia="Calibri"/>
              </w:rPr>
              <w:t>bennett.teluja@steptoe-johnson.com</w:t>
            </w:r>
          </w:p>
          <w:p w14:paraId="3FC4E0F9" w14:textId="77777777" w:rsidR="00C323E7" w:rsidRPr="00B55872" w:rsidRDefault="00C323E7" w:rsidP="00147CD8">
            <w:pPr>
              <w:keepNext/>
              <w:keepLines/>
              <w:spacing w:line="240" w:lineRule="auto"/>
              <w:ind w:firstLine="0"/>
              <w:jc w:val="left"/>
              <w:rPr>
                <w:rFonts w:eastAsia="Calibri"/>
                <w:i/>
                <w:iCs/>
              </w:rPr>
            </w:pPr>
            <w:r w:rsidRPr="00B55872">
              <w:rPr>
                <w:rFonts w:eastAsia="Calibri"/>
                <w:i/>
                <w:iCs/>
              </w:rPr>
              <w:t>Counsel for Defendant, Robert Aria, M.D.</w:t>
            </w:r>
          </w:p>
          <w:p w14:paraId="7EF779F5" w14:textId="77777777" w:rsidR="00C323E7" w:rsidRPr="00B55872" w:rsidRDefault="00C323E7" w:rsidP="00147CD8">
            <w:pPr>
              <w:keepNext/>
              <w:keepLines/>
              <w:spacing w:line="240" w:lineRule="auto"/>
              <w:ind w:firstLine="0"/>
              <w:jc w:val="left"/>
              <w:rPr>
                <w:rFonts w:eastAsia="Calibri"/>
              </w:rPr>
            </w:pPr>
          </w:p>
        </w:tc>
        <w:tc>
          <w:tcPr>
            <w:tcW w:w="4490" w:type="dxa"/>
          </w:tcPr>
          <w:p w14:paraId="770EB379" w14:textId="77777777" w:rsidR="00C323E7" w:rsidRDefault="00C323E7" w:rsidP="00147CD8">
            <w:pPr>
              <w:keepNext/>
              <w:keepLines/>
              <w:spacing w:line="240" w:lineRule="auto"/>
              <w:ind w:firstLine="0"/>
              <w:jc w:val="left"/>
              <w:rPr>
                <w:rFonts w:eastAsia="Calibri"/>
              </w:rPr>
            </w:pPr>
            <w:r w:rsidRPr="00B55872">
              <w:rPr>
                <w:rFonts w:eastAsia="Calibri"/>
              </w:rPr>
              <w:t>Katherine Kerns Vesely</w:t>
            </w:r>
          </w:p>
          <w:p w14:paraId="396AC1B9" w14:textId="222494DD" w:rsidR="000E0B8F" w:rsidRDefault="000E0B8F" w:rsidP="00147CD8">
            <w:pPr>
              <w:keepNext/>
              <w:keepLines/>
              <w:spacing w:line="240" w:lineRule="auto"/>
              <w:ind w:firstLine="0"/>
              <w:jc w:val="left"/>
              <w:rPr>
                <w:rFonts w:eastAsia="Calibri"/>
              </w:rPr>
            </w:pPr>
            <w:r>
              <w:rPr>
                <w:rFonts w:eastAsia="Calibri"/>
              </w:rPr>
              <w:t>Kenneth H. Decker</w:t>
            </w:r>
          </w:p>
          <w:p w14:paraId="750F9642" w14:textId="389DFCAD" w:rsidR="007A3F9D" w:rsidRPr="00B55872" w:rsidRDefault="007A3F9D" w:rsidP="00147CD8">
            <w:pPr>
              <w:keepNext/>
              <w:keepLines/>
              <w:spacing w:line="240" w:lineRule="auto"/>
              <w:ind w:firstLine="0"/>
              <w:jc w:val="left"/>
              <w:rPr>
                <w:rFonts w:eastAsia="Calibri"/>
              </w:rPr>
            </w:pPr>
            <w:r>
              <w:rPr>
                <w:rFonts w:eastAsia="Calibri"/>
              </w:rPr>
              <w:t>Andie Brent Camden</w:t>
            </w:r>
          </w:p>
          <w:p w14:paraId="0A081262" w14:textId="77777777" w:rsidR="00C323E7" w:rsidRPr="00B55872" w:rsidRDefault="00C323E7" w:rsidP="00147CD8">
            <w:pPr>
              <w:keepNext/>
              <w:keepLines/>
              <w:spacing w:line="240" w:lineRule="auto"/>
              <w:ind w:firstLine="0"/>
              <w:jc w:val="left"/>
              <w:rPr>
                <w:rFonts w:eastAsia="Calibri"/>
                <w:smallCaps/>
              </w:rPr>
            </w:pPr>
            <w:r w:rsidRPr="00B55872">
              <w:rPr>
                <w:rFonts w:eastAsia="Calibri"/>
                <w:smallCaps/>
              </w:rPr>
              <w:t>O'Bryan, Brown &amp; Toner, PLLC</w:t>
            </w:r>
          </w:p>
          <w:p w14:paraId="72B602F4" w14:textId="77777777" w:rsidR="00C323E7" w:rsidRPr="00B55872" w:rsidRDefault="00C323E7" w:rsidP="00147CD8">
            <w:pPr>
              <w:keepNext/>
              <w:keepLines/>
              <w:spacing w:line="240" w:lineRule="auto"/>
              <w:ind w:firstLine="0"/>
              <w:jc w:val="left"/>
              <w:rPr>
                <w:rFonts w:eastAsia="Calibri"/>
              </w:rPr>
            </w:pPr>
            <w:r w:rsidRPr="00B55872">
              <w:rPr>
                <w:rFonts w:eastAsia="Calibri"/>
              </w:rPr>
              <w:t>401 South Fourth Street, Suite 2200</w:t>
            </w:r>
          </w:p>
          <w:p w14:paraId="4B9C442D" w14:textId="77777777" w:rsidR="00C323E7" w:rsidRPr="00B55872" w:rsidRDefault="00C323E7" w:rsidP="00147CD8">
            <w:pPr>
              <w:keepNext/>
              <w:keepLines/>
              <w:spacing w:line="240" w:lineRule="auto"/>
              <w:ind w:firstLine="0"/>
              <w:jc w:val="left"/>
              <w:rPr>
                <w:rFonts w:eastAsia="Calibri"/>
              </w:rPr>
            </w:pPr>
            <w:r w:rsidRPr="00B55872">
              <w:rPr>
                <w:rFonts w:eastAsia="Calibri"/>
              </w:rPr>
              <w:t>Louisville, KY  40202</w:t>
            </w:r>
          </w:p>
          <w:p w14:paraId="44F03DCD" w14:textId="77777777" w:rsidR="00C323E7" w:rsidRPr="00B55872" w:rsidRDefault="00C323E7" w:rsidP="00147CD8">
            <w:pPr>
              <w:keepNext/>
              <w:keepLines/>
              <w:spacing w:line="240" w:lineRule="auto"/>
              <w:ind w:firstLine="0"/>
              <w:jc w:val="left"/>
              <w:rPr>
                <w:rFonts w:eastAsia="Calibri"/>
              </w:rPr>
            </w:pPr>
            <w:r w:rsidRPr="00B55872">
              <w:rPr>
                <w:rFonts w:eastAsia="Calibri"/>
              </w:rPr>
              <w:t>(502) 585-4700</w:t>
            </w:r>
          </w:p>
          <w:p w14:paraId="71C0638D" w14:textId="61BA3642" w:rsidR="00C323E7" w:rsidRDefault="000E0B8F" w:rsidP="00147CD8">
            <w:pPr>
              <w:keepNext/>
              <w:keepLines/>
              <w:spacing w:line="240" w:lineRule="auto"/>
              <w:ind w:firstLine="0"/>
              <w:jc w:val="left"/>
              <w:rPr>
                <w:rFonts w:eastAsia="Calibri"/>
              </w:rPr>
            </w:pPr>
            <w:r w:rsidRPr="000E0B8F">
              <w:rPr>
                <w:rFonts w:eastAsia="Calibri"/>
              </w:rPr>
              <w:t>veselyk@obtlaw.com</w:t>
            </w:r>
          </w:p>
          <w:p w14:paraId="68983D4C" w14:textId="4599BC17" w:rsidR="000E0B8F" w:rsidRDefault="000E0B8F" w:rsidP="00147CD8">
            <w:pPr>
              <w:keepNext/>
              <w:keepLines/>
              <w:spacing w:line="240" w:lineRule="auto"/>
              <w:ind w:firstLine="0"/>
              <w:jc w:val="left"/>
              <w:rPr>
                <w:rFonts w:eastAsia="Calibri"/>
              </w:rPr>
            </w:pPr>
            <w:r>
              <w:rPr>
                <w:rFonts w:eastAsia="Calibri"/>
              </w:rPr>
              <w:t>deckerk@obtlaw.com</w:t>
            </w:r>
          </w:p>
          <w:p w14:paraId="5C2B0343" w14:textId="2DA17337" w:rsidR="007A3F9D" w:rsidRPr="00B55872" w:rsidRDefault="007A3F9D" w:rsidP="00147CD8">
            <w:pPr>
              <w:keepNext/>
              <w:keepLines/>
              <w:spacing w:line="240" w:lineRule="auto"/>
              <w:ind w:firstLine="0"/>
              <w:jc w:val="left"/>
              <w:rPr>
                <w:rFonts w:eastAsia="Calibri"/>
              </w:rPr>
            </w:pPr>
            <w:r>
              <w:rPr>
                <w:rFonts w:eastAsia="Calibri"/>
              </w:rPr>
              <w:t>camdena@obtlaw.com</w:t>
            </w:r>
          </w:p>
          <w:p w14:paraId="15818491" w14:textId="265D3061" w:rsidR="007973F2" w:rsidRPr="00B55872" w:rsidRDefault="00C323E7" w:rsidP="00147CD8">
            <w:pPr>
              <w:keepNext/>
              <w:keepLines/>
              <w:spacing w:line="240" w:lineRule="auto"/>
              <w:ind w:firstLine="0"/>
              <w:jc w:val="left"/>
              <w:rPr>
                <w:rFonts w:eastAsia="Calibri"/>
                <w:i/>
                <w:iCs/>
              </w:rPr>
            </w:pPr>
            <w:r w:rsidRPr="00B55872">
              <w:rPr>
                <w:rFonts w:eastAsia="Calibri"/>
                <w:i/>
                <w:iCs/>
              </w:rPr>
              <w:t>Counsel for Defendant, Erica Gettis</w:t>
            </w:r>
            <w:r w:rsidR="00A07B32">
              <w:rPr>
                <w:rFonts w:eastAsia="Calibri"/>
                <w:i/>
                <w:iCs/>
              </w:rPr>
              <w:t>, D.O.</w:t>
            </w:r>
          </w:p>
          <w:p w14:paraId="3C884B0A" w14:textId="77777777" w:rsidR="00C323E7" w:rsidRPr="00B55872" w:rsidRDefault="00C323E7" w:rsidP="00147CD8">
            <w:pPr>
              <w:keepNext/>
              <w:keepLines/>
              <w:spacing w:line="240" w:lineRule="auto"/>
              <w:ind w:firstLine="0"/>
              <w:jc w:val="left"/>
              <w:rPr>
                <w:rFonts w:eastAsia="Calibri"/>
              </w:rPr>
            </w:pPr>
          </w:p>
        </w:tc>
      </w:tr>
      <w:tr w:rsidR="007973F2" w:rsidRPr="00B55872" w14:paraId="1B3C876F" w14:textId="77777777" w:rsidTr="008B6DDB">
        <w:tc>
          <w:tcPr>
            <w:tcW w:w="4860" w:type="dxa"/>
          </w:tcPr>
          <w:p w14:paraId="50745584" w14:textId="77777777" w:rsidR="007973F2" w:rsidRDefault="007973F2" w:rsidP="00B07814">
            <w:pPr>
              <w:tabs>
                <w:tab w:val="left" w:pos="-1200"/>
                <w:tab w:val="left" w:pos="-720"/>
                <w:tab w:val="left" w:pos="180"/>
                <w:tab w:val="left" w:pos="72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rsidRPr="00614020">
              <w:t>Eleanor M. B. Davi</w:t>
            </w:r>
            <w:r>
              <w:t>s</w:t>
            </w:r>
          </w:p>
          <w:p w14:paraId="04E86507" w14:textId="3611A124" w:rsidR="00B06ACD" w:rsidRDefault="00F02E9A" w:rsidP="00B07814">
            <w:pPr>
              <w:tabs>
                <w:tab w:val="left" w:pos="-1200"/>
                <w:tab w:val="left" w:pos="-720"/>
                <w:tab w:val="left" w:pos="180"/>
                <w:tab w:val="left" w:pos="72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t>Faith O. Turner</w:t>
            </w:r>
          </w:p>
          <w:p w14:paraId="1A019454" w14:textId="77777777" w:rsidR="007973F2" w:rsidRPr="00615A9B" w:rsidRDefault="007973F2" w:rsidP="00B07814">
            <w:pPr>
              <w:tabs>
                <w:tab w:val="left" w:pos="-1200"/>
                <w:tab w:val="left" w:pos="-720"/>
                <w:tab w:val="left" w:pos="180"/>
                <w:tab w:val="left" w:pos="72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rPr>
                <w:smallCaps/>
              </w:rPr>
            </w:pPr>
            <w:r w:rsidRPr="00615A9B">
              <w:rPr>
                <w:smallCaps/>
              </w:rPr>
              <w:t>Thompson Miller &amp; Simpson, PLC</w:t>
            </w:r>
          </w:p>
          <w:p w14:paraId="49A41928" w14:textId="77777777" w:rsidR="007973F2" w:rsidRPr="00614020" w:rsidRDefault="007973F2" w:rsidP="00B07814">
            <w:pPr>
              <w:tabs>
                <w:tab w:val="left" w:pos="-1200"/>
                <w:tab w:val="left" w:pos="-720"/>
                <w:tab w:val="left" w:pos="18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rsidRPr="00614020">
              <w:t>734 West Main Street, Suite 400</w:t>
            </w:r>
          </w:p>
          <w:p w14:paraId="3765E7AD" w14:textId="77777777" w:rsidR="007973F2" w:rsidRDefault="007973F2" w:rsidP="00B07814">
            <w:pPr>
              <w:tabs>
                <w:tab w:val="left" w:pos="-1200"/>
                <w:tab w:val="left" w:pos="-720"/>
                <w:tab w:val="left" w:pos="18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rsidRPr="00614020">
              <w:t>Louisville, Kentucky 40202</w:t>
            </w:r>
          </w:p>
          <w:p w14:paraId="5B75B103" w14:textId="77777777" w:rsidR="007973F2" w:rsidRPr="00614020" w:rsidRDefault="007973F2" w:rsidP="00B07814">
            <w:pPr>
              <w:tabs>
                <w:tab w:val="left" w:pos="-1200"/>
                <w:tab w:val="left" w:pos="-720"/>
                <w:tab w:val="left" w:pos="18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rsidRPr="00614020">
              <w:lastRenderedPageBreak/>
              <w:t>(502) 585-9900</w:t>
            </w:r>
          </w:p>
          <w:p w14:paraId="4D149FC6" w14:textId="0A3FA799" w:rsidR="007973F2" w:rsidRDefault="00B06ACD" w:rsidP="00B07814">
            <w:pPr>
              <w:tabs>
                <w:tab w:val="left" w:pos="-1200"/>
                <w:tab w:val="left" w:pos="-720"/>
                <w:tab w:val="left" w:pos="180"/>
                <w:tab w:val="left" w:pos="72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rsidRPr="00B06ACD">
              <w:t>edavis@tmslawplc.com</w:t>
            </w:r>
          </w:p>
          <w:p w14:paraId="36A254E9" w14:textId="49FF472A" w:rsidR="00B06ACD" w:rsidRPr="00614020" w:rsidRDefault="00F02E9A" w:rsidP="00B07814">
            <w:pPr>
              <w:tabs>
                <w:tab w:val="left" w:pos="-1200"/>
                <w:tab w:val="left" w:pos="-720"/>
                <w:tab w:val="left" w:pos="180"/>
                <w:tab w:val="left" w:pos="72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t>fturner</w:t>
            </w:r>
            <w:r w:rsidR="00B06ACD">
              <w:t>@tmslawplc.com</w:t>
            </w:r>
          </w:p>
          <w:p w14:paraId="2B42470C" w14:textId="77777777" w:rsidR="007973F2" w:rsidRPr="00614020" w:rsidRDefault="007973F2" w:rsidP="00B07814">
            <w:pPr>
              <w:tabs>
                <w:tab w:val="left" w:pos="-360"/>
                <w:tab w:val="left" w:pos="180"/>
                <w:tab w:val="right" w:pos="4320"/>
                <w:tab w:val="left" w:pos="4680"/>
              </w:tabs>
              <w:spacing w:line="240" w:lineRule="auto"/>
              <w:ind w:firstLine="0"/>
              <w:rPr>
                <w:i/>
                <w:iCs/>
              </w:rPr>
            </w:pPr>
            <w:r w:rsidRPr="00614020">
              <w:rPr>
                <w:i/>
                <w:iCs/>
              </w:rPr>
              <w:t>Counsel for Defendants</w:t>
            </w:r>
            <w:r>
              <w:rPr>
                <w:i/>
                <w:iCs/>
              </w:rPr>
              <w:t xml:space="preserve">, </w:t>
            </w:r>
          </w:p>
          <w:p w14:paraId="28AC6237" w14:textId="214D9820" w:rsidR="007973F2" w:rsidRDefault="007973F2" w:rsidP="00B07814">
            <w:pPr>
              <w:tabs>
                <w:tab w:val="left" w:pos="-360"/>
                <w:tab w:val="left" w:pos="180"/>
              </w:tabs>
              <w:spacing w:line="240" w:lineRule="auto"/>
              <w:ind w:firstLine="0"/>
              <w:rPr>
                <w:i/>
                <w:iCs/>
              </w:rPr>
            </w:pPr>
            <w:r>
              <w:rPr>
                <w:i/>
                <w:iCs/>
              </w:rPr>
              <w:t>U</w:t>
            </w:r>
            <w:r w:rsidRPr="00614020">
              <w:rPr>
                <w:i/>
                <w:iCs/>
              </w:rPr>
              <w:t>ofL Health–Louisville, Inc.</w:t>
            </w:r>
            <w:r w:rsidR="00B42157">
              <w:rPr>
                <w:i/>
                <w:iCs/>
              </w:rPr>
              <w:t>,</w:t>
            </w:r>
          </w:p>
          <w:p w14:paraId="551558A6" w14:textId="26C96D51" w:rsidR="00B42157" w:rsidRDefault="007973F2" w:rsidP="00B07814">
            <w:pPr>
              <w:tabs>
                <w:tab w:val="left" w:pos="-360"/>
                <w:tab w:val="left" w:pos="180"/>
              </w:tabs>
              <w:spacing w:line="240" w:lineRule="auto"/>
              <w:ind w:firstLine="0"/>
              <w:rPr>
                <w:i/>
                <w:iCs/>
              </w:rPr>
            </w:pPr>
            <w:r w:rsidRPr="00614020">
              <w:rPr>
                <w:i/>
                <w:iCs/>
              </w:rPr>
              <w:t>University of Louisville Physicians,</w:t>
            </w:r>
          </w:p>
          <w:p w14:paraId="78409D10" w14:textId="02CB8761" w:rsidR="007973F2" w:rsidRPr="00614020" w:rsidRDefault="007973F2" w:rsidP="00B07814">
            <w:pPr>
              <w:tabs>
                <w:tab w:val="left" w:pos="-360"/>
                <w:tab w:val="left" w:pos="180"/>
              </w:tabs>
              <w:spacing w:line="240" w:lineRule="auto"/>
              <w:ind w:firstLine="0"/>
              <w:rPr>
                <w:i/>
                <w:iCs/>
              </w:rPr>
            </w:pPr>
            <w:r w:rsidRPr="00614020">
              <w:rPr>
                <w:i/>
                <w:iCs/>
              </w:rPr>
              <w:t>Inc.</w:t>
            </w:r>
            <w:r w:rsidR="00B42157">
              <w:rPr>
                <w:i/>
                <w:iCs/>
              </w:rPr>
              <w:t>, and UofL Health, Inc.</w:t>
            </w:r>
          </w:p>
          <w:p w14:paraId="24B60726" w14:textId="77777777" w:rsidR="007973F2" w:rsidRPr="00B55872" w:rsidRDefault="007973F2" w:rsidP="00B07814">
            <w:pPr>
              <w:keepNext/>
              <w:keepLines/>
              <w:spacing w:line="240" w:lineRule="auto"/>
              <w:ind w:firstLine="0"/>
              <w:jc w:val="left"/>
              <w:rPr>
                <w:rFonts w:eastAsia="Calibri"/>
              </w:rPr>
            </w:pPr>
          </w:p>
        </w:tc>
        <w:tc>
          <w:tcPr>
            <w:tcW w:w="4490" w:type="dxa"/>
          </w:tcPr>
          <w:p w14:paraId="763CF2D3" w14:textId="3A6C70DF" w:rsidR="007973F2" w:rsidRPr="007973F2" w:rsidRDefault="007973F2" w:rsidP="00147CD8">
            <w:pPr>
              <w:keepNext/>
              <w:keepLines/>
              <w:spacing w:line="240" w:lineRule="auto"/>
              <w:ind w:firstLine="0"/>
              <w:jc w:val="left"/>
              <w:rPr>
                <w:rFonts w:eastAsia="Calibri"/>
                <w:i/>
                <w:iCs/>
              </w:rPr>
            </w:pPr>
          </w:p>
        </w:tc>
      </w:tr>
    </w:tbl>
    <w:p w14:paraId="2A943B26" w14:textId="77777777" w:rsidR="00C323E7" w:rsidRDefault="00C323E7" w:rsidP="00C323E7">
      <w:pPr>
        <w:spacing w:after="160" w:line="259" w:lineRule="auto"/>
        <w:ind w:firstLine="0"/>
        <w:jc w:val="left"/>
        <w:rPr>
          <w:rFonts w:eastAsiaTheme="minorHAnsi" w:cstheme="minorBidi"/>
          <w:szCs w:val="22"/>
          <w14:ligatures w14:val="none"/>
        </w:rPr>
      </w:pPr>
    </w:p>
    <w:p w14:paraId="299CD4E4" w14:textId="77777777" w:rsidR="00725147" w:rsidRDefault="00725147"/>
    <w:sectPr w:rsidR="00725147" w:rsidSect="00C323E7">
      <w:footerReference w:type="even" r:id="rId10"/>
      <w:footerReference w:type="defaul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2C639" w14:textId="77777777" w:rsidR="00EC4AFA" w:rsidRDefault="00EC4AFA">
      <w:pPr>
        <w:spacing w:line="240" w:lineRule="auto"/>
      </w:pPr>
      <w:r>
        <w:separator/>
      </w:r>
    </w:p>
  </w:endnote>
  <w:endnote w:type="continuationSeparator" w:id="0">
    <w:p w14:paraId="1A47618B" w14:textId="77777777" w:rsidR="00EC4AFA" w:rsidRDefault="00EC4A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DF600" w14:textId="77777777" w:rsidR="007359E2" w:rsidRDefault="007359E2">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13C325A2" w14:textId="77777777" w:rsidR="007359E2" w:rsidRDefault="007359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3018941"/>
      <w:docPartObj>
        <w:docPartGallery w:val="Page Numbers (Bottom of Page)"/>
        <w:docPartUnique/>
      </w:docPartObj>
    </w:sdtPr>
    <w:sdtEndPr>
      <w:rPr>
        <w:rFonts w:ascii="Century Schoolbook" w:hAnsi="Century Schoolbook"/>
        <w:noProof/>
        <w:sz w:val="24"/>
        <w:szCs w:val="32"/>
      </w:rPr>
    </w:sdtEndPr>
    <w:sdtContent>
      <w:p w14:paraId="29E79C41" w14:textId="77777777" w:rsidR="007359E2" w:rsidRPr="003E1E72" w:rsidRDefault="007359E2" w:rsidP="003E1E72">
        <w:pPr>
          <w:pStyle w:val="Footer"/>
          <w:ind w:firstLine="0"/>
          <w:jc w:val="center"/>
          <w:rPr>
            <w:rFonts w:ascii="Century Schoolbook" w:hAnsi="Century Schoolbook"/>
            <w:sz w:val="24"/>
            <w:szCs w:val="32"/>
          </w:rPr>
        </w:pPr>
        <w:r w:rsidRPr="003E1E72">
          <w:rPr>
            <w:rFonts w:ascii="Century Schoolbook" w:hAnsi="Century Schoolbook"/>
            <w:sz w:val="24"/>
            <w:szCs w:val="32"/>
          </w:rPr>
          <w:fldChar w:fldCharType="begin"/>
        </w:r>
        <w:r w:rsidRPr="003E1E72">
          <w:rPr>
            <w:rFonts w:ascii="Century Schoolbook" w:hAnsi="Century Schoolbook"/>
            <w:sz w:val="24"/>
            <w:szCs w:val="32"/>
          </w:rPr>
          <w:instrText xml:space="preserve"> PAGE   \* MERGEFORMAT </w:instrText>
        </w:r>
        <w:r w:rsidRPr="003E1E72">
          <w:rPr>
            <w:rFonts w:ascii="Century Schoolbook" w:hAnsi="Century Schoolbook"/>
            <w:sz w:val="24"/>
            <w:szCs w:val="32"/>
          </w:rPr>
          <w:fldChar w:fldCharType="separate"/>
        </w:r>
        <w:r w:rsidRPr="003E1E72">
          <w:rPr>
            <w:rFonts w:ascii="Century Schoolbook" w:hAnsi="Century Schoolbook"/>
            <w:noProof/>
            <w:sz w:val="24"/>
            <w:szCs w:val="32"/>
          </w:rPr>
          <w:t>2</w:t>
        </w:r>
        <w:r w:rsidRPr="003E1E72">
          <w:rPr>
            <w:rFonts w:ascii="Century Schoolbook" w:hAnsi="Century Schoolbook"/>
            <w:noProof/>
            <w:sz w:val="24"/>
            <w:szCs w:val="32"/>
          </w:rPr>
          <w:fldChar w:fldCharType="end"/>
        </w:r>
      </w:p>
    </w:sdtContent>
  </w:sdt>
  <w:p w14:paraId="35622987" w14:textId="77777777" w:rsidR="007359E2" w:rsidRDefault="007359E2" w:rsidP="003E1E72">
    <w:pPr>
      <w:pStyle w:val="Footer"/>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908C8" w14:textId="259320CB" w:rsidR="007359E2" w:rsidRDefault="007359E2">
    <w:pPr>
      <w:pStyle w:val="Footer"/>
    </w:pPr>
    <w:r>
      <w:fldChar w:fldCharType="begin"/>
    </w:r>
    <w:r>
      <w:instrText xml:space="preserve"> IF </w:instrText>
    </w:r>
    <w:fldSimple w:instr=" NUMPAGES ">
      <w:r w:rsidR="00D72367">
        <w:rPr>
          <w:noProof/>
        </w:rPr>
        <w:instrText>12</w:instrText>
      </w:r>
    </w:fldSimple>
    <w:r>
      <w:instrText xml:space="preserve"> = </w:instrText>
    </w:r>
    <w:r>
      <w:fldChar w:fldCharType="begin"/>
    </w:r>
    <w:r>
      <w:instrText xml:space="preserve"> PAGE </w:instrText>
    </w:r>
    <w:r>
      <w:fldChar w:fldCharType="separate"/>
    </w:r>
    <w:r w:rsidR="00D72367">
      <w:rPr>
        <w:noProof/>
      </w:rPr>
      <w:instrText>1</w:instrText>
    </w:r>
    <w:r>
      <w:fldChar w:fldCharType="end"/>
    </w:r>
    <w:r>
      <w:instrText xml:space="preserve"> "</w:instrText>
    </w:r>
    <w:fldSimple w:instr=" FILENAME \p \* Lower ">
      <w:r>
        <w:rPr>
          <w:noProof/>
        </w:rPr>
        <w:instrText>document37</w:instrText>
      </w:r>
    </w:fldSimple>
    <w:r>
      <w:instrText xml:space="preserve">" "" \* MERGEFORMAT </w:instrTex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BA6BC" w14:textId="77777777" w:rsidR="00EC4AFA" w:rsidRDefault="00EC4AFA">
      <w:pPr>
        <w:spacing w:line="240" w:lineRule="auto"/>
      </w:pPr>
      <w:r>
        <w:separator/>
      </w:r>
    </w:p>
  </w:footnote>
  <w:footnote w:type="continuationSeparator" w:id="0">
    <w:p w14:paraId="1B6432DB" w14:textId="77777777" w:rsidR="00EC4AFA" w:rsidRDefault="00EC4AFA">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901" w:allStyles="1" w:customStyles="0" w:latentStyles="0" w:stylesInUse="0" w:headingStyles="0" w:numberingStyles="0" w:tableStyles="0" w:directFormattingOnRuns="1" w:directFormattingOnParagraphs="0" w:directFormattingOnNumbering="0"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3E7"/>
    <w:rsid w:val="00012CF5"/>
    <w:rsid w:val="00025D67"/>
    <w:rsid w:val="000647BA"/>
    <w:rsid w:val="00074ACD"/>
    <w:rsid w:val="000C75A0"/>
    <w:rsid w:val="000D0E06"/>
    <w:rsid w:val="000E0B8F"/>
    <w:rsid w:val="000E5DCB"/>
    <w:rsid w:val="00123081"/>
    <w:rsid w:val="001C07B2"/>
    <w:rsid w:val="001E6C94"/>
    <w:rsid w:val="001E769B"/>
    <w:rsid w:val="0020282E"/>
    <w:rsid w:val="00211B8A"/>
    <w:rsid w:val="0028303A"/>
    <w:rsid w:val="00294960"/>
    <w:rsid w:val="002B343A"/>
    <w:rsid w:val="002C005F"/>
    <w:rsid w:val="002F2A07"/>
    <w:rsid w:val="00364CC6"/>
    <w:rsid w:val="003B6C86"/>
    <w:rsid w:val="00485DF2"/>
    <w:rsid w:val="004C33E5"/>
    <w:rsid w:val="004D7549"/>
    <w:rsid w:val="005143CF"/>
    <w:rsid w:val="00534A67"/>
    <w:rsid w:val="0054331A"/>
    <w:rsid w:val="00544C40"/>
    <w:rsid w:val="00580D01"/>
    <w:rsid w:val="00615A9B"/>
    <w:rsid w:val="00643081"/>
    <w:rsid w:val="0065165D"/>
    <w:rsid w:val="00686994"/>
    <w:rsid w:val="006A2EC6"/>
    <w:rsid w:val="006B2C65"/>
    <w:rsid w:val="006C3791"/>
    <w:rsid w:val="006C673A"/>
    <w:rsid w:val="006D354E"/>
    <w:rsid w:val="006E45CC"/>
    <w:rsid w:val="00725147"/>
    <w:rsid w:val="007359E2"/>
    <w:rsid w:val="007973F2"/>
    <w:rsid w:val="007A3F9D"/>
    <w:rsid w:val="007D31B6"/>
    <w:rsid w:val="007F1F08"/>
    <w:rsid w:val="00801322"/>
    <w:rsid w:val="008876BB"/>
    <w:rsid w:val="008B6DDB"/>
    <w:rsid w:val="008C6B51"/>
    <w:rsid w:val="00905D5D"/>
    <w:rsid w:val="009768FE"/>
    <w:rsid w:val="009C6BB3"/>
    <w:rsid w:val="009E0BC6"/>
    <w:rsid w:val="00A07B32"/>
    <w:rsid w:val="00AB06DB"/>
    <w:rsid w:val="00AC1371"/>
    <w:rsid w:val="00AC1901"/>
    <w:rsid w:val="00B06ACD"/>
    <w:rsid w:val="00B07814"/>
    <w:rsid w:val="00B42157"/>
    <w:rsid w:val="00B76C5F"/>
    <w:rsid w:val="00B77A98"/>
    <w:rsid w:val="00B81437"/>
    <w:rsid w:val="00BB1A03"/>
    <w:rsid w:val="00C323E7"/>
    <w:rsid w:val="00C402D7"/>
    <w:rsid w:val="00C47EE8"/>
    <w:rsid w:val="00C95DAB"/>
    <w:rsid w:val="00CA61EF"/>
    <w:rsid w:val="00CD3491"/>
    <w:rsid w:val="00D47EA4"/>
    <w:rsid w:val="00D72367"/>
    <w:rsid w:val="00DC3D6A"/>
    <w:rsid w:val="00E20FE9"/>
    <w:rsid w:val="00E21C5E"/>
    <w:rsid w:val="00E5380B"/>
    <w:rsid w:val="00EC335B"/>
    <w:rsid w:val="00EC4AFA"/>
    <w:rsid w:val="00F02E9A"/>
    <w:rsid w:val="00F25713"/>
    <w:rsid w:val="00F529E9"/>
    <w:rsid w:val="00F92D5E"/>
    <w:rsid w:val="00FC74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00D58"/>
  <w15:chartTrackingRefBased/>
  <w15:docId w15:val="{BE958755-5546-431A-92CF-539CFF4F5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ldg"/>
    <w:qFormat/>
    <w:rsid w:val="00C323E7"/>
    <w:pPr>
      <w:spacing w:line="480" w:lineRule="auto"/>
      <w:ind w:firstLine="720"/>
      <w:jc w:val="both"/>
    </w:pPr>
    <w:rPr>
      <w:rFonts w:ascii="Century Schoolbook" w:eastAsia="Times New Roman" w:hAnsi="Century Schoolbook"/>
      <w:kern w:val="0"/>
      <w:sz w:val="24"/>
      <w:szCs w:val="24"/>
    </w:rPr>
  </w:style>
  <w:style w:type="paragraph" w:styleId="Heading1">
    <w:name w:val="heading 1"/>
    <w:basedOn w:val="Normal"/>
    <w:next w:val="Normal"/>
    <w:link w:val="Heading1Char"/>
    <w:uiPriority w:val="9"/>
    <w:qFormat/>
    <w:rsid w:val="00C323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23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23E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23E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323E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323E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323E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323E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323E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uiPriority w:val="99"/>
    <w:semiHidden/>
    <w:unhideWhenUsed/>
    <w:rsid w:val="00C95DAB"/>
    <w:pPr>
      <w:framePr w:w="7920" w:h="1980" w:hRule="exact" w:hSpace="180" w:wrap="auto" w:hAnchor="page" w:xAlign="center" w:yAlign="bottom"/>
      <w:ind w:left="2880"/>
    </w:pPr>
    <w:rPr>
      <w:rFonts w:eastAsiaTheme="majorEastAsia" w:cstheme="majorBidi"/>
    </w:rPr>
  </w:style>
  <w:style w:type="character" w:customStyle="1" w:styleId="Heading1Char">
    <w:name w:val="Heading 1 Char"/>
    <w:basedOn w:val="DefaultParagraphFont"/>
    <w:link w:val="Heading1"/>
    <w:uiPriority w:val="9"/>
    <w:rsid w:val="00C323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23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23E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23E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323E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323E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323E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323E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323E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323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3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3E7"/>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3E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323E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323E7"/>
    <w:rPr>
      <w:i/>
      <w:iCs/>
      <w:color w:val="404040" w:themeColor="text1" w:themeTint="BF"/>
    </w:rPr>
  </w:style>
  <w:style w:type="paragraph" w:styleId="ListParagraph">
    <w:name w:val="List Paragraph"/>
    <w:basedOn w:val="Normal"/>
    <w:uiPriority w:val="34"/>
    <w:qFormat/>
    <w:rsid w:val="00C323E7"/>
    <w:pPr>
      <w:ind w:left="720"/>
      <w:contextualSpacing/>
    </w:pPr>
  </w:style>
  <w:style w:type="character" w:styleId="IntenseEmphasis">
    <w:name w:val="Intense Emphasis"/>
    <w:basedOn w:val="DefaultParagraphFont"/>
    <w:uiPriority w:val="21"/>
    <w:qFormat/>
    <w:rsid w:val="00C323E7"/>
    <w:rPr>
      <w:i/>
      <w:iCs/>
      <w:color w:val="2F5496" w:themeColor="accent1" w:themeShade="BF"/>
    </w:rPr>
  </w:style>
  <w:style w:type="paragraph" w:styleId="IntenseQuote">
    <w:name w:val="Intense Quote"/>
    <w:basedOn w:val="Normal"/>
    <w:next w:val="Normal"/>
    <w:link w:val="IntenseQuoteChar"/>
    <w:uiPriority w:val="30"/>
    <w:qFormat/>
    <w:rsid w:val="00C323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23E7"/>
    <w:rPr>
      <w:i/>
      <w:iCs/>
      <w:color w:val="2F5496" w:themeColor="accent1" w:themeShade="BF"/>
    </w:rPr>
  </w:style>
  <w:style w:type="character" w:styleId="IntenseReference">
    <w:name w:val="Intense Reference"/>
    <w:basedOn w:val="DefaultParagraphFont"/>
    <w:uiPriority w:val="32"/>
    <w:qFormat/>
    <w:rsid w:val="00C323E7"/>
    <w:rPr>
      <w:b/>
      <w:bCs/>
      <w:smallCaps/>
      <w:color w:val="2F5496" w:themeColor="accent1" w:themeShade="BF"/>
      <w:spacing w:val="5"/>
    </w:rPr>
  </w:style>
  <w:style w:type="paragraph" w:styleId="Footer">
    <w:name w:val="footer"/>
    <w:link w:val="FooterChar"/>
    <w:uiPriority w:val="99"/>
    <w:rsid w:val="00C323E7"/>
    <w:pPr>
      <w:tabs>
        <w:tab w:val="center" w:pos="4320"/>
        <w:tab w:val="right" w:pos="8640"/>
      </w:tabs>
      <w:spacing w:line="480" w:lineRule="auto"/>
      <w:ind w:firstLine="720"/>
      <w:jc w:val="both"/>
    </w:pPr>
    <w:rPr>
      <w:rFonts w:eastAsia="Times New Roman"/>
      <w:kern w:val="0"/>
      <w:sz w:val="16"/>
    </w:rPr>
  </w:style>
  <w:style w:type="character" w:customStyle="1" w:styleId="FooterChar">
    <w:name w:val="Footer Char"/>
    <w:basedOn w:val="DefaultParagraphFont"/>
    <w:link w:val="Footer"/>
    <w:uiPriority w:val="99"/>
    <w:rsid w:val="00C323E7"/>
    <w:rPr>
      <w:rFonts w:eastAsia="Times New Roman"/>
      <w:kern w:val="0"/>
      <w:sz w:val="16"/>
    </w:rPr>
  </w:style>
  <w:style w:type="character" w:styleId="PageNumber">
    <w:name w:val="page number"/>
    <w:basedOn w:val="DefaultParagraphFont"/>
    <w:rsid w:val="00C323E7"/>
    <w:rPr>
      <w:sz w:val="24"/>
    </w:rPr>
  </w:style>
  <w:style w:type="table" w:customStyle="1" w:styleId="TableGrid1">
    <w:name w:val="Table Grid1"/>
    <w:basedOn w:val="TableNormal"/>
    <w:next w:val="TableGrid"/>
    <w:uiPriority w:val="39"/>
    <w:rsid w:val="00C323E7"/>
    <w:rPr>
      <w:rFonts w:ascii="Century Schoolbook" w:eastAsia="Calibri" w:hAnsi="Century Schoolbook"/>
      <w:kern w:val="0"/>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C323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E0B8F"/>
    <w:rPr>
      <w:color w:val="0563C1" w:themeColor="hyperlink"/>
      <w:u w:val="single"/>
    </w:rPr>
  </w:style>
  <w:style w:type="character" w:styleId="UnresolvedMention">
    <w:name w:val="Unresolved Mention"/>
    <w:basedOn w:val="DefaultParagraphFont"/>
    <w:uiPriority w:val="99"/>
    <w:semiHidden/>
    <w:unhideWhenUsed/>
    <w:rsid w:val="000E0B8F"/>
    <w:rPr>
      <w:color w:val="605E5C"/>
      <w:shd w:val="clear" w:color="auto" w:fill="E1DFDD"/>
    </w:rPr>
  </w:style>
  <w:style w:type="character" w:styleId="FootnoteReference">
    <w:name w:val="footnote reference"/>
    <w:basedOn w:val="DefaultParagraphFont"/>
    <w:uiPriority w:val="99"/>
    <w:semiHidden/>
    <w:unhideWhenUsed/>
    <w:rsid w:val="00B76C5F"/>
    <w:rPr>
      <w:vertAlign w:val="superscript"/>
    </w:rPr>
  </w:style>
  <w:style w:type="paragraph" w:customStyle="1" w:styleId="Ftnbdy">
    <w:name w:val="Ftn bdy"/>
    <w:basedOn w:val="FootnoteText"/>
    <w:qFormat/>
    <w:rsid w:val="00B76C5F"/>
    <w:pPr>
      <w:keepNext/>
      <w:keepLines/>
      <w:widowControl w:val="0"/>
      <w:tabs>
        <w:tab w:val="left" w:pos="446"/>
        <w:tab w:val="left" w:pos="540"/>
      </w:tabs>
      <w:spacing w:after="120"/>
      <w:ind w:firstLine="0"/>
      <w:jc w:val="left"/>
    </w:pPr>
    <w:rPr>
      <w:rFonts w:eastAsiaTheme="minorHAnsi" w:cstheme="minorBidi"/>
      <w:sz w:val="24"/>
      <w:szCs w:val="24"/>
      <w14:ligatures w14:val="none"/>
    </w:rPr>
  </w:style>
  <w:style w:type="paragraph" w:customStyle="1" w:styleId="BrfBdy">
    <w:name w:val="Brf Bdy"/>
    <w:qFormat/>
    <w:rsid w:val="00B76C5F"/>
    <w:pPr>
      <w:widowControl w:val="0"/>
      <w:spacing w:line="480" w:lineRule="auto"/>
      <w:ind w:firstLine="720"/>
    </w:pPr>
    <w:rPr>
      <w:rFonts w:ascii="Century Schoolbook" w:hAnsi="Century Schoolbook" w:cstheme="minorBidi"/>
      <w:kern w:val="0"/>
      <w:sz w:val="24"/>
      <w:szCs w:val="22"/>
      <w14:ligatures w14:val="none"/>
    </w:rPr>
  </w:style>
  <w:style w:type="paragraph" w:customStyle="1" w:styleId="CaseQuote">
    <w:name w:val="Case Quote"/>
    <w:basedOn w:val="Normal"/>
    <w:qFormat/>
    <w:rsid w:val="00B76C5F"/>
    <w:pPr>
      <w:widowControl w:val="0"/>
      <w:tabs>
        <w:tab w:val="left" w:pos="720"/>
      </w:tabs>
      <w:spacing w:after="120" w:line="240" w:lineRule="auto"/>
      <w:ind w:left="720" w:firstLine="0"/>
      <w:jc w:val="left"/>
    </w:pPr>
    <w:rPr>
      <w:rFonts w:ascii="Bookman Old Style" w:eastAsiaTheme="minorHAnsi" w:hAnsi="Bookman Old Style" w:cstheme="minorBidi"/>
      <w:szCs w:val="22"/>
      <w14:ligatures w14:val="none"/>
    </w:rPr>
  </w:style>
  <w:style w:type="paragraph" w:styleId="FootnoteText">
    <w:name w:val="footnote text"/>
    <w:basedOn w:val="Normal"/>
    <w:link w:val="FootnoteTextChar"/>
    <w:uiPriority w:val="99"/>
    <w:semiHidden/>
    <w:unhideWhenUsed/>
    <w:rsid w:val="00B76C5F"/>
    <w:pPr>
      <w:spacing w:line="240" w:lineRule="auto"/>
    </w:pPr>
    <w:rPr>
      <w:sz w:val="20"/>
      <w:szCs w:val="20"/>
    </w:rPr>
  </w:style>
  <w:style w:type="character" w:customStyle="1" w:styleId="FootnoteTextChar">
    <w:name w:val="Footnote Text Char"/>
    <w:basedOn w:val="DefaultParagraphFont"/>
    <w:link w:val="FootnoteText"/>
    <w:uiPriority w:val="99"/>
    <w:semiHidden/>
    <w:rsid w:val="00B76C5F"/>
    <w:rPr>
      <w:rFonts w:ascii="Century Schoolbook" w:eastAsia="Times New Roman" w:hAnsi="Century Schoolbook"/>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cid:1A939B53-5D43-4D16-9281-F97CCE315254" TargetMode="Externa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3.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290</TotalTime>
  <Pages>12</Pages>
  <Words>2533</Words>
  <Characters>12164</Characters>
  <Application>Microsoft Office Word</Application>
  <DocSecurity>0</DocSecurity>
  <Lines>311</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Peterson</dc:creator>
  <cp:keywords/>
  <dc:description/>
  <cp:lastModifiedBy>Sheldon L. Haden</cp:lastModifiedBy>
  <cp:revision>16</cp:revision>
  <dcterms:created xsi:type="dcterms:W3CDTF">2026-05-31T18:00:00Z</dcterms:created>
  <dcterms:modified xsi:type="dcterms:W3CDTF">2026-06-03T20:39:00Z</dcterms:modified>
</cp:coreProperties>
</file>