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 xml:space="preserve">Plaintiffs, Charles Tinker, Individually and as Executor of the Estate of Thelma “Timmi” Tinker, et al., by counsel, submit this Response in opposition to the Motion for Protective Order filed by Defendants UofL Health–Louisville, Inc., University of Louisville Physicians, Inc., and UofL Health, Inc. (the “UofL Defendants”). The Motion should be denied.</w:t>
      </w:r>
    </w:p>
    <w:p>
      <w:pPr>
        <w:pStyle w:val="Normal"/>
        <w:jc w:val="center"/>
      </w:pPr>
      <w:r>
        <w:rPr>
          <w:b/>
          <w:u w:val="single"/>
        </w:rPr>
        <w:t xml:space="preserve">INTRODUCTION</w:t>
      </w:r>
    </w:p>
    <w:p>
      <w:pPr>
        <w:pStyle w:val="BrfBdy"/>
      </w:pPr>
      <w:r>
        <w:t xml:space="preserve">This case is about Defendants’ failure to communicate the results of Timmi Tinker’s August 15, 2022 PET scan—results consistent with primary pulmonary neoplasm—for nearly twenty months. During that delay, Timmi’s lung cancer metastasized. Timmi died on May 17, 2024, eight days after she learned, for the first time, that she had cancer.</w:t>
      </w:r>
    </w:p>
    <w:p>
      <w:pPr>
        <w:pStyle w:val="BrfBdy"/>
      </w:pPr>
      <w:r>
        <w:t xml:space="preserve">Plaintiffs’ CR 30.02(6) Notice goes directly to the heart of how that happened inside UofL’s electronic health record systems. The Notice asks the UofL Defendants to designate witnesses to explain how PET scan reports migrate through UofL’s PACS, In-Basket, “acknowledgment,” and MyChart systems; how the audit data UofL has produced should be interpreted; and what that audit data does and does not show with respect to Timmi’s August 15, 2022 PET scan report. The companion CR 34 request asks the designees to demonstrate the answers to those questions by screen-sharing Timmi’s live chart on Zoom—the same way UofL’s providers and staff view it every day.</w:t>
      </w:r>
    </w:p>
    <w:p>
      <w:pPr>
        <w:pStyle w:val="BrfBdy"/>
      </w:pPr>
      <w:r>
        <w:t xml:space="preserve">The UofL Defendants brand this as a “fishing expedition.” It is not. The Notice was crafted with surgical precision to address the central factual dispute in this case—whether and when Dr. Gettis and her practice actually saw, routed, and acted on the August 15, 2022 PET scan report. And the Notice could not be more timely. The UofL Defendants have themselves placed the audit trail at the center of their defense, contending that Timmi accessed her MyChart and supposedly “knew” about her cancer all along but hid it from her family. The UofL Defendants cannot have it both ways: tendering the audit trail as the cornerstone of an affirmative defense, while simultaneously preventing Plaintiffs from exploring how that data was generated, what it actually shows, and what other audit information UofL holds but has not produced. If the Court is inclined to limit the live inspection or the related discovery, basic fairness requires that the UofL Defendants likewise be precluded from relying on the audit trail to argue that Timmi viewed, read, or knew the substance of her PET scan results.</w:t>
      </w:r>
    </w:p>
    <w:p>
      <w:pPr>
        <w:pStyle w:val="BrfBdy"/>
      </w:pPr>
      <w:r>
        <w:t xml:space="preserve">Finally, although the UofL Defendants raise meet-and-confer principles in their brief, they filed this Motion only six days after the Notice was served, without ever picking up the phone or sending an email to discuss either the date or the scope of the Notice. The Notice itself expressly invited that dialogue—twice. Plaintiffs’ counsel remain ready to discuss any reasonable adjustment, and respectfully submit that the right resolution here is for the parties to confer and proceed with the deposition and inspection on a workable schedule—not for the Court to shut down what is plainly proper discovery.</w:t>
      </w:r>
    </w:p>
    <w:p>
      <w:pPr>
        <w:pStyle w:val="Normal"/>
        <w:jc w:val="center"/>
      </w:pPr>
      <w:r>
        <w:rPr>
          <w:b/>
          <w:u w:val="single"/>
        </w:rPr>
        <w:t xml:space="preserve">BACKGROUND</w:t>
      </w:r>
    </w:p>
    <w:p>
      <w:pPr>
        <w:pStyle w:val="BrfBdy"/>
      </w:pPr>
      <w:r>
        <w:t xml:space="preserve">On July 15, 2022, Dr. Gettis ordered a chest x-ray for Timmi as part of her surgical clearance. The chest x-ray revealed a 2.3 cm pulmonary opacity. Dr. Gettis ordered a CT chest, expressly noting “rule out cancer.” The CT chest, performed on July 21, 2022, confirmed the pulmonary nodule and recommended a PET scan. Timmi promptly underwent the PET scan on August 15, 2022. The PET scan was read by Dr. Robert Aria, whose impressions were consistent with primary pulmonary neoplasm.</w:t>
      </w:r>
    </w:p>
    <w:p>
      <w:pPr>
        <w:pStyle w:val="BrfBdy"/>
      </w:pPr>
      <w:r>
        <w:t xml:space="preserve">Nobody told Timmi. Dr. Gettis did not “acknowledge” the August 15, 2022 PET scan report in UofL’s electronic health record until April 24, 2024—the same day Timmi came in for her annual physical, and the same day Dr. Gettis sent Timmi home without mentioning the result. Between August 2022 and April 2024, Timmi interacted with Dr. Gettis’s office repeatedly for refills, MyChart messages, an annual physical with a nurse practitioner, ear cerumen removal, and mammogram results. At every interaction, the PET scan report was sitting in Timmi’s chart. Nobody flagged it. Timmi was finally diagnosed with cancer on May 9, 2024 in the emergency department. She died eight days later.</w:t>
      </w:r>
    </w:p>
    <w:p>
      <w:pPr>
        <w:pStyle w:val="BrfBdy"/>
      </w:pPr>
      <w:r>
        <w:rPr>
          <w:i/>
        </w:rPr>
        <w:t xml:space="preserve">The CR 30.02(6) Notice. </w:t>
      </w:r>
      <w:r>
        <w:t xml:space="preserve">On May 22, 2026, Plaintiffs served the CR 30.02(6) Notice attached to the Motion as Exhibit 1. The Notice identifies eighteen specific topics, all directed to Timmi’s August 15, 2022 PET scan and the EHR functionality that handled it—including (1) how the PET scan report moved from the PACS into Dr. Gettis’s In-Basket; (2) how the In-Basket and “acknowledgment” functions work; (3) how the August 15, 2022 PET scan was (or was not) released to Timmi’s MyChart; (4) what the audit trail UofL produced does and does not capture; and (5) whether the UofL Defendants contend that Dr. Gettis read the August 15, 2022 PET scan, and on what basis. The Notice expressly invited counsel to confer on both the date and the scope of the topics.</w:t>
      </w:r>
    </w:p>
    <w:p>
      <w:pPr>
        <w:pStyle w:val="BrfBdy"/>
      </w:pPr>
      <w:r>
        <w:rPr>
          <w:i/>
        </w:rPr>
        <w:t xml:space="preserve">The audit trail and its use by the UofL Defendants. </w:t>
      </w:r>
      <w:r>
        <w:t xml:space="preserve">The UofL Defendants have produced what they describe as the “audit trail” for Timmi’s electronic medical record. On its face, the audit trail is ambiguous. For example, a single entry from August 18, 2022 reads “Order details viewed,” associated with “PET/CT BONE SKULL BASE TO MID THIGH.” Another entry that afternoon states “Printing occurred in MyChart,” associated only with “Web page name Test Details.” Without testimony from a designee who can explain what these entries mean within UofL’s system—and without the ability to see how the system actually behaves—these entries are open to multiple, divergent interpretations.</w:t>
      </w:r>
    </w:p>
    <w:p>
      <w:pPr>
        <w:pStyle w:val="BrfBdy"/>
      </w:pPr>
      <w:r>
        <w:t xml:space="preserve">Despite that ambiguity, the UofL Defendants have signaled their intent to rely on the audit trail to support a defense that Timmi accessed her MyChart, read the PET scan report, and concealed her diagnosis from her family. In recent written discovery, the UofL Defendants have demanded production of all browser history, internet search history, URL logs, Google account data, and related digital data from any device used by Timmi from July 2022 to May 2024—demands premised entirely on the same audit trail. Plaintiffs are concurrently moving for a protective order limiting that browsing-history discovery, and incorporate that motion here by reference.</w:t>
      </w:r>
    </w:p>
    <w:p>
      <w:pPr>
        <w:pStyle w:val="BrfBdy"/>
      </w:pPr>
      <w:r>
        <w:rPr>
          <w:i/>
        </w:rPr>
        <w:t xml:space="preserve">No meet and confer occurred. </w:t>
      </w:r>
      <w:r>
        <w:t xml:space="preserve">The Notice itself expressly invited dialogue on both scheduling and substance.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in the days following the Notice to discuss reasonable adjustments. The UofL Defendants nevertheless filed this Motion six days after the Notice was served, without a single email, telephone call, or letter raising specific objections.</w:t>
      </w:r>
    </w:p>
    <w:p>
      <w:pPr>
        <w:pStyle w:val="Normal"/>
        <w:jc w:val="center"/>
      </w:pPr>
      <w:r>
        <w:rPr>
          <w:b/>
          <w:u w:val="single"/>
        </w:rPr>
        <w:t xml:space="preserve">ARGUMENT</w:t>
      </w:r>
    </w:p>
    <w:p>
      <w:pPr>
        <w:pStyle w:val="BrfBdy"/>
      </w:pPr>
      <w:r>
        <w:rPr>
          <w:b/>
          <w:u w:val="single"/>
        </w:rPr>
        <w:t xml:space="preserve">I.	</w:t>
      </w:r>
      <w:r>
        <w:rPr>
          <w:b/>
          <w:u w:val="single"/>
        </w:rPr>
        <w:t xml:space="preserve">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UofL’s EHR systems as they relate to Timmi’s August 15, 2022 PET scan—not to abstract “system-wide” EHR matters as the UofL Defendants suggest. Topics 1, 5, 6, 7, 8, 9, and 10 ask how UofL’s MyChart, PACS, and In-Basket systems work with respect to PET scan reports and the “acknowledgment” function—the very functions that failed Timmi. Topics 11, 12, 13, 15, and 16 ask what the audit trail UofL produced actually shows, what is missing, and how to interpret it. These are the questions any responsible plaintiff would ask, and they are uniquely within UofL’s knowledge.</w:t>
      </w:r>
    </w:p>
    <w:p>
      <w:pPr>
        <w:pStyle w:val="BrfBdy"/>
      </w:pPr>
      <w:r>
        <w:t xml:space="preserve">The UofL Defendants single out Topics 2–4, 11, and 14 because those topics ask UofL whether it “admits” or “contends” certain things—for example, whether Dr. Gettis had a responsibility to report the PET scan results to Timmi, whether Dr. Gettis read the PET scan report, and whether Dr. Aria had a responsibility to communicate the PET scan results other than as he did. The UofL Defendants brand these topics as improper requests for “legal conclusions.” They are not. They are requests for the facts and documents supporting positions the UofL Defendants have themselves taken in this litigation. Asking a corporate defendant to identify the factual basis for its own contentions is permissible and routine, and is in fact the central purpose of CR 30.02(6). The UofL Defendants cannot affirmatively contend, for instance, that Dr. Gettis read the PET scan report (as the audit-trail-based theory of their defense necessarily implies), and then argue that Plaintiffs are not allowed to ask UofL to identify the factual basis for that contention.</w:t>
      </w:r>
    </w:p>
    <w:p>
      <w:pPr>
        <w:pStyle w:val="BrfBdy"/>
      </w:pPr>
      <w:r>
        <w:t xml:space="preserve">Plaintiffs do not, of course, ask UofL’s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five-minute phone call, had the UofL Defendants made one.</w:t>
      </w:r>
    </w:p>
    <w:p>
      <w:pPr>
        <w:pStyle w:val="BrfBdy"/>
      </w:pPr>
      <w:r>
        <w:t xml:space="preserve">Finally, the so-called “catchall” language—that the deposition “may cover any topics within the general knowledge of the designee(s)”—is the same language that appears in countless 30.02(6) notices in Kentucky. It does not convert the deposition into limitless discovery. It merely reflects the ordinary reality that depositions sometimes touch on related matters that arise organically. UofL is protected from genuine overreach by the existing rules; this catchall is not a reason to enter a protective order.</w:t>
      </w:r>
    </w:p>
    <w:p>
      <w:pPr>
        <w:pStyle w:val="BrfBdy"/>
      </w:pPr>
      <w:r>
        <w:rPr>
          <w:b/>
          <w:u w:val="single"/>
        </w:rPr>
        <w:t xml:space="preserve">II.	</w:t>
      </w:r>
      <w:r>
        <w:rPr>
          <w:b/>
          <w:u w:val="single"/>
        </w:rPr>
        <w:t xml:space="preserve">THE LIVE INSPECTION IS PROCEDURALLY PROPER AND SUBSTANTIVELY NECESSARY.</w:t>
      </w:r>
    </w:p>
    <w:p>
      <w:pPr>
        <w:pStyle w:val="BrfBdy"/>
      </w:pPr>
      <w:r>
        <w:rPr>
          <w:b/>
          <w:i/>
        </w:rPr>
        <w:t xml:space="preserve">A.	</w:t>
      </w:r>
      <w:r>
        <w:rPr>
          <w:b/>
          <w:i/>
        </w:rPr>
        <w:t xml:space="preserve">The CR 34.02 timing objection fails on its face.</w:t>
      </w:r>
    </w:p>
    <w:p>
      <w:pPr>
        <w:pStyle w:val="BrfBdy"/>
      </w:pPr>
      <w:r>
        <w:t xml:space="preserve">The UofL Defendants assert that the Notice runs afoul of CR 34.02’s thirty-day response period. But CR 30.02(5) expressly authorizes a deposition notice to be “accompanied by a request made in compliance with Rule 34 for the production of documents and tangible things at the taking of the deposition.” The mechanism is built into the rule. To the extent the UofL Defendants believed they needed additional time, the Notice expressly invited them to ask for it. They never did. They chose instead to file this Motion. In any event, Plaintiffs have always been willing to extend the inspection to a mutually convenient date, and would do so now.</w:t>
      </w:r>
    </w:p>
    <w:p>
      <w:pPr>
        <w:pStyle w:val="BrfBdy"/>
      </w:pPr>
      <w:r>
        <w:rPr>
          <w:b/>
          <w:i/>
        </w:rPr>
        <w:t xml:space="preserve">B.	</w:t>
      </w:r>
      <w:r>
        <w:rPr>
          <w:b/>
          <w:i/>
        </w:rPr>
        <w:t xml:space="preserve">The actual operations of UofL’s EHR systems are squarely at issue, which is the precise circumstance in which inspection is appropriate.</w:t>
      </w:r>
    </w:p>
    <w:p>
      <w:pPr>
        <w:pStyle w:val="BrfBdy"/>
      </w:pPr>
      <w:r>
        <w:t xml:space="preserve">The very authority the UofL Defendants cite makes the case for inspection here. The Sedona Principles recognize that direct inspection is appropriate when “the actual operation of a particular system is at issue in the litigation.” Sedona Principles, Third Edition, Comment 6.d. That is this case. The actual operation of UofL’s EHR—its In-Basket routing, its “acknowledgment” function, its release of test results into MyChart, and the audit data generated by those operations—is at the heart of how Dr. Gettis and her practice received Timmi’s PET scan report consistent with cancer and yet failed to communicate it to her for nearly two years. The operation of the system also bears directly on a key open question: whether and when Dr. Gettis or anyone else at UofL actually viewed the PET scan report in Timmi’s chart prior to April 24, 2024. The audit trail UofL has produced does not answer that question. Only inspection of the live system, in combination with the testimony of a knowledgeable designee, can.</w:t>
      </w:r>
    </w:p>
    <w:p>
      <w:pPr>
        <w:pStyle w:val="BrfBdy"/>
      </w:pPr>
      <w:r>
        <w:t xml:space="preserve">The federal cases the UofL Defendants rely on are inapposite. </w:t>
      </w:r>
      <w:r>
        <w:rPr>
          <w:i/>
        </w:rPr>
        <w:t xml:space="preserve">John B. v. Goetz</w:t>
      </w:r>
      <w:r>
        <w:t xml:space="preserve"> concerned “mirror imaging” of computers based on vague allegations; </w:t>
      </w:r>
      <w:r>
        <w:rPr>
          <w:i/>
        </w:rPr>
        <w:t xml:space="preserve">Scotts Co. v. Liberty Mutual</w:t>
      </w:r>
      <w:r>
        <w:t xml:space="preserve"> concerned a forensic inspection based on “mere suspicion” that information was being withheld; </w:t>
      </w:r>
      <w:r>
        <w:rPr>
          <w:i/>
        </w:rPr>
        <w:t xml:space="preserve">In re Ford Motor Co.</w:t>
      </w:r>
      <w:r>
        <w:t xml:space="preserve"> concerned a request to “conduct the actual search” of an opposing party’s files. Plaintiffs do not seek any of those things. Plaintiffs do not want to mirror UofL’s systems, conduct forensic imaging, or rummage through UofL’s files. Plaintiffs simply ask UofL’s designees to log into Timmi’s chart—a single patient’s chart—and demonstrate, by screen-sharing on Zoom, how the system shows what was viewed, when, by whom, and what was done with the PET scan report. This is the least intrusive way to obtain the necessary information, and it is the way UofL’s own employees navigate the system every day.</w:t>
      </w:r>
    </w:p>
    <w:p>
      <w:pPr>
        <w:pStyle w:val="BrfBdy"/>
      </w:pPr>
      <w:r>
        <w:rPr>
          <w:b/>
          <w:i/>
        </w:rPr>
        <w:t xml:space="preserve">C.	</w:t>
      </w:r>
      <w:r>
        <w:rPr>
          <w:b/>
          <w:i/>
        </w:rPr>
        <w:t xml:space="preserve">The audit data UofL produced is incomplete and ambiguous, and only a live inspection will resolve that.</w:t>
      </w:r>
    </w:p>
    <w:p>
      <w:pPr>
        <w:pStyle w:val="BrfBdy"/>
      </w:pPr>
      <w:r>
        <w:t xml:space="preserve">The audit data UofL produced omits substantial categories of information, including MyChart and In-Basket message content, IP address data, URLs, record-specific logging identifying which test or radiology records were accessed, print-related details, image-viewer links, and patient notifications. </w:t>
      </w:r>
      <w:r>
        <w:rPr>
          <w:i/>
        </w:rPr>
        <w:t xml:space="preserve">See </w:t>
      </w:r>
      <w:r>
        <w:t xml:space="preserve">Topic 12. Even the fields that were produced are written in terms whose meaning cannot be discerned without seeing the system in operation. For example, when the audit trail records “Printing occurred in MyChart” in association with “Web page name Test Details,” the UofL Defendants will likely contend that this means Timmi printed her PET scan report. Plaintiffs disagree: on its face, that entry could just as easily reflect printing of an order detail page, a list of orders, or any number of other pages. The only way for the parties—and ultimately the Court and a jury—to know what these entries actually represent is to see what happens in the system when those entries are generated. Inspection of the live system is the most efficient way to get that answer. Indeed, it is hard to imagine what “targeted written discovery” (as the UofL Defendants suggest) could substitute for the simple act of watching the system work.</w:t>
      </w:r>
    </w:p>
    <w:p>
      <w:pPr>
        <w:pStyle w:val="BrfBdy"/>
      </w:pPr>
      <w:r>
        <w:t xml:space="preserve">An inspection would also help resolve a question the audit trail leaves open and that bears directly on liability: whether Dr. Gettis or her office actually viewed the August 15, 2022 PET scan report prior to April 24, 2024. Only a walk-through of the live system can show what audit entries are generated when a provider opens a report, scrolls through it, prints it, forwards it, or acknowledges it, and thus what the existing audit data can fairly be read to say about Dr. Gettis’s actual conduct.</w:t>
      </w:r>
    </w:p>
    <w:p>
      <w:pPr>
        <w:pStyle w:val="BrfBdy"/>
      </w:pPr>
      <w:r>
        <w:rPr>
          <w:b/>
          <w:i/>
        </w:rPr>
        <w:t xml:space="preserve">D.	</w:t>
      </w:r>
      <w:r>
        <w:rPr>
          <w:b/>
          <w:i/>
        </w:rPr>
        <w:t xml:space="preserve">The UofL Defendants’ generalized HIPAA and security concerns are addressable through ordinary safeguards.</w:t>
      </w:r>
    </w:p>
    <w:p>
      <w:pPr>
        <w:pStyle w:val="BrfBdy"/>
      </w:pPr>
      <w:r>
        <w:t xml:space="preserve">The UofL Defendants invoke HIPAA, network security, and disruption to ongoing operations as reasons to forbid any live inspection. None of those concerns withstands scrutiny. Plaintiffs do not seek access to any patient record other than Timmi’s. The inspection would be conducted by a UofL designee, on a UofL workstation, with UofL counsel present, navigating only Timmi’s chart. To the extent any third-party information might appear incidentally (in, for example, a navigation menu), the designee can simply not navigate to it. UofL’s own staff manage these precise risks every day. The UofL Defendants notably do not contend that they cannot demonstrate Timmi’s chart safely; they ask the Court to forbid the inspection altogether. That is overreach.</w:t>
      </w:r>
    </w:p>
    <w:p>
      <w:pPr>
        <w:pStyle w:val="BrfBdy"/>
      </w:pPr>
      <w:r>
        <w:rPr>
          <w:b/>
          <w:u w:val="single"/>
        </w:rPr>
        <w:t xml:space="preserve">III.	</w:t>
      </w:r>
      <w:r>
        <w:rPr>
          <w:b/>
          <w:u w:val="single"/>
        </w:rPr>
        <w:t xml:space="preserve">IN THE ALTERNATIVE, IF THE COURT LIMITS THE INSPECTION, IT SHOULD LIKEWISE LIMIT THE UofL DEFENDANTS’ USE OF THE AUDIT TRAIL.</w:t>
      </w:r>
    </w:p>
    <w:p>
      <w:pPr>
        <w:pStyle w:val="BrfBdy"/>
      </w:pPr>
      <w:r>
        <w:t xml:space="preserve">If the Court is inclined to grant the UofL Defendants’ request to prohibit a live inspection, basic fairness requires reciprocal relief. Specifically, the UofL Defendants should be precluded from offering or relying on the produced audit trail (or any portion of it) to support any contention that Timmi accessed, viewed, read, printed, or knew the substance of her August 15, 2022 PET scan report. The UofL Defendants cannot withhold complete audit data, shield their EHR systems from inspection, and then turn around and ask a jury to draw inferences from selectively produced audit entries—inferences that the produced audit data, on its face, does not support, and that Plaintiffs have no fair way to test.</w:t>
      </w:r>
    </w:p>
    <w:p>
      <w:pPr>
        <w:pStyle w:val="BrfBdy"/>
      </w:pPr>
      <w:r>
        <w:t xml:space="preserve">This relief follows from the same principle the UofL Defendants invoke. If the audit trail is not the sort of evidence that warrants the intrusion of an inspection, then it is not the sort of evidence that should be used to support an affirmative defense premised on the deceased plaintiff’s purported awareness of her undisclosed cancer diagnosis. Plaintiffs ask the Court, in the alternative, to so order.</w:t>
      </w:r>
    </w:p>
    <w:p>
      <w:pPr>
        <w:pStyle w:val="BrfBdy"/>
      </w:pPr>
      <w:r>
        <w:rPr>
          <w:b/>
          <w:u w:val="single"/>
        </w:rPr>
        <w:t xml:space="preserve">IV.	</w:t>
      </w:r>
      <w:r>
        <w:rPr>
          <w:b/>
          <w:u w:val="single"/>
        </w:rPr>
        <w:t xml:space="preserve">THE MOTION SHOULD BE DENIED ON THE INDEPENDENT GROUND THAT THE UofL DEFENDANTS DID NOT MEET AND CONFER BEFORE FILING IT.</w:t>
      </w:r>
    </w:p>
    <w:p>
      <w:pPr>
        <w:pStyle w:val="BrfBdy"/>
      </w:pPr>
      <w:r>
        <w:t xml:space="preserve">Discovery disputes belong in motions practice only after the parties’ good-faith efforts to resolve them have failed. Plaintiffs’ Notice expressly invited that effort—both as to scheduling (footnote 1) and as to the substance of the topics (footnote 2). Plaintiffs’ counsel separately reached out in the days following the Notice in the same cooperative spirit. The UofL Defendants nonetheless filed this Motion without ever raising specific objections, proposing alternative dates, or even attempting to narrow the issues for the Court. The result is the very kind of unnecessary motion practice this Court has indicated it has little patience for.</w:t>
      </w:r>
    </w:p>
    <w:p>
      <w:pPr>
        <w:pStyle w:val="BrfBdy"/>
      </w:pPr>
      <w:r>
        <w:t xml:space="preserve">Plaintiffs remain prepared—today, and at any time before the hearing—to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 xml:space="preserve">CONCLUSION</w:t>
      </w:r>
    </w:p>
    <w:p>
      <w:pPr>
        <w:pStyle w:val="BrfBdy"/>
      </w:pPr>
      <w:r>
        <w:t xml:space="preserve">For the foregoing reasons, Plaintiffs respectfully request that the Court deny the UofL Defendants’ Motion for Protective Order in its entirety, and order the parties to confer in good faith and proceed with the CR 30.02(6) deposition and CR 34 inspection on a mutually convenient date. In the alternative, if the Court grants any portion of the Motion limiting the live inspection or related audit-trail discovery, Plaintiffs request that the Court enter a corresponding Order precluding the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