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맑은 고딕" w:hAnsi="맑은 고딕" w:eastAsia="맑은 고딕"/>
          <w:b/>
          <w:color w:val="184275"/>
          <w:sz w:val="38"/>
        </w:rPr>
        <w:t>SK하이닉스 협력사 주니어/영입 구성원</w:t>
        <w:br/>
        <w:t>소프트랜딩 과정 AI 랩업 제안서</w:t>
      </w:r>
    </w:p>
    <w:p>
      <w:pPr>
        <w:spacing w:after="240"/>
        <w:jc w:val="center"/>
      </w:pPr>
      <w:r>
        <w:rPr>
          <w:rFonts w:ascii="맑은 고딕" w:hAnsi="맑은 고딕" w:eastAsia="맑은 고딕"/>
          <w:b w:val="0"/>
          <w:color w:val="5A626C"/>
          <w:sz w:val="21"/>
        </w:rPr>
        <w:t>반도체 학습 내용을 협업 가능한 결과물로 전환하는 3일 과정 설계안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972"/>
            <w:shd w:fill="EAF1F8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84275"/>
                <w:sz w:val="21"/>
              </w:rPr>
              <w:t>이번 제안은 AI를 별도의 툴 체험으로 분리하지 않고, 앞서 학습한 반도체 시장 트렌드와 공정 이해를 Antigravity와 NotebookLM 기반 학습 자산으로 전환해 실용성과 협업 메시지를 함께 남기는 방향으로 설계한 안입니다.</w:t>
            </w:r>
          </w:p>
        </w:tc>
      </w:tr>
    </w:tbl>
    <w:p>
      <w:pPr>
        <w:spacing w:before="240" w:after="80"/>
      </w:pPr>
      <w:r>
        <w:rPr>
          <w:rFonts w:ascii="맑은 고딕" w:hAnsi="맑은 고딕" w:eastAsia="맑은 고딕"/>
          <w:b/>
          <w:color w:val="184275"/>
          <w:sz w:val="30"/>
        </w:rPr>
        <w:t>1. 제안 배경</w:t>
      </w:r>
    </w:p>
    <w:p>
      <w:pPr>
        <w:spacing w:before="0" w:after="100" w:line="324" w:lineRule="auto"/>
      </w:pPr>
      <w:r>
        <w:rPr>
          <w:rFonts w:ascii="맑은 고딕" w:hAnsi="맑은 고딕" w:eastAsia="맑은 고딕"/>
          <w:b w:val="0"/>
          <w:color w:val="212529"/>
          <w:sz w:val="21"/>
        </w:rPr>
        <w:t>이번 과정은 협력사 주니어/영입 구성원을 대상으로 진행되는 소프트랜딩 프로그램으로, 참여자의 직무와 배경이 다양할 가능성이 높습니다. 따라서 특정 기술안을 깊게 다루는 프로젝트형 실습은 참여 장벽이 생길 수 있고, 반대로 너무 가벼운 wrap-up 활동은 고객사 입장에서 교육 성과가 약하게 보일 수 있습니다.</w:t>
      </w:r>
    </w:p>
    <w:p>
      <w:pPr>
        <w:spacing w:before="0" w:after="100" w:line="324" w:lineRule="auto"/>
      </w:pPr>
      <w:r>
        <w:rPr>
          <w:rFonts w:ascii="맑은 고딕" w:hAnsi="맑은 고딕" w:eastAsia="맑은 고딕"/>
          <w:b w:val="0"/>
          <w:color w:val="212529"/>
          <w:sz w:val="21"/>
        </w:rPr>
        <w:t>또한 고객사는 AI 교육이 앞서 진행되는 반도체 시장 트렌드와 반도체 공정 이해 모듈과 자연스럽게 이어지기를 기대하고 있습니다. 이 점을 고려하면 AI 세션은 새로운 것을 만드는 시간이 아니라, 이미 학습한 내용을 구조화하고 설명 가능하게 만들며 협업에 필요한 공통 이해를 정리하는 랩업형 실습으로 가는 것이 적절합니다.</w:t>
      </w:r>
    </w:p>
    <w:p>
      <w:pPr>
        <w:spacing w:before="240" w:after="80"/>
      </w:pPr>
      <w:r>
        <w:rPr>
          <w:rFonts w:ascii="맑은 고딕" w:hAnsi="맑은 고딕" w:eastAsia="맑은 고딕"/>
          <w:b/>
          <w:color w:val="184275"/>
          <w:sz w:val="30"/>
        </w:rPr>
        <w:t>2. 설계 원칙</w:t>
      </w:r>
    </w:p>
    <w:p>
      <w:pPr>
        <w:pStyle w:val="ListBullet"/>
        <w:spacing w:before="0" w:after="40" w:line="300" w:lineRule="auto"/>
      </w:pPr>
      <w:r>
        <w:rPr>
          <w:rFonts w:ascii="맑은 고딕" w:hAnsi="맑은 고딕" w:eastAsia="맑은 고딕"/>
          <w:b w:val="0"/>
          <w:color w:val="212529"/>
          <w:sz w:val="20"/>
        </w:rPr>
        <w:t>AI는 기능 시연보다 학습 내용의 구조화와 현업 번역의 도구로 다룬다.</w:t>
      </w:r>
    </w:p>
    <w:p>
      <w:pPr>
        <w:pStyle w:val="ListBullet"/>
        <w:spacing w:before="0" w:after="40" w:line="300" w:lineRule="auto"/>
      </w:pPr>
      <w:r>
        <w:rPr>
          <w:rFonts w:ascii="맑은 고딕" w:hAnsi="맑은 고딕" w:eastAsia="맑은 고딕"/>
          <w:b w:val="0"/>
          <w:color w:val="212529"/>
          <w:sz w:val="20"/>
        </w:rPr>
        <w:t>AI 기본 실습은 Antigravity 설치와 첫 실행을 포함해 진행한다.</w:t>
      </w:r>
    </w:p>
    <w:p>
      <w:pPr>
        <w:pStyle w:val="ListBullet"/>
        <w:spacing w:before="0" w:after="40" w:line="300" w:lineRule="auto"/>
      </w:pPr>
      <w:r>
        <w:rPr>
          <w:rFonts w:ascii="맑은 고딕" w:hAnsi="맑은 고딕" w:eastAsia="맑은 고딕"/>
          <w:b w:val="0"/>
          <w:color w:val="212529"/>
          <w:sz w:val="20"/>
        </w:rPr>
        <w:t>반도체 시장, 기술, 공정 사전 학습과 끊기지 않게 이어간다.</w:t>
      </w:r>
    </w:p>
    <w:p>
      <w:pPr>
        <w:pStyle w:val="ListBullet"/>
        <w:spacing w:before="0" w:after="40" w:line="300" w:lineRule="auto"/>
      </w:pPr>
      <w:r>
        <w:rPr>
          <w:rFonts w:ascii="맑은 고딕" w:hAnsi="맑은 고딕" w:eastAsia="맑은 고딕"/>
          <w:b w:val="0"/>
          <w:color w:val="212529"/>
          <w:sz w:val="20"/>
        </w:rPr>
        <w:t>부서와 직무가 달라도 함께 기여할 수 있는 팀 과제로 설계한다.</w:t>
      </w:r>
    </w:p>
    <w:p>
      <w:pPr>
        <w:pStyle w:val="ListBullet"/>
        <w:spacing w:before="0" w:after="40" w:line="300" w:lineRule="auto"/>
      </w:pPr>
      <w:r>
        <w:rPr>
          <w:rFonts w:ascii="맑은 고딕" w:hAnsi="맑은 고딕" w:eastAsia="맑은 고딕"/>
          <w:b w:val="0"/>
          <w:color w:val="212529"/>
          <w:sz w:val="20"/>
        </w:rPr>
        <w:t>결과물은 발표용 장식물이 아니라 이후에도 다시 꺼내볼 수 있는 학습 자산으로 남긴다.</w:t>
      </w:r>
    </w:p>
    <w:p>
      <w:pPr>
        <w:pStyle w:val="ListBullet"/>
        <w:spacing w:before="0" w:after="40" w:line="300" w:lineRule="auto"/>
      </w:pPr>
      <w:r>
        <w:rPr>
          <w:rFonts w:ascii="맑은 고딕" w:hAnsi="맑은 고딕" w:eastAsia="맑은 고딕"/>
          <w:b w:val="0"/>
          <w:color w:val="212529"/>
          <w:sz w:val="20"/>
        </w:rPr>
        <w:t>마지막에는 협업 메시지를 별도로 한 번 더 강화해 과정 전체를 닫는다.</w:t>
      </w:r>
    </w:p>
    <w:p>
      <w:pPr>
        <w:spacing w:before="240" w:after="80"/>
      </w:pPr>
      <w:r>
        <w:rPr>
          <w:rFonts w:ascii="맑은 고딕" w:hAnsi="맑은 고딕" w:eastAsia="맑은 고딕"/>
          <w:b/>
          <w:color w:val="184275"/>
          <w:sz w:val="30"/>
        </w:rPr>
        <w:t>3. 제안 방향</w:t>
      </w:r>
    </w:p>
    <w:p>
      <w:pPr>
        <w:spacing w:before="0" w:after="100" w:line="324" w:lineRule="auto"/>
      </w:pPr>
      <w:r>
        <w:rPr>
          <w:rFonts w:ascii="맑은 고딕" w:hAnsi="맑은 고딕" w:eastAsia="맑은 고딕"/>
          <w:b w:val="0"/>
          <w:color w:val="212529"/>
          <w:sz w:val="21"/>
        </w:rPr>
        <w:t>권장 메인 과제는 '반도체 협업 인사이트 팩 제작'입니다. 팀별로 사전 학습한 반도체 시장/공정/기술 주제 중 하나를 선택해, 타직무자나 협업 파트너도 이해할 수 있는 형태로 재구성하는 과제입니다.</w:t>
      </w:r>
    </w:p>
    <w:p>
      <w:pPr>
        <w:spacing w:before="0" w:after="40" w:line="312" w:lineRule="auto"/>
      </w:pPr>
      <w:r>
        <w:rPr>
          <w:rFonts w:ascii="맑은 고딕" w:hAnsi="맑은 고딕" w:eastAsia="맑은 고딕"/>
          <w:b/>
          <w:color w:val="212529"/>
          <w:sz w:val="20"/>
        </w:rPr>
        <w:t xml:space="preserve">핵심 목표: </w:t>
      </w:r>
      <w:r>
        <w:rPr>
          <w:rFonts w:ascii="맑은 고딕" w:hAnsi="맑은 고딕" w:eastAsia="맑은 고딕"/>
          <w:b w:val="0"/>
          <w:color w:val="212529"/>
          <w:sz w:val="20"/>
        </w:rPr>
        <w:t>배운 반도체 내용을 더 잘 이해하고, 더 쉽게 설명하고, 협업에 다시 연결할 수 있게 만든다.</w:t>
      </w:r>
    </w:p>
    <w:p>
      <w:pPr>
        <w:spacing w:before="0" w:after="40" w:line="312" w:lineRule="auto"/>
      </w:pPr>
      <w:r>
        <w:rPr>
          <w:rFonts w:ascii="맑은 고딕" w:hAnsi="맑은 고딕" w:eastAsia="맑은 고딕"/>
          <w:b/>
          <w:color w:val="212529"/>
          <w:sz w:val="20"/>
        </w:rPr>
        <w:t xml:space="preserve">메인 도구: </w:t>
      </w:r>
      <w:r>
        <w:rPr>
          <w:rFonts w:ascii="맑은 고딕" w:hAnsi="맑은 고딕" w:eastAsia="맑은 고딕"/>
          <w:b w:val="0"/>
          <w:color w:val="212529"/>
          <w:sz w:val="20"/>
        </w:rPr>
        <w:t>Antigravity + NotebookLM</w:t>
      </w:r>
    </w:p>
    <w:p>
      <w:pPr>
        <w:spacing w:before="0" w:after="40" w:line="312" w:lineRule="auto"/>
      </w:pPr>
      <w:r>
        <w:rPr>
          <w:rFonts w:ascii="맑은 고딕" w:hAnsi="맑은 고딕" w:eastAsia="맑은 고딕"/>
          <w:b/>
          <w:color w:val="212529"/>
          <w:sz w:val="20"/>
        </w:rPr>
        <w:t xml:space="preserve">성과 방향: </w:t>
      </w:r>
      <w:r>
        <w:rPr>
          <w:rFonts w:ascii="맑은 고딕" w:hAnsi="맑은 고딕" w:eastAsia="맑은 고딕"/>
          <w:b w:val="0"/>
          <w:color w:val="212529"/>
          <w:sz w:val="20"/>
        </w:rPr>
        <w:t>기술 구현보다 공통 이해와 설명력을 강화하는 결과물을 만든다.</w:t>
      </w:r>
    </w:p>
    <w:p>
      <w:pPr>
        <w:spacing w:before="240" w:after="80"/>
      </w:pPr>
      <w:r>
        <w:rPr>
          <w:rFonts w:ascii="맑은 고딕" w:hAnsi="맑은 고딕" w:eastAsia="맑은 고딕"/>
          <w:b/>
          <w:color w:val="184275"/>
          <w:sz w:val="30"/>
        </w:rPr>
        <w:t>4. 3일 과정 내 권장 위치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474"/>
        <w:gridCol w:w="2324"/>
        <w:gridCol w:w="2665"/>
        <w:gridCol w:w="1701"/>
      </w:tblGrid>
      <w:tr>
        <w:tc>
          <w:tcPr>
            <w:tcW w:type="dxa" w:w="1994"/>
            <w:shd w:fill="D9E8F5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/>
                <w:color w:val="184275"/>
                <w:sz w:val="19"/>
              </w:rPr>
              <w:t>Day</w:t>
            </w:r>
          </w:p>
        </w:tc>
        <w:tc>
          <w:tcPr>
            <w:tcW w:type="dxa" w:w="1994"/>
            <w:shd w:fill="D9E8F5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/>
                <w:color w:val="184275"/>
                <w:sz w:val="19"/>
              </w:rPr>
              <w:t>모듈</w:t>
            </w:r>
          </w:p>
        </w:tc>
        <w:tc>
          <w:tcPr>
            <w:tcW w:type="dxa" w:w="1994"/>
            <w:shd w:fill="D9E8F5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/>
                <w:color w:val="184275"/>
                <w:sz w:val="19"/>
              </w:rPr>
              <w:t>주요 내용</w:t>
            </w:r>
          </w:p>
        </w:tc>
        <w:tc>
          <w:tcPr>
            <w:tcW w:type="dxa" w:w="1994"/>
            <w:shd w:fill="D9E8F5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/>
                <w:color w:val="184275"/>
                <w:sz w:val="19"/>
              </w:rPr>
              <w:t>AI 연계 포인트</w:t>
            </w:r>
          </w:p>
        </w:tc>
        <w:tc>
          <w:tcPr>
            <w:tcW w:type="dxa" w:w="1994"/>
            <w:shd w:fill="D9E8F5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/>
                <w:color w:val="184275"/>
                <w:sz w:val="19"/>
              </w:rPr>
              <w:t>권장 산출물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Day 1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Module 1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팀 빌딩</w:t>
            </w:r>
          </w:p>
        </w:tc>
        <w:tc>
          <w:tcPr>
            <w:tcW w:type="dxa" w:w="2665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협업의 기준과 공통 이해의 중요성 심기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협업 질문 메모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Day 1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Module 2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반도체 시장 트렌드</w:t>
            </w:r>
          </w:p>
        </w:tc>
        <w:tc>
          <w:tcPr>
            <w:tcW w:type="dxa" w:w="2665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현업에서 의미 있다고 느낀 이슈 기록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주제 후보 메모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Day 2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Module 3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반도체 공정 이해</w:t>
            </w:r>
          </w:p>
        </w:tc>
        <w:tc>
          <w:tcPr>
            <w:tcW w:type="dxa" w:w="2665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타직무자가 헷갈릴 개념 포착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핵심 개념 메모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Day 2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Module 4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생성형 AI 개념 이해 + Antigravity 설치 실습 + 조별 과제 설계</w:t>
            </w:r>
          </w:p>
        </w:tc>
        <w:tc>
          <w:tcPr>
            <w:tcW w:type="dxa" w:w="2665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AI 기본 2시간 이상 + Antigravity 첫 실행 + 팀 주제 선정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팀 과제 설계안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Day 3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Module 5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생성형 AI Skill 활용</w:t>
            </w:r>
          </w:p>
        </w:tc>
        <w:tc>
          <w:tcPr>
            <w:tcW w:type="dxa" w:w="2665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NotebookLM으로 학습 자산 제작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인사이트 팩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Day 3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Module 6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Wrap-up</w:t>
            </w:r>
          </w:p>
        </w:tc>
        <w:tc>
          <w:tcPr>
            <w:tcW w:type="dxa" w:w="2665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AI 발표 후 협업 액티비티와 엔딩 장표로 마무리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발표, 엔딩 장표</w:t>
            </w:r>
          </w:p>
        </w:tc>
      </w:tr>
    </w:tbl>
    <w:p>
      <w:pPr>
        <w:spacing w:before="240" w:after="80"/>
      </w:pPr>
      <w:r>
        <w:rPr>
          <w:rFonts w:ascii="맑은 고딕" w:hAnsi="맑은 고딕" w:eastAsia="맑은 고딕"/>
          <w:b/>
          <w:color w:val="184275"/>
          <w:sz w:val="30"/>
        </w:rPr>
        <w:t>5. AI 모듈 상세 제안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212529"/>
          <w:sz w:val="24"/>
        </w:rPr>
        <w:t>5-1. Module 4 - AI 기본 이해, Antigravity 설치 실습 및 팀 과제 설계</w:t>
      </w:r>
    </w:p>
    <w:p>
      <w:pPr>
        <w:spacing w:before="0" w:after="40" w:line="312" w:lineRule="auto"/>
      </w:pPr>
      <w:r>
        <w:rPr>
          <w:rFonts w:ascii="맑은 고딕" w:hAnsi="맑은 고딕" w:eastAsia="맑은 고딕"/>
          <w:b/>
          <w:color w:val="212529"/>
          <w:sz w:val="20"/>
        </w:rPr>
        <w:t xml:space="preserve">권장 시간: </w:t>
      </w:r>
      <w:r>
        <w:rPr>
          <w:rFonts w:ascii="맑은 고딕" w:hAnsi="맑은 고딕" w:eastAsia="맑은 고딕"/>
          <w:b w:val="0"/>
          <w:color w:val="212529"/>
          <w:sz w:val="20"/>
        </w:rPr>
        <w:t>약 2시간 30분</w:t>
      </w:r>
    </w:p>
    <w:p>
      <w:pPr>
        <w:spacing w:before="0" w:after="100" w:line="324" w:lineRule="auto"/>
      </w:pPr>
      <w:r>
        <w:rPr>
          <w:rFonts w:ascii="맑은 고딕" w:hAnsi="맑은 고딕" w:eastAsia="맑은 고딕"/>
          <w:b w:val="0"/>
          <w:color w:val="212529"/>
          <w:sz w:val="21"/>
        </w:rPr>
        <w:t>Module 4에서는 AI 기본기를 별도로 확보하되, 툴 소개로 흩어지지 않도록 바로 팀 과제 설계까지 연결하는 흐름이 중요합니다. 참여자는 생성형 AI의 기본 원리, 잘하는 일과 한계, 프롬프트의 기본 구조, 검증의 필요성을 이해한 뒤 Antigravity를 직접 설치하고 첫 요청문을 실행해 본 후 NotebookLM 기반 팀 과제를 설계합니다.</w:t>
      </w:r>
    </w:p>
    <w:p>
      <w:pPr>
        <w:pStyle w:val="ListBullet"/>
        <w:spacing w:before="0" w:after="40" w:line="300" w:lineRule="auto"/>
      </w:pPr>
      <w:r>
        <w:rPr>
          <w:rFonts w:ascii="맑은 고딕" w:hAnsi="맑은 고딕" w:eastAsia="맑은 고딕"/>
          <w:b w:val="0"/>
          <w:color w:val="212529"/>
          <w:sz w:val="20"/>
        </w:rPr>
        <w:t>AI 기본 이해: 생성형 AI의 원리, 강점, 한계, 사실 검증 기준</w:t>
      </w:r>
    </w:p>
    <w:p>
      <w:pPr>
        <w:pStyle w:val="ListBullet"/>
        <w:spacing w:before="0" w:after="40" w:line="300" w:lineRule="auto"/>
      </w:pPr>
      <w:r>
        <w:rPr>
          <w:rFonts w:ascii="맑은 고딕" w:hAnsi="맑은 고딕" w:eastAsia="맑은 고딕"/>
          <w:b w:val="0"/>
          <w:color w:val="212529"/>
          <w:sz w:val="20"/>
        </w:rPr>
        <w:t>Antigravity 설치 실습: 다운로드, 로그인, Fast 모드 선택, 샘플 워크스페이스 열기, 계획-승인-생성 흐름 경험</w:t>
      </w:r>
    </w:p>
    <w:p>
      <w:pPr>
        <w:pStyle w:val="ListBullet"/>
        <w:spacing w:before="0" w:after="40" w:line="300" w:lineRule="auto"/>
      </w:pPr>
      <w:r>
        <w:rPr>
          <w:rFonts w:ascii="맑은 고딕" w:hAnsi="맑은 고딕" w:eastAsia="맑은 고딕"/>
          <w:b w:val="0"/>
          <w:color w:val="212529"/>
          <w:sz w:val="20"/>
        </w:rPr>
        <w:t>NotebookLM 소개: 소스 업로드, 질문, Briefing Document, Mind Map, Data Table, Slide Deck, Infographic 등</w:t>
      </w:r>
    </w:p>
    <w:p>
      <w:pPr>
        <w:pStyle w:val="ListBullet"/>
        <w:spacing w:before="0" w:after="40" w:line="300" w:lineRule="auto"/>
      </w:pPr>
      <w:r>
        <w:rPr>
          <w:rFonts w:ascii="맑은 고딕" w:hAnsi="맑은 고딕" w:eastAsia="맑은 고딕"/>
          <w:b w:val="0"/>
          <w:color w:val="212529"/>
          <w:sz w:val="20"/>
        </w:rPr>
        <w:t>팀 과제 설계: 주제 선정, 대상 청중 정의, 핵심 질문 3-5개 도출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212529"/>
          <w:sz w:val="24"/>
        </w:rPr>
        <w:t>5-2. Module 5 - NotebookLM 기반 학습 자산 제작</w:t>
      </w:r>
    </w:p>
    <w:p>
      <w:pPr>
        <w:spacing w:before="0" w:after="40" w:line="312" w:lineRule="auto"/>
      </w:pPr>
      <w:r>
        <w:rPr>
          <w:rFonts w:ascii="맑은 고딕" w:hAnsi="맑은 고딕" w:eastAsia="맑은 고딕"/>
          <w:b/>
          <w:color w:val="212529"/>
          <w:sz w:val="20"/>
        </w:rPr>
        <w:t xml:space="preserve">권장 시간: </w:t>
      </w:r>
      <w:r>
        <w:rPr>
          <w:rFonts w:ascii="맑은 고딕" w:hAnsi="맑은 고딕" w:eastAsia="맑은 고딕"/>
          <w:b w:val="0"/>
          <w:color w:val="212529"/>
          <w:sz w:val="20"/>
        </w:rPr>
        <w:t>약 2시간 30분</w:t>
      </w:r>
    </w:p>
    <w:p>
      <w:pPr>
        <w:spacing w:before="0" w:after="100" w:line="324" w:lineRule="auto"/>
      </w:pPr>
      <w:r>
        <w:rPr>
          <w:rFonts w:ascii="맑은 고딕" w:hAnsi="맑은 고딕" w:eastAsia="맑은 고딕"/>
          <w:b w:val="0"/>
          <w:color w:val="212529"/>
          <w:sz w:val="21"/>
        </w:rPr>
        <w:t>Module 5의 핵심은 NotebookLM의 기능을 많이 써보는 것이 아니라, 하나의 반도체 주제를 여러 형태의 학습 자산으로 재구성하는 것입니다. 이때 Antigravity 실습에서 익힌 계획-승인-생성 흐름을 다시 연결해, 팀별로 자료를 업로드한 뒤 보고서, 구조도, 비교표, 발표용 시각자료를 만들어 학습 내용을 현업 언어로 바꿉니다.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2154"/>
        <w:gridCol w:w="2948"/>
        <w:gridCol w:w="2324"/>
      </w:tblGrid>
      <w:tr>
        <w:tc>
          <w:tcPr>
            <w:tcW w:type="dxa" w:w="2493"/>
            <w:shd w:fill="D9E8F5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/>
                <w:color w:val="184275"/>
                <w:sz w:val="19"/>
              </w:rPr>
              <w:t>구분</w:t>
            </w:r>
          </w:p>
        </w:tc>
        <w:tc>
          <w:tcPr>
            <w:tcW w:type="dxa" w:w="2493"/>
            <w:shd w:fill="D9E8F5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/>
                <w:color w:val="184275"/>
                <w:sz w:val="19"/>
              </w:rPr>
              <w:t>권장 도구</w:t>
            </w:r>
          </w:p>
        </w:tc>
        <w:tc>
          <w:tcPr>
            <w:tcW w:type="dxa" w:w="2493"/>
            <w:shd w:fill="D9E8F5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/>
                <w:color w:val="184275"/>
                <w:sz w:val="19"/>
              </w:rPr>
              <w:t>역할</w:t>
            </w:r>
          </w:p>
        </w:tc>
        <w:tc>
          <w:tcPr>
            <w:tcW w:type="dxa" w:w="2493"/>
            <w:shd w:fill="D9E8F5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/>
                <w:color w:val="184275"/>
                <w:sz w:val="19"/>
              </w:rPr>
              <w:t>비고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설명용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Briefing Document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주제 요약, 왜 중요한가, 현업 의미 정리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필수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구조용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Mind Map 또는 Data Table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개념 구조와 비교 포인트 시각화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필수 1개 이상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공유용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Slide Deck 또는 Infographic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발표 및 팀 공유용 시각 자료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필수 1개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학습보조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FAQ, Study Guide, Flashcards, Quiz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복습과 이해도 강화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선택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확장형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Audio Overview 또는 Video Overview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빠른 재학습 및 공유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8"/>
              </w:rPr>
              <w:t>선택</w:t>
            </w:r>
          </w:p>
        </w:tc>
      </w:tr>
    </w:tbl>
    <w:p>
      <w:pPr>
        <w:spacing w:before="160" w:after="80"/>
      </w:pPr>
      <w:r>
        <w:rPr>
          <w:rFonts w:ascii="맑은 고딕" w:hAnsi="맑은 고딕" w:eastAsia="맑은 고딕"/>
          <w:b/>
          <w:color w:val="212529"/>
          <w:sz w:val="24"/>
        </w:rPr>
        <w:t>5-3. Module 6 - 발표, 협업 액티비티, 엔딩 장표</w:t>
      </w:r>
    </w:p>
    <w:p>
      <w:pPr>
        <w:spacing w:before="0" w:after="40" w:line="312" w:lineRule="auto"/>
      </w:pPr>
      <w:r>
        <w:rPr>
          <w:rFonts w:ascii="맑은 고딕" w:hAnsi="맑은 고딕" w:eastAsia="맑은 고딕"/>
          <w:b/>
          <w:color w:val="212529"/>
          <w:sz w:val="20"/>
        </w:rPr>
        <w:t xml:space="preserve">권장 시간: </w:t>
      </w:r>
      <w:r>
        <w:rPr>
          <w:rFonts w:ascii="맑은 고딕" w:hAnsi="맑은 고딕" w:eastAsia="맑은 고딕"/>
          <w:b w:val="0"/>
          <w:color w:val="212529"/>
          <w:sz w:val="20"/>
        </w:rPr>
        <w:t>약 1시간 20분 내외</w:t>
      </w:r>
    </w:p>
    <w:p>
      <w:pPr>
        <w:spacing w:before="0" w:after="100" w:line="324" w:lineRule="auto"/>
      </w:pPr>
      <w:r>
        <w:rPr>
          <w:rFonts w:ascii="맑은 고딕" w:hAnsi="맑은 고딕" w:eastAsia="맑은 고딕"/>
          <w:b w:val="0"/>
          <w:color w:val="212529"/>
          <w:sz w:val="21"/>
        </w:rPr>
        <w:t>Module 6는 AI 발표 세션으로만 끝내기보다, 발표 이후 협업 메시지를 다시 한 번 남기는 흐름으로 설계하는 것이 좋습니다. 권장 순서는 '팀별 AI 결과물 발표 -&gt; 협업 게임 또는 협업 액티비티 -&gt; AI를 활용한 팀별 엔딩 장표 제작 -&gt; 전체 마무리'입니다.</w:t>
      </w:r>
    </w:p>
    <w:p>
      <w:pPr>
        <w:pStyle w:val="ListBullet"/>
        <w:spacing w:before="0" w:after="40" w:line="300" w:lineRule="auto"/>
      </w:pPr>
      <w:r>
        <w:rPr>
          <w:rFonts w:ascii="맑은 고딕" w:hAnsi="맑은 고딕" w:eastAsia="맑은 고딕"/>
          <w:b w:val="0"/>
          <w:color w:val="212529"/>
          <w:sz w:val="20"/>
        </w:rPr>
        <w:t>팀 발표: 무엇을 이해하게 했는가, 누가 이 결과물을 써야 하는가, 협업에 어떤 도움이 되는가 중심</w:t>
      </w:r>
    </w:p>
    <w:p>
      <w:pPr>
        <w:pStyle w:val="ListBullet"/>
        <w:spacing w:before="0" w:after="40" w:line="300" w:lineRule="auto"/>
      </w:pPr>
      <w:r>
        <w:rPr>
          <w:rFonts w:ascii="맑은 고딕" w:hAnsi="맑은 고딕" w:eastAsia="맑은 고딕"/>
          <w:b w:val="0"/>
          <w:color w:val="212529"/>
          <w:sz w:val="20"/>
        </w:rPr>
        <w:t>협업 액티비티: 정보 비대칭 게임, 설명 릴레이 등 15-20분 내외</w:t>
      </w:r>
    </w:p>
    <w:p>
      <w:pPr>
        <w:pStyle w:val="ListBullet"/>
        <w:spacing w:before="0" w:after="40" w:line="300" w:lineRule="auto"/>
      </w:pPr>
      <w:r>
        <w:rPr>
          <w:rFonts w:ascii="맑은 고딕" w:hAnsi="맑은 고딕" w:eastAsia="맑은 고딕"/>
          <w:b w:val="0"/>
          <w:color w:val="212529"/>
          <w:sz w:val="20"/>
        </w:rPr>
        <w:t>엔딩 장표: 우리 팀의 반도체 인사이트 한 줄, 협업 메시지 한 줄, 앞으로의 AI 활용 한 줄</w:t>
      </w:r>
    </w:p>
    <w:p>
      <w:pPr>
        <w:spacing w:before="240" w:after="80"/>
      </w:pPr>
      <w:r>
        <w:rPr>
          <w:rFonts w:ascii="맑은 고딕" w:hAnsi="맑은 고딕" w:eastAsia="맑은 고딕"/>
          <w:b/>
          <w:color w:val="184275"/>
          <w:sz w:val="30"/>
        </w:rPr>
        <w:t>6. 팀 과제 예시</w:t>
      </w:r>
    </w:p>
    <w:p>
      <w:pPr>
        <w:spacing w:before="0" w:after="100" w:line="324" w:lineRule="auto"/>
      </w:pPr>
      <w:r>
        <w:rPr>
          <w:rFonts w:ascii="맑은 고딕" w:hAnsi="맑은 고딕" w:eastAsia="맑은 고딕"/>
          <w:b w:val="0"/>
          <w:color w:val="212529"/>
          <w:sz w:val="21"/>
        </w:rPr>
        <w:t>주제는 너무 넓지 않게 잡고, 타직무자가 왜 알아야 하는지가 드러나는 것이 중요합니다. 아래는 실제 운영 가능한 예시입니다.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381"/>
        <w:gridCol w:w="2268"/>
        <w:gridCol w:w="2268"/>
      </w:tblGrid>
      <w:tr>
        <w:tc>
          <w:tcPr>
            <w:tcW w:type="dxa" w:w="2493"/>
            <w:shd w:fill="D9E8F5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/>
                <w:color w:val="184275"/>
                <w:sz w:val="18"/>
              </w:rPr>
              <w:t>주제 예시</w:t>
            </w:r>
          </w:p>
        </w:tc>
        <w:tc>
          <w:tcPr>
            <w:tcW w:type="dxa" w:w="2493"/>
            <w:shd w:fill="D9E8F5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/>
                <w:color w:val="184275"/>
                <w:sz w:val="18"/>
              </w:rPr>
              <w:t>대상 청중</w:t>
            </w:r>
          </w:p>
        </w:tc>
        <w:tc>
          <w:tcPr>
            <w:tcW w:type="dxa" w:w="2493"/>
            <w:shd w:fill="D9E8F5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/>
                <w:color w:val="184275"/>
                <w:sz w:val="18"/>
              </w:rPr>
              <w:t>권장 아티팩트</w:t>
            </w:r>
          </w:p>
        </w:tc>
        <w:tc>
          <w:tcPr>
            <w:tcW w:type="dxa" w:w="2493"/>
            <w:shd w:fill="D9E8F5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/>
                <w:color w:val="184275"/>
                <w:sz w:val="18"/>
              </w:rPr>
              <w:t>핵심 메시지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7"/>
              </w:rPr>
              <w:t>HBM이 중요한 이유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7"/>
              </w:rPr>
              <w:t>타직무 동료, 신입 구성원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7"/>
              </w:rPr>
              <w:t>Briefing, Data Table, Slide Deck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7"/>
              </w:rPr>
              <w:t>성능 경쟁은 메모리 단품이 아니라 생태계 협업으로 확장된다.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7"/>
              </w:rPr>
              <w:t>첨단 패키징이 주목받는 배경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7"/>
              </w:rPr>
              <w:t>비전공자, 협업 파트너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7"/>
              </w:rPr>
              <w:t>Briefing, Mind Map, Infographic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7"/>
              </w:rPr>
              <w:t>후공정 이해가 협업 속도와 품질 대화의 수준을 바꾼다.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7"/>
              </w:rPr>
              <w:t>반도체 시장 변화와 협력사 시사점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7"/>
              </w:rPr>
              <w:t>영업/지원/협업 직무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7"/>
              </w:rPr>
              <w:t>Briefing, Data Table, FAQ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212529"/>
                <w:sz w:val="17"/>
              </w:rPr>
              <w:t>시장 변화는 기술 이슈가 아니라 협업 방식의 변화와도 연결된다.</w:t>
            </w:r>
          </w:p>
        </w:tc>
      </w:tr>
    </w:tbl>
    <w:p>
      <w:pPr>
        <w:spacing w:before="240" w:after="80"/>
      </w:pPr>
      <w:r>
        <w:rPr>
          <w:rFonts w:ascii="맑은 고딕" w:hAnsi="맑은 고딕" w:eastAsia="맑은 고딕"/>
          <w:b/>
          <w:color w:val="184275"/>
          <w:sz w:val="30"/>
        </w:rPr>
        <w:t>7. 기대 효과</w:t>
      </w:r>
    </w:p>
    <w:p>
      <w:pPr>
        <w:pStyle w:val="ListBullet"/>
        <w:spacing w:before="0" w:after="40" w:line="300" w:lineRule="auto"/>
      </w:pPr>
      <w:r>
        <w:rPr>
          <w:rFonts w:ascii="맑은 고딕" w:hAnsi="맑은 고딕" w:eastAsia="맑은 고딕"/>
          <w:b w:val="0"/>
          <w:color w:val="212529"/>
          <w:sz w:val="20"/>
        </w:rPr>
        <w:t>반도체 사전 학습이 AI 세션과 자연스럽게 연결되어 교육 흐름이 끊기지 않는다.</w:t>
      </w:r>
    </w:p>
    <w:p>
      <w:pPr>
        <w:pStyle w:val="ListBullet"/>
        <w:spacing w:before="0" w:after="40" w:line="300" w:lineRule="auto"/>
      </w:pPr>
      <w:r>
        <w:rPr>
          <w:rFonts w:ascii="맑은 고딕" w:hAnsi="맑은 고딕" w:eastAsia="맑은 고딕"/>
          <w:b w:val="0"/>
          <w:color w:val="212529"/>
          <w:sz w:val="20"/>
        </w:rPr>
        <w:t>Antigravity 설치 실습을 통해 참가자가 AI의 계획-승인-생성 구조를 직접 경험할 수 있다.</w:t>
      </w:r>
    </w:p>
    <w:p>
      <w:pPr>
        <w:pStyle w:val="ListBullet"/>
        <w:spacing w:before="0" w:after="40" w:line="300" w:lineRule="auto"/>
      </w:pPr>
      <w:r>
        <w:rPr>
          <w:rFonts w:ascii="맑은 고딕" w:hAnsi="맑은 고딕" w:eastAsia="맑은 고딕"/>
          <w:b w:val="0"/>
          <w:color w:val="212529"/>
          <w:sz w:val="20"/>
        </w:rPr>
        <w:t>직무가 달라도 공통으로 기여할 수 있는 과제라 참여 장벽이 낮다.</w:t>
      </w:r>
    </w:p>
    <w:p>
      <w:pPr>
        <w:pStyle w:val="ListBullet"/>
        <w:spacing w:before="0" w:after="40" w:line="300" w:lineRule="auto"/>
      </w:pPr>
      <w:r>
        <w:rPr>
          <w:rFonts w:ascii="맑은 고딕" w:hAnsi="맑은 고딕" w:eastAsia="맑은 고딕"/>
          <w:b w:val="0"/>
          <w:color w:val="212529"/>
          <w:sz w:val="20"/>
        </w:rPr>
        <w:t>결과물이 발표용으로 끝나지 않고 이후에도 다시 활용 가능한 학습 자산으로 남는다.</w:t>
      </w:r>
    </w:p>
    <w:p>
      <w:pPr>
        <w:pStyle w:val="ListBullet"/>
        <w:spacing w:before="0" w:after="40" w:line="300" w:lineRule="auto"/>
      </w:pPr>
      <w:r>
        <w:rPr>
          <w:rFonts w:ascii="맑은 고딕" w:hAnsi="맑은 고딕" w:eastAsia="맑은 고딕"/>
          <w:b w:val="0"/>
          <w:color w:val="212529"/>
          <w:sz w:val="20"/>
        </w:rPr>
        <w:t>협업 메시지를 별도 액티비티와 엔딩 장표로 한 번 더 정리해 과정 전체의 마무리가 선명해진다.</w:t>
      </w:r>
    </w:p>
    <w:p>
      <w:pPr>
        <w:pStyle w:val="ListBullet"/>
        <w:spacing w:before="0" w:after="40" w:line="300" w:lineRule="auto"/>
      </w:pPr>
      <w:r>
        <w:rPr>
          <w:rFonts w:ascii="맑은 고딕" w:hAnsi="맑은 고딕" w:eastAsia="맑은 고딕"/>
          <w:b w:val="0"/>
          <w:color w:val="212529"/>
          <w:sz w:val="20"/>
        </w:rPr>
        <w:t>AI를 단순 검색 도구가 아니라 이해와 설명, 구조화, 공유의 도구로 경험하게 된다.</w:t>
      </w:r>
    </w:p>
    <w:p>
      <w:pPr>
        <w:spacing w:before="240" w:after="80"/>
      </w:pPr>
      <w:r>
        <w:rPr>
          <w:rFonts w:ascii="맑은 고딕" w:hAnsi="맑은 고딕" w:eastAsia="맑은 고딕"/>
          <w:b/>
          <w:color w:val="184275"/>
          <w:sz w:val="30"/>
        </w:rPr>
        <w:t>8. 최종 제안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972"/>
            <w:shd w:fill="EAF1F8"/>
            <w:vAlign w:val="center"/>
          </w:tcPr>
          <w:p>
            <w:pPr>
              <w:spacing w:before="0" w:after="0" w:line="288" w:lineRule="auto"/>
            </w:pPr>
            <w:r/>
            <w:r>
              <w:rPr>
                <w:rFonts w:ascii="맑은 고딕" w:hAnsi="맑은 고딕" w:eastAsia="맑은 고딕"/>
                <w:b/>
                <w:color w:val="184275"/>
                <w:sz w:val="21"/>
              </w:rPr>
              <w:t>이번 AI 교육은 따로 노는 툴 교육이 아니라, Antigravity로 AI의 기본 작동 흐름을 경험하고 이미 학습한 반도체 내용을 NotebookLM 기반 결과물로 재가공해 현업과 협업에 다시 연결하는 랩업 구조로 가는 것이 가장 적절합니다.</w:t>
            </w:r>
          </w:p>
        </w:tc>
      </w:tr>
    </w:tbl>
    <w:p>
      <w:pPr>
        <w:spacing w:before="0" w:after="100" w:line="324" w:lineRule="auto"/>
      </w:pPr>
      <w:r>
        <w:rPr>
          <w:rFonts w:ascii="맑은 고딕" w:hAnsi="맑은 고딕" w:eastAsia="맑은 고딕"/>
          <w:b w:val="0"/>
          <w:color w:val="212529"/>
          <w:sz w:val="21"/>
        </w:rPr>
        <w:t>권장 흐름은 Day 2 Module 4에서 AI 기본기와 Antigravity 설치 실습을 진행하고 팀 과제를 설계한 뒤, Day 3 Module 5에서 NotebookLM으로 학습 자산을 제작하고, Module 6에서 발표와 협업 액티비티, 엔딩 장표로 과정을 마무리하는 방식입니다.</w:t>
      </w:r>
    </w:p>
    <w:sectPr w:rsidR="00FC693F" w:rsidRPr="0006063C" w:rsidSect="00034616">
      <w:pgSz w:w="12240" w:h="15840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