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A87C67">
      <w:pPr>
        <w:pStyle w:val="2"/>
        <w:keepNext w:val="0"/>
        <w:keepLines w:val="0"/>
        <w:widowControl/>
        <w:suppressLineNumbers w:val="0"/>
        <w:pBdr>
          <w:bottom w:val="none" w:color="auto" w:sz="0" w:space="0"/>
        </w:pBdr>
        <w:shd w:val="clear" w:fill="FFFFFF"/>
        <w:spacing w:after="40" w:afterAutospacing="0"/>
        <w:ind w:left="0" w:righ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Sales Contract</w:t>
      </w:r>
    </w:p>
    <w:p w14:paraId="2890DF5F">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宋体" w:cs="Malgun Gothic"/>
          <w:b/>
          <w:bCs/>
          <w:i w:val="0"/>
          <w:iCs w:val="0"/>
          <w:caps w:val="0"/>
          <w:spacing w:val="0"/>
          <w:lang w:eastAsia="zh-CN"/>
        </w:rPr>
      </w:pPr>
      <w:r>
        <w:rPr>
          <w:rFonts w:hint="eastAsia" w:ascii="Malgun Gothic" w:hAnsi="Malgun Gothic" w:eastAsia="Malgun Gothic" w:cs="Malgun Gothic"/>
          <w:b/>
          <w:bCs/>
          <w:i w:val="0"/>
          <w:iCs w:val="0"/>
          <w:caps w:val="0"/>
          <w:spacing w:val="0"/>
          <w:shd w:val="clear" w:fill="FFFFFF"/>
        </w:rPr>
        <w:t>Purchaser (Party A):</w:t>
      </w:r>
      <w:bookmarkStart w:id="0" w:name="ACE_purchaser"/>
      <w:r>
        <w:rPr>
          <w:rFonts w:hint="eastAsia" w:ascii="Malgun Gothic" w:hAnsi="Malgun Gothic" w:cs="Malgun Gothic"/>
          <w:b/>
          <w:bCs/>
          <w:i w:val="0"/>
          <w:iCs w:val="0"/>
          <w:caps w:val="0"/>
          <w:spacing w:val="0"/>
          <w:shd w:val="clear" w:fill="FFFFFF"/>
          <w:lang w:eastAsia="zh-CN"/>
        </w:rPr>
        <w:t xml:space="preserve">  </w:t>
      </w:r>
      <w:bookmarkEnd w:id="0"/>
    </w:p>
    <w:p w14:paraId="2505692A">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宋体" w:cs="Malgun Gothic"/>
          <w:lang w:eastAsia="zh-CN"/>
        </w:rPr>
      </w:pPr>
      <w:r>
        <w:rPr>
          <w:rFonts w:hint="eastAsia" w:ascii="Malgun Gothic" w:hAnsi="Malgun Gothic" w:eastAsia="Malgun Gothic" w:cs="Malgun Gothic"/>
          <w:b/>
          <w:bCs/>
          <w:i w:val="0"/>
          <w:iCs w:val="0"/>
          <w:caps w:val="0"/>
          <w:spacing w:val="0"/>
          <w:shd w:val="clear" w:fill="FFFFFF"/>
        </w:rPr>
        <w:t>Supplier (Party B):</w:t>
      </w:r>
      <w:bookmarkStart w:id="1" w:name="ACE_supplier"/>
      <w:r>
        <w:rPr>
          <w:rFonts w:hint="eastAsia" w:ascii="Malgun Gothic" w:hAnsi="Malgun Gothic" w:cs="Malgun Gothic"/>
          <w:b/>
          <w:bCs/>
          <w:i w:val="0"/>
          <w:iCs w:val="0"/>
          <w:caps w:val="0"/>
          <w:spacing w:val="0"/>
          <w:shd w:val="clear" w:fill="FFFFFF"/>
          <w:lang w:eastAsia="zh-CN"/>
        </w:rPr>
        <w:t xml:space="preserve">  </w:t>
      </w:r>
      <w:bookmarkEnd w:id="1"/>
    </w:p>
    <w:p w14:paraId="407A6E5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ind w:left="0" w:firstLine="0"/>
        <w:jc w:val="left"/>
        <w:textAlignment w:val="auto"/>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In accordance with the relevant procurement laws and regulations, and based on the "Bidding Documents" of the equipment procurement project of </w:t>
      </w:r>
      <w:bookmarkStart w:id="2" w:name="ACE_buyer_company"/>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End w:id="2"/>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Co., Ltd. (Project No.:  </w:t>
      </w:r>
      <w:bookmarkStart w:id="3" w:name="ACE_project_number"/>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End w:id="3"/>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 the "Bid Documents" submitted by Party B, and the "Notice of Award", both Party A and Party B hereby agree to enter into this contract.</w:t>
      </w:r>
    </w:p>
    <w:p w14:paraId="01CD160A">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I. Contract Goods</w:t>
      </w:r>
    </w:p>
    <w:p w14:paraId="57A3B802">
      <w:pPr>
        <w:keepNext w:val="0"/>
        <w:keepLines w:val="0"/>
        <w:widowControl/>
        <w:suppressLineNumbers w:val="0"/>
        <w:jc w:val="left"/>
        <w:rPr>
          <w:rFonts w:hint="eastAsia" w:ascii="Malgun Gothic" w:hAnsi="Malgun Gothic" w:eastAsia="宋体" w:cs="Malgun Gothic"/>
          <w:lang w:eastAsia="zh-CN"/>
        </w:rPr>
      </w:pPr>
      <w:bookmarkStart w:id="4" w:name="ACE_table"/>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3"/>
        <w:gridCol w:w="1817"/>
        <w:gridCol w:w="1089"/>
        <w:gridCol w:w="840"/>
        <w:gridCol w:w="1348"/>
        <w:gridCol w:w="1789"/>
      </w:tblGrid>
      <w:tr w14:paraId="62EE9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20" w:type="dxa"/>
              <w:left w:w="180" w:type="dxa"/>
              <w:bottom w:w="120" w:type="dxa"/>
              <w:right w:w="180" w:type="dxa"/>
            </w:tcMar>
            <w:vAlign w:val="center"/>
          </w:tcPr>
          <w:p w14:paraId="420DF596">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Goods Name</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7C52A43B">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Specification</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192C66DF">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Model</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54A37D95">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Unit</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4B62C06E">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Quantity</w:t>
            </w:r>
          </w:p>
        </w:tc>
        <w:tc>
          <w:tcPr>
            <w:tcW w:w="0" w:type="auto"/>
            <w:tcBorders>
              <w:top w:val="nil"/>
              <w:left w:val="nil"/>
              <w:bottom w:val="nil"/>
              <w:right w:val="nil"/>
            </w:tcBorders>
            <w:shd w:val="clear" w:color="auto" w:fill="auto"/>
            <w:tcMar>
              <w:top w:w="120" w:type="dxa"/>
              <w:left w:w="180" w:type="dxa"/>
              <w:bottom w:w="120" w:type="dxa"/>
              <w:right w:w="180" w:type="dxa"/>
            </w:tcMar>
            <w:vAlign w:val="center"/>
          </w:tcPr>
          <w:p w14:paraId="3277D5A1">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Unit Price ($)</w:t>
            </w:r>
          </w:p>
        </w:tc>
      </w:tr>
    </w:tbl>
    <w:p w14:paraId="762A8F3D">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shd w:val="clear" w:fill="FFFFFF"/>
        </w:rPr>
      </w:pPr>
    </w:p>
    <w:bookmarkEnd w:id="4"/>
    <w:p w14:paraId="37982184">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II. Total Contract Price</w:t>
      </w:r>
    </w:p>
    <w:p w14:paraId="3D818E3F">
      <w:pPr>
        <w:keepNext w:val="0"/>
        <w:keepLines w:val="0"/>
        <w:widowControl/>
        <w:suppressLineNumbers w:val="0"/>
        <w:jc w:val="left"/>
        <w:rPr>
          <w:rFonts w:hint="eastAsia" w:ascii="Malgun Gothic" w:hAnsi="Malgun Gothic" w:eastAsia="Malgun Gothic" w:cs="Malgun Gothic"/>
        </w:rPr>
      </w:pPr>
    </w:p>
    <w:p w14:paraId="2BC1F875">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The total contract price is </w:t>
      </w:r>
      <w:bookmarkStart w:id="5" w:name="ACE_totalPrice"/>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Start w:id="6" w:name="_GoBack"/>
      <w:bookmarkEnd w:id="6"/>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End w:id="5"/>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US dollars ($[Amount in Figures]). This price encompasses all costs associated with the goods, including but not limited to design, materials, manufacturing, packaging, transportation, installation, commissioning, testing, acceptance before delivery, warranty services during the warranty period, spare parts, and all other related expenses, and is inclusive of all applicable taxes. The total contract price shall remain fixed throughout the term of this contract. Party A shall have no obligation to pay any additional amounts to Party B beyond what is specified in this contract.</w:t>
      </w:r>
    </w:p>
    <w:p w14:paraId="3C504107">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III. Quality Requirements</w:t>
      </w:r>
    </w:p>
    <w:p w14:paraId="2BCE4E18">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1. New and Non - Infringing Goods</w:t>
      </w:r>
    </w:p>
    <w:p w14:paraId="2AD7BEFB">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Party B shall supply brand - new goods, including all components and accessories. The goods shall be free from scratches, dents, or any other visible damage, and shall have clear title. Party B warrants that the goods do not infringe upon any third - party intellectual property rights.</w:t>
      </w:r>
    </w:p>
    <w:p w14:paraId="3183EB2C">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2. Compliance with Standards</w:t>
      </w:r>
    </w:p>
    <w:p w14:paraId="1478BE70">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The goods must comply with or exceed all applicable national and industry standards, as well as the quality requirements, technical specifications, and factory standards set forth in the bidding documents for this project.</w:t>
      </w:r>
    </w:p>
    <w:p w14:paraId="290696E2">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3. Sample Submission and Production</w:t>
      </w:r>
    </w:p>
    <w:p w14:paraId="373F0554">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Party B shall submit a finished sample of the goods to Party A for approval within 10 days after the execution of this contract. Party A shall have the right to inspect and test the sample. Once Party A issues a written confirmation of the sample and retains a sealed copy for reference, Party B shall commence production in strict accordance with the approved sample. The approved sample shall serve as the benchmark for acceptance of the entire shipment. All goods shall bear a valid product quality inspection pass label.</w:t>
      </w:r>
    </w:p>
    <w:p w14:paraId="3C16F033">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4. Warranty and Inspection Rights</w:t>
      </w:r>
    </w:p>
    <w:p w14:paraId="4C6C2B33">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In the event that any manufacturing - related quality issues are identified during the warranty period, Party B shall be fully responsible for providing repair, replacement, or return services at no additional cost to Party A. Party A reserves the right to inspect the quality and production progress of the goods at Party B's manufacturing facilities at any reasonable time.</w:t>
      </w:r>
    </w:p>
    <w:p w14:paraId="4C8885B1">
      <w:pPr>
        <w:rPr>
          <w:rFonts w:hint="eastAsia" w:ascii="Malgun Gothic" w:hAnsi="Malgun Gothic" w:eastAsia="Malgun Gothic" w:cs="Malgun Gothi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D421F"/>
    <w:rsid w:val="0BB2718C"/>
    <w:rsid w:val="164A4961"/>
    <w:rsid w:val="16775464"/>
    <w:rsid w:val="1EB53B30"/>
    <w:rsid w:val="279019FD"/>
    <w:rsid w:val="31597CF4"/>
    <w:rsid w:val="35010787"/>
    <w:rsid w:val="358720B7"/>
    <w:rsid w:val="47912C44"/>
    <w:rsid w:val="4CB85809"/>
    <w:rsid w:val="510C7E78"/>
    <w:rsid w:val="55B1434A"/>
    <w:rsid w:val="59914E4A"/>
    <w:rsid w:val="5BF51E86"/>
    <w:rsid w:val="631F3FEC"/>
    <w:rsid w:val="650F54E6"/>
    <w:rsid w:val="743E4C56"/>
    <w:rsid w:val="77C351FF"/>
    <w:rsid w:val="7B2E4FE4"/>
    <w:rsid w:val="7CD67D42"/>
    <w:rsid w:val="7E0E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422</Words>
  <Characters>2253</Characters>
  <Lines>0</Lines>
  <Paragraphs>0</Paragraphs>
  <TotalTime>6</TotalTime>
  <ScaleCrop>false</ScaleCrop>
  <LinksUpToDate>false</LinksUpToDate>
  <CharactersWithSpaces>2656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2025-02-18T08:41:00Z</dcterms:created>
  <dc:creator>Dong</dc:creator>
  <cp:lastModifiedBy>Luna</cp:lastModifiedBy>
  <dcterms:modified xsi:type="dcterms:W3CDTF">2025-03-17T09:51:56Z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3301E7DDD97048D8BCED5855D2FB7B66_12</vt:lpwstr>
  </property>
</Properties>
</file>