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Press Release</w:t>
      </w:r>
    </w:p>
    <w:p>
      <w:r>
        <w:rPr>
          <w:b/>
        </w:rPr>
        <w:t>Kestrel Logistics Limited (Test)</w:t>
      </w:r>
    </w:p>
    <w:p>
      <w:r>
        <w:rPr>
          <w:b/>
        </w:rPr>
        <w:t>Long-term rating of ACER BBB (Stable) Assigned to the NCD Programme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Amount (INR Crore)</w:t>
            </w:r>
          </w:p>
        </w:tc>
        <w:tc>
          <w:tcPr>
            <w:tcW w:type="dxa" w:w="2160"/>
          </w:tcPr>
          <w:p>
            <w:r>
              <w:t>Rating with Outlook</w:t>
            </w:r>
          </w:p>
        </w:tc>
        <w:tc>
          <w:tcPr>
            <w:tcW w:type="dxa" w:w="2160"/>
          </w:tcPr>
          <w:p>
            <w:r>
              <w:t>Regulator</w:t>
            </w:r>
          </w:p>
        </w:tc>
      </w:tr>
      <w:tr>
        <w:tc>
          <w:tcPr>
            <w:tcW w:type="dxa" w:w="2160"/>
          </w:tcPr>
          <w:p>
            <w:r>
              <w:t>Non-Convertible Debentures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ACER BBB (Stable); Assigned</w:t>
            </w:r>
          </w:p>
        </w:tc>
        <w:tc>
          <w:tcPr>
            <w:tcW w:type="dxa" w:w="2160"/>
          </w:tcPr>
          <w:p>
            <w:r>
              <w:t>SEBI</w:t>
            </w:r>
          </w:p>
        </w:tc>
      </w:tr>
      <w:tr>
        <w:tc>
          <w:tcPr>
            <w:tcW w:type="dxa" w:w="2160"/>
          </w:tcPr>
          <w:p>
            <w:r>
              <w:t>Total Rated Limits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Brief Summary of the Rating Action</w:t>
      </w:r>
    </w:p>
    <w:p>
      <w:r>
        <w:t>The rating considers the established presence of the company in road freight across 14 states and revenue of INR 512.30 crore in FY26.</w:t>
      </w:r>
    </w:p>
    <w:p>
      <w:pPr>
        <w:pStyle w:val="Heading2"/>
      </w:pPr>
      <w:r>
        <w:t>Key Rating Drivers</w:t>
      </w:r>
    </w:p>
    <w:p>
      <w:r>
        <w:rPr>
          <w:b/>
        </w:rPr>
        <w:t>Credit Strengths</w:t>
      </w:r>
    </w:p>
    <w:p>
      <w:r>
        <w:rPr>
          <w:b/>
        </w:rPr>
        <w:t xml:space="preserve">Diversified customer base- </w:t>
      </w:r>
      <w:r>
        <w:t>The top ten customers formed 38% of revenue in FY26.</w:t>
      </w:r>
    </w:p>
    <w:p>
      <w:pPr>
        <w:pStyle w:val="Heading2"/>
      </w:pPr>
      <w:r>
        <w:t>Rating Sensitivities</w:t>
      </w:r>
    </w:p>
    <w:p>
      <w:pPr>
        <w:pStyle w:val="ListBullet"/>
      </w:pPr>
      <w:r>
        <w:t>Improvement in EBITDA margin above 9%</w:t>
      </w:r>
    </w:p>
    <w:p>
      <w:pPr>
        <w:pStyle w:val="ListBullet"/>
      </w:pPr>
      <w:r>
        <w:t>Net leverage above 3.5x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