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5CB989" w14:textId="77777777" w:rsidR="008C3DCB" w:rsidRDefault="008C3DCB" w:rsidP="008C3DCB">
      <w:pPr>
        <w:suppressLineNumbers/>
        <w:spacing w:after="240" w:line="480" w:lineRule="auto"/>
        <w:rPr>
          <w:rFonts w:ascii="Times New Roman" w:hAnsi="Times New Roman" w:cs="Times New Roman"/>
          <w:b/>
          <w:sz w:val="24"/>
          <w:szCs w:val="24"/>
        </w:rPr>
      </w:pPr>
      <w:r>
        <w:rPr>
          <w:rFonts w:ascii="Times New Roman" w:hAnsi="Times New Roman" w:cs="Times New Roman"/>
          <w:b/>
          <w:sz w:val="24"/>
          <w:szCs w:val="24"/>
        </w:rPr>
        <w:t>Figure Legends</w:t>
      </w:r>
    </w:p>
    <w:p w14:paraId="2E4680F5" w14:textId="77777777" w:rsidR="008C3DCB" w:rsidRDefault="008C3DCB" w:rsidP="008C3DCB">
      <w:pPr>
        <w:autoSpaceDE w:val="0"/>
        <w:autoSpaceDN w:val="0"/>
        <w:adjustRightInd w:val="0"/>
        <w:spacing w:line="480" w:lineRule="auto"/>
        <w:rPr>
          <w:rFonts w:ascii="Times New Roman" w:eastAsiaTheme="minorHAnsi" w:hAnsi="Times New Roman" w:cs="Times New Roman"/>
          <w:color w:val="000000"/>
          <w:sz w:val="24"/>
          <w:szCs w:val="24"/>
        </w:rPr>
      </w:pPr>
      <w:r w:rsidRPr="00F62BFD">
        <w:rPr>
          <w:rFonts w:ascii="Times New Roman" w:eastAsiaTheme="minorHAnsi" w:hAnsi="Times New Roman" w:cs="Times New Roman"/>
          <w:b/>
          <w:bCs/>
          <w:color w:val="000000"/>
          <w:sz w:val="24"/>
          <w:szCs w:val="24"/>
        </w:rPr>
        <w:t xml:space="preserve">Figure 1. Summary of variants identified among all strains. </w:t>
      </w:r>
      <w:r w:rsidRPr="00F62BFD">
        <w:rPr>
          <w:rFonts w:ascii="Times New Roman" w:eastAsiaTheme="minorHAnsi" w:hAnsi="Times New Roman" w:cs="Times New Roman"/>
          <w:color w:val="000000"/>
          <w:sz w:val="24"/>
          <w:szCs w:val="24"/>
        </w:rPr>
        <w:t>(A) The number of variants per gene has a long right tail. The inset panel is the same data, zoomed-in for genes with at least 50 variants for visualization purposes. (B) There was no correlation between gene length and the number o</w:t>
      </w:r>
      <w:bookmarkStart w:id="0" w:name="_GoBack"/>
      <w:bookmarkEnd w:id="0"/>
      <w:r w:rsidRPr="00F62BFD">
        <w:rPr>
          <w:rFonts w:ascii="Times New Roman" w:eastAsiaTheme="minorHAnsi" w:hAnsi="Times New Roman" w:cs="Times New Roman"/>
          <w:color w:val="000000"/>
          <w:sz w:val="24"/>
          <w:szCs w:val="24"/>
        </w:rPr>
        <w:t>f variants per base pair in each gene (p = 0.20)</w:t>
      </w:r>
      <w:r>
        <w:rPr>
          <w:rFonts w:ascii="Times New Roman" w:eastAsiaTheme="minorHAnsi" w:hAnsi="Times New Roman" w:cs="Times New Roman"/>
          <w:color w:val="000000"/>
          <w:sz w:val="24"/>
          <w:szCs w:val="24"/>
        </w:rPr>
        <w:t>.</w:t>
      </w:r>
    </w:p>
    <w:p w14:paraId="61CDF5B8" w14:textId="77777777" w:rsidR="008C3DCB" w:rsidRDefault="008C3DCB" w:rsidP="008C3DCB">
      <w:pPr>
        <w:autoSpaceDE w:val="0"/>
        <w:autoSpaceDN w:val="0"/>
        <w:adjustRightInd w:val="0"/>
        <w:spacing w:line="480" w:lineRule="auto"/>
        <w:rPr>
          <w:rFonts w:ascii="Times New Roman" w:eastAsiaTheme="minorHAnsi" w:hAnsi="Times New Roman" w:cs="Times New Roman"/>
          <w:b/>
          <w:bCs/>
          <w:color w:val="000000"/>
          <w:sz w:val="24"/>
          <w:szCs w:val="24"/>
        </w:rPr>
      </w:pPr>
    </w:p>
    <w:p w14:paraId="1CA5820D" w14:textId="07EEEE21" w:rsidR="008C3DCB" w:rsidRDefault="008C3DCB" w:rsidP="008C3DCB">
      <w:pPr>
        <w:autoSpaceDE w:val="0"/>
        <w:autoSpaceDN w:val="0"/>
        <w:adjustRightInd w:val="0"/>
        <w:spacing w:line="480" w:lineRule="auto"/>
        <w:rPr>
          <w:rFonts w:ascii="Times New Roman" w:eastAsiaTheme="minorHAnsi" w:hAnsi="Times New Roman" w:cs="Times New Roman"/>
          <w:b/>
          <w:bCs/>
          <w:color w:val="000000"/>
          <w:sz w:val="24"/>
          <w:szCs w:val="24"/>
        </w:rPr>
      </w:pPr>
      <w:r w:rsidRPr="00F62BFD">
        <w:rPr>
          <w:rFonts w:ascii="Times New Roman" w:eastAsiaTheme="minorHAnsi" w:hAnsi="Times New Roman" w:cs="Times New Roman"/>
          <w:b/>
          <w:bCs/>
          <w:color w:val="000000"/>
          <w:sz w:val="24"/>
          <w:szCs w:val="24"/>
        </w:rPr>
        <w:t xml:space="preserve">Figure 2. </w:t>
      </w:r>
      <w:proofErr w:type="spellStart"/>
      <w:r w:rsidRPr="00F62BFD">
        <w:rPr>
          <w:rFonts w:ascii="Times New Roman" w:eastAsiaTheme="minorHAnsi" w:hAnsi="Times New Roman" w:cs="Times New Roman"/>
          <w:b/>
          <w:bCs/>
          <w:color w:val="000000"/>
          <w:sz w:val="24"/>
          <w:szCs w:val="24"/>
        </w:rPr>
        <w:t>Phylognetic</w:t>
      </w:r>
      <w:proofErr w:type="spellEnd"/>
      <w:r w:rsidRPr="00F62BFD">
        <w:rPr>
          <w:rFonts w:ascii="Times New Roman" w:eastAsiaTheme="minorHAnsi" w:hAnsi="Times New Roman" w:cs="Times New Roman"/>
          <w:b/>
          <w:bCs/>
          <w:color w:val="000000"/>
          <w:sz w:val="24"/>
          <w:szCs w:val="24"/>
        </w:rPr>
        <w:t xml:space="preserve"> analysis of all sequenced strains</w:t>
      </w:r>
      <w:r>
        <w:rPr>
          <w:rFonts w:ascii="Times New Roman" w:eastAsiaTheme="minorHAnsi" w:hAnsi="Times New Roman" w:cs="Times New Roman"/>
          <w:b/>
          <w:bCs/>
          <w:color w:val="000000"/>
          <w:sz w:val="24"/>
          <w:szCs w:val="24"/>
        </w:rPr>
        <w:t xml:space="preserve">. </w:t>
      </w:r>
      <w:r w:rsidRPr="00F62BFD">
        <w:rPr>
          <w:rFonts w:ascii="Times New Roman" w:eastAsiaTheme="minorHAnsi" w:hAnsi="Times New Roman" w:cs="Times New Roman"/>
          <w:color w:val="000000"/>
          <w:sz w:val="24"/>
          <w:szCs w:val="24"/>
        </w:rPr>
        <w:t xml:space="preserve">(A) The majority of ST93 strains fall into two well-supported clades, magnified in (B) for ease of viewing. ST93A (purple background) and ST93B (yellow background). Bootstrap values &gt;50 are indicated with the numeric </w:t>
      </w:r>
      <w:proofErr w:type="spellStart"/>
      <w:r w:rsidRPr="00F62BFD">
        <w:rPr>
          <w:rFonts w:ascii="Times New Roman" w:eastAsiaTheme="minorHAnsi" w:hAnsi="Times New Roman" w:cs="Times New Roman"/>
          <w:color w:val="000000"/>
          <w:sz w:val="24"/>
          <w:szCs w:val="24"/>
        </w:rPr>
        <w:t>boostrap</w:t>
      </w:r>
      <w:proofErr w:type="spellEnd"/>
      <w:r w:rsidRPr="00F62BFD">
        <w:rPr>
          <w:rFonts w:ascii="Times New Roman" w:eastAsiaTheme="minorHAnsi" w:hAnsi="Times New Roman" w:cs="Times New Roman"/>
          <w:color w:val="000000"/>
          <w:sz w:val="24"/>
          <w:szCs w:val="24"/>
        </w:rPr>
        <w:t xml:space="preserve"> value. Strains isolated from patients that died are indicated by a red diamond at the end of the terminal branch.</w:t>
      </w:r>
    </w:p>
    <w:p w14:paraId="74320FC6" w14:textId="77777777" w:rsidR="008C3DCB" w:rsidRPr="008C3DCB" w:rsidRDefault="008C3DCB" w:rsidP="008C3DCB">
      <w:pPr>
        <w:autoSpaceDE w:val="0"/>
        <w:autoSpaceDN w:val="0"/>
        <w:adjustRightInd w:val="0"/>
        <w:spacing w:line="480" w:lineRule="auto"/>
        <w:rPr>
          <w:rFonts w:ascii="Times New Roman" w:eastAsiaTheme="minorHAnsi" w:hAnsi="Times New Roman" w:cs="Times New Roman"/>
          <w:b/>
          <w:bCs/>
          <w:color w:val="000000"/>
          <w:sz w:val="24"/>
          <w:szCs w:val="24"/>
        </w:rPr>
      </w:pPr>
    </w:p>
    <w:p w14:paraId="147AE66C" w14:textId="77777777" w:rsidR="008C3DCB" w:rsidRPr="00F62BFD" w:rsidRDefault="008C3DCB" w:rsidP="008C3DCB">
      <w:pPr>
        <w:autoSpaceDE w:val="0"/>
        <w:autoSpaceDN w:val="0"/>
        <w:adjustRightInd w:val="0"/>
        <w:spacing w:line="480" w:lineRule="auto"/>
        <w:rPr>
          <w:rFonts w:ascii="Times New Roman" w:eastAsiaTheme="minorHAnsi" w:hAnsi="Times New Roman" w:cs="Times New Roman"/>
          <w:color w:val="000000"/>
          <w:sz w:val="24"/>
          <w:szCs w:val="24"/>
        </w:rPr>
      </w:pPr>
      <w:r w:rsidRPr="00F62BFD">
        <w:rPr>
          <w:rFonts w:ascii="Times New Roman" w:eastAsiaTheme="minorHAnsi" w:hAnsi="Times New Roman" w:cs="Times New Roman"/>
          <w:b/>
          <w:bCs/>
          <w:color w:val="000000"/>
          <w:sz w:val="24"/>
          <w:szCs w:val="24"/>
        </w:rPr>
        <w:t xml:space="preserve">Figure 3. Variants that were common to all ST93 genomes are dispersed among 2715 genes. </w:t>
      </w:r>
    </w:p>
    <w:p w14:paraId="49E66B77" w14:textId="77777777" w:rsidR="008C3DCB" w:rsidRPr="00F62BFD" w:rsidRDefault="008C3DCB" w:rsidP="008C3DCB">
      <w:pPr>
        <w:suppressLineNumbers/>
        <w:spacing w:after="240" w:line="480" w:lineRule="auto"/>
        <w:rPr>
          <w:rFonts w:ascii="Times New Roman" w:eastAsiaTheme="minorHAnsi" w:hAnsi="Times New Roman" w:cs="Times New Roman"/>
          <w:color w:val="000000"/>
          <w:sz w:val="24"/>
          <w:szCs w:val="24"/>
        </w:rPr>
      </w:pPr>
      <w:r w:rsidRPr="00F62BFD">
        <w:rPr>
          <w:rFonts w:ascii="Times New Roman" w:eastAsiaTheme="minorHAnsi" w:hAnsi="Times New Roman" w:cs="Times New Roman"/>
          <w:color w:val="000000"/>
          <w:sz w:val="24"/>
          <w:szCs w:val="24"/>
        </w:rPr>
        <w:t>A small number of clustered genes have a large number of variants. In each cluster the gene with the highest number of variants is indicated. Genes with more than 20 variants and named genes are indicated. Table S2 lists all genes with 10 or more variants.</w:t>
      </w:r>
    </w:p>
    <w:p w14:paraId="27B590D8" w14:textId="77777777" w:rsidR="008C3DCB" w:rsidRPr="00F62BFD" w:rsidRDefault="008C3DCB" w:rsidP="008C3DCB">
      <w:pPr>
        <w:autoSpaceDE w:val="0"/>
        <w:autoSpaceDN w:val="0"/>
        <w:adjustRightInd w:val="0"/>
        <w:spacing w:line="480" w:lineRule="auto"/>
        <w:rPr>
          <w:rFonts w:ascii="Times New Roman" w:eastAsiaTheme="minorHAnsi" w:hAnsi="Times New Roman" w:cs="Times New Roman"/>
          <w:b/>
          <w:bCs/>
          <w:color w:val="000000"/>
          <w:sz w:val="24"/>
          <w:szCs w:val="24"/>
        </w:rPr>
      </w:pPr>
      <w:r w:rsidRPr="00F62BFD">
        <w:rPr>
          <w:rFonts w:ascii="Times New Roman" w:eastAsiaTheme="minorHAnsi" w:hAnsi="Times New Roman" w:cs="Times New Roman"/>
          <w:b/>
          <w:bCs/>
          <w:color w:val="000000"/>
          <w:sz w:val="24"/>
          <w:szCs w:val="24"/>
        </w:rPr>
        <w:t>Figure 4: Clade specific variants.</w:t>
      </w:r>
      <w:r>
        <w:rPr>
          <w:rFonts w:ascii="Times New Roman" w:eastAsiaTheme="minorHAnsi" w:hAnsi="Times New Roman" w:cs="Times New Roman"/>
          <w:b/>
          <w:bCs/>
          <w:color w:val="000000"/>
          <w:sz w:val="24"/>
          <w:szCs w:val="24"/>
        </w:rPr>
        <w:t xml:space="preserve"> </w:t>
      </w:r>
      <w:r w:rsidRPr="00F62BFD">
        <w:rPr>
          <w:rFonts w:ascii="Times New Roman" w:eastAsiaTheme="minorHAnsi" w:hAnsi="Times New Roman" w:cs="Times New Roman"/>
          <w:color w:val="000000"/>
          <w:sz w:val="24"/>
          <w:szCs w:val="24"/>
        </w:rPr>
        <w:t xml:space="preserve">(A) Variants that are specific to ST93A (purple) and ST93B (yellow) clades are distributed across the genome. (B) Upstream variants are the majority class found in all ST93 genomes (“allST93”) and among the variants that are specific to either clade. By contrast, ST93A variants were more likely to be nonsynonymous and less likely to be downstream compared to allST93 or ST93B </w:t>
      </w:r>
      <w:proofErr w:type="spellStart"/>
      <w:r w:rsidRPr="00F62BFD">
        <w:rPr>
          <w:rFonts w:ascii="Times New Roman" w:eastAsiaTheme="minorHAnsi" w:hAnsi="Times New Roman" w:cs="Times New Roman"/>
          <w:color w:val="000000"/>
          <w:sz w:val="24"/>
          <w:szCs w:val="24"/>
        </w:rPr>
        <w:t>varients</w:t>
      </w:r>
      <w:proofErr w:type="spellEnd"/>
      <w:r w:rsidRPr="00F62BFD">
        <w:rPr>
          <w:rFonts w:ascii="Times New Roman" w:eastAsiaTheme="minorHAnsi" w:hAnsi="Times New Roman" w:cs="Times New Roman"/>
          <w:color w:val="000000"/>
          <w:sz w:val="24"/>
          <w:szCs w:val="24"/>
        </w:rPr>
        <w:t xml:space="preserve">. The distribution of ST93A and ST93 variant classes are significantly different (p = 0.009) (C) IL2 cytokine levels in the CSF and In </w:t>
      </w:r>
      <w:r w:rsidRPr="00F62BFD">
        <w:rPr>
          <w:rFonts w:ascii="Times New Roman" w:eastAsiaTheme="minorHAnsi" w:hAnsi="Times New Roman" w:cs="Times New Roman"/>
          <w:color w:val="000000"/>
          <w:sz w:val="24"/>
          <w:szCs w:val="24"/>
        </w:rPr>
        <w:lastRenderedPageBreak/>
        <w:t xml:space="preserve">vitro phagocyte uptake differed between ST93A and ST93B strains (t-test results: IL2, </w:t>
      </w:r>
      <w:r w:rsidRPr="00F62BFD">
        <w:rPr>
          <w:rFonts w:ascii="Times New Roman" w:eastAsiaTheme="minorHAnsi" w:hAnsi="Times New Roman" w:cs="Times New Roman"/>
          <w:i/>
          <w:iCs/>
          <w:color w:val="000000"/>
          <w:sz w:val="24"/>
          <w:szCs w:val="24"/>
        </w:rPr>
        <w:t>p</w:t>
      </w:r>
      <w:r w:rsidRPr="00F62BFD">
        <w:rPr>
          <w:rFonts w:ascii="Times New Roman" w:eastAsiaTheme="minorHAnsi" w:hAnsi="Times New Roman" w:cs="Times New Roman"/>
          <w:color w:val="000000"/>
          <w:sz w:val="24"/>
          <w:szCs w:val="24"/>
        </w:rPr>
        <w:t xml:space="preserve"> = 0.022; uptake, </w:t>
      </w:r>
      <w:r w:rsidRPr="00F62BFD">
        <w:rPr>
          <w:rFonts w:ascii="Times New Roman" w:eastAsiaTheme="minorHAnsi" w:hAnsi="Times New Roman" w:cs="Times New Roman"/>
          <w:i/>
          <w:iCs/>
          <w:color w:val="000000"/>
          <w:sz w:val="24"/>
          <w:szCs w:val="24"/>
        </w:rPr>
        <w:t>p</w:t>
      </w:r>
      <w:r w:rsidRPr="00F62BFD">
        <w:rPr>
          <w:rFonts w:ascii="Times New Roman" w:eastAsiaTheme="minorHAnsi" w:hAnsi="Times New Roman" w:cs="Times New Roman"/>
          <w:color w:val="000000"/>
          <w:sz w:val="24"/>
          <w:szCs w:val="24"/>
        </w:rPr>
        <w:t xml:space="preserve"> = 0.011)</w:t>
      </w:r>
      <w:r>
        <w:rPr>
          <w:rFonts w:ascii="Times New Roman" w:eastAsiaTheme="minorHAnsi" w:hAnsi="Times New Roman" w:cs="Times New Roman"/>
          <w:color w:val="000000"/>
          <w:sz w:val="24"/>
          <w:szCs w:val="24"/>
        </w:rPr>
        <w:t>.</w:t>
      </w:r>
      <w:r w:rsidRPr="00F62BFD">
        <w:rPr>
          <w:rFonts w:ascii="Times New Roman" w:eastAsiaTheme="minorHAnsi" w:hAnsi="Times New Roman" w:cs="Times New Roman"/>
          <w:color w:val="000000"/>
          <w:sz w:val="24"/>
          <w:szCs w:val="24"/>
        </w:rPr>
        <w:t xml:space="preserve"> </w:t>
      </w:r>
    </w:p>
    <w:p w14:paraId="7B82756C" w14:textId="77777777" w:rsidR="008C3DCB" w:rsidRDefault="008C3DCB" w:rsidP="008C3DCB">
      <w:pPr>
        <w:autoSpaceDE w:val="0"/>
        <w:autoSpaceDN w:val="0"/>
        <w:adjustRightInd w:val="0"/>
        <w:spacing w:line="480" w:lineRule="auto"/>
        <w:rPr>
          <w:rFonts w:ascii="Times New Roman" w:eastAsiaTheme="minorHAnsi" w:hAnsi="Times New Roman" w:cs="Times New Roman"/>
          <w:b/>
          <w:bCs/>
          <w:color w:val="000000"/>
          <w:sz w:val="24"/>
          <w:szCs w:val="24"/>
        </w:rPr>
      </w:pPr>
    </w:p>
    <w:p w14:paraId="56DFB0F6" w14:textId="77777777" w:rsidR="008C3DCB" w:rsidRDefault="008C3DCB" w:rsidP="008C3DCB">
      <w:pPr>
        <w:autoSpaceDE w:val="0"/>
        <w:autoSpaceDN w:val="0"/>
        <w:adjustRightInd w:val="0"/>
        <w:spacing w:line="480" w:lineRule="auto"/>
        <w:rPr>
          <w:rFonts w:ascii="Times New Roman" w:eastAsiaTheme="minorHAnsi" w:hAnsi="Times New Roman" w:cs="Times New Roman"/>
          <w:color w:val="000000"/>
          <w:sz w:val="24"/>
          <w:szCs w:val="24"/>
        </w:rPr>
      </w:pPr>
      <w:r w:rsidRPr="00F62BFD">
        <w:rPr>
          <w:rFonts w:ascii="Times New Roman" w:eastAsiaTheme="minorHAnsi" w:hAnsi="Times New Roman" w:cs="Times New Roman"/>
          <w:b/>
          <w:bCs/>
          <w:color w:val="000000"/>
          <w:sz w:val="24"/>
          <w:szCs w:val="24"/>
        </w:rPr>
        <w:t xml:space="preserve">Figure </w:t>
      </w:r>
      <w:r>
        <w:rPr>
          <w:rFonts w:ascii="Times New Roman" w:eastAsiaTheme="minorHAnsi" w:hAnsi="Times New Roman" w:cs="Times New Roman"/>
          <w:b/>
          <w:bCs/>
          <w:color w:val="000000"/>
          <w:sz w:val="24"/>
          <w:szCs w:val="24"/>
        </w:rPr>
        <w:t>6</w:t>
      </w:r>
      <w:r w:rsidRPr="00F62BFD">
        <w:rPr>
          <w:rFonts w:ascii="Times New Roman" w:eastAsiaTheme="minorHAnsi" w:hAnsi="Times New Roman" w:cs="Times New Roman"/>
          <w:b/>
          <w:bCs/>
          <w:color w:val="000000"/>
          <w:sz w:val="24"/>
          <w:szCs w:val="24"/>
        </w:rPr>
        <w:t>. Comparing variant frequencies across the genome.</w:t>
      </w:r>
      <w:r>
        <w:rPr>
          <w:rFonts w:ascii="Times New Roman" w:eastAsiaTheme="minorHAnsi" w:hAnsi="Times New Roman" w:cs="Times New Roman"/>
          <w:b/>
          <w:bCs/>
          <w:color w:val="000000"/>
          <w:sz w:val="24"/>
          <w:szCs w:val="24"/>
        </w:rPr>
        <w:t xml:space="preserve"> </w:t>
      </w:r>
      <w:r w:rsidRPr="00F62BFD">
        <w:rPr>
          <w:rFonts w:ascii="Times New Roman" w:eastAsiaTheme="minorHAnsi" w:hAnsi="Times New Roman" w:cs="Times New Roman"/>
          <w:color w:val="000000"/>
          <w:sz w:val="24"/>
          <w:szCs w:val="24"/>
        </w:rPr>
        <w:t xml:space="preserve">The relative frequency of variants per gene for significant genes (red dots) compared to all sequenced variants across all genomes (black line) and all variants that were variable within ST93 genomes (grey line). The only genes shown here are those with at least one potential significant variant, hence the grey and black lines </w:t>
      </w:r>
      <w:proofErr w:type="gramStart"/>
      <w:r w:rsidRPr="00F62BFD">
        <w:rPr>
          <w:rFonts w:ascii="Times New Roman" w:eastAsiaTheme="minorHAnsi" w:hAnsi="Times New Roman" w:cs="Times New Roman"/>
          <w:color w:val="000000"/>
          <w:sz w:val="24"/>
          <w:szCs w:val="24"/>
        </w:rPr>
        <w:t>doesn’t</w:t>
      </w:r>
      <w:proofErr w:type="gramEnd"/>
      <w:r w:rsidRPr="00F62BFD">
        <w:rPr>
          <w:rFonts w:ascii="Times New Roman" w:eastAsiaTheme="minorHAnsi" w:hAnsi="Times New Roman" w:cs="Times New Roman"/>
          <w:color w:val="000000"/>
          <w:sz w:val="24"/>
          <w:szCs w:val="24"/>
        </w:rPr>
        <w:t xml:space="preserve"> go down to 0.</w:t>
      </w:r>
    </w:p>
    <w:p w14:paraId="5E94A99A" w14:textId="77777777" w:rsidR="008C3DCB" w:rsidRDefault="008C3DCB" w:rsidP="008C3DCB">
      <w:pPr>
        <w:autoSpaceDE w:val="0"/>
        <w:autoSpaceDN w:val="0"/>
        <w:adjustRightInd w:val="0"/>
        <w:spacing w:line="480" w:lineRule="auto"/>
        <w:rPr>
          <w:rFonts w:ascii="Times New Roman" w:eastAsiaTheme="minorHAnsi" w:hAnsi="Times New Roman" w:cs="Times New Roman"/>
          <w:b/>
          <w:bCs/>
          <w:color w:val="000000"/>
          <w:sz w:val="24"/>
          <w:szCs w:val="24"/>
        </w:rPr>
      </w:pPr>
    </w:p>
    <w:p w14:paraId="083B69CB" w14:textId="77777777" w:rsidR="008C3DCB" w:rsidRPr="00F62BFD" w:rsidRDefault="008C3DCB" w:rsidP="008C3DCB">
      <w:pPr>
        <w:autoSpaceDE w:val="0"/>
        <w:autoSpaceDN w:val="0"/>
        <w:adjustRightInd w:val="0"/>
        <w:spacing w:line="480" w:lineRule="auto"/>
        <w:rPr>
          <w:rFonts w:ascii="Times New Roman" w:eastAsiaTheme="minorHAnsi" w:hAnsi="Times New Roman" w:cs="Times New Roman"/>
          <w:bCs/>
          <w:color w:val="000000"/>
          <w:sz w:val="24"/>
          <w:szCs w:val="24"/>
          <w:lang w:val="en-CA"/>
        </w:rPr>
      </w:pPr>
      <w:r w:rsidRPr="00754477">
        <w:rPr>
          <w:rFonts w:ascii="Times New Roman" w:eastAsiaTheme="minorHAnsi" w:hAnsi="Times New Roman" w:cs="Times New Roman"/>
          <w:b/>
          <w:bCs/>
          <w:color w:val="000000"/>
          <w:sz w:val="24"/>
          <w:szCs w:val="24"/>
        </w:rPr>
        <w:t xml:space="preserve">Figure 7. Deletion strain virulence in mice. </w:t>
      </w:r>
      <w:r w:rsidRPr="00F62BFD">
        <w:rPr>
          <w:rFonts w:ascii="Times New Roman" w:eastAsiaTheme="minorHAnsi" w:hAnsi="Times New Roman" w:cs="Times New Roman"/>
          <w:bCs/>
          <w:color w:val="000000"/>
          <w:sz w:val="24"/>
          <w:szCs w:val="24"/>
        </w:rPr>
        <w:t xml:space="preserve">Groups of five </w:t>
      </w:r>
      <w:proofErr w:type="gramStart"/>
      <w:r w:rsidRPr="00F62BFD">
        <w:rPr>
          <w:rFonts w:ascii="Times New Roman" w:eastAsiaTheme="minorHAnsi" w:hAnsi="Times New Roman" w:cs="Times New Roman"/>
          <w:bCs/>
          <w:color w:val="000000"/>
          <w:sz w:val="24"/>
          <w:szCs w:val="24"/>
        </w:rPr>
        <w:t>6-8 week old</w:t>
      </w:r>
      <w:proofErr w:type="gramEnd"/>
      <w:r w:rsidRPr="00F62BFD">
        <w:rPr>
          <w:rFonts w:ascii="Times New Roman" w:eastAsiaTheme="minorHAnsi" w:hAnsi="Times New Roman" w:cs="Times New Roman"/>
          <w:bCs/>
          <w:color w:val="000000"/>
          <w:sz w:val="24"/>
          <w:szCs w:val="24"/>
        </w:rPr>
        <w:t xml:space="preserve"> C57Bl/6 mice were infected intranasally with 5 X 10</w:t>
      </w:r>
      <w:r w:rsidRPr="00F62BFD">
        <w:rPr>
          <w:rFonts w:ascii="Times New Roman" w:eastAsiaTheme="minorHAnsi" w:hAnsi="Times New Roman" w:cs="Times New Roman"/>
          <w:bCs/>
          <w:color w:val="000000"/>
          <w:sz w:val="24"/>
          <w:szCs w:val="24"/>
          <w:vertAlign w:val="superscript"/>
        </w:rPr>
        <w:t>4</w:t>
      </w:r>
      <w:r w:rsidRPr="00F62BFD">
        <w:rPr>
          <w:rFonts w:ascii="Times New Roman" w:eastAsiaTheme="minorHAnsi" w:hAnsi="Times New Roman" w:cs="Times New Roman"/>
          <w:bCs/>
          <w:color w:val="000000"/>
          <w:sz w:val="24"/>
          <w:szCs w:val="24"/>
        </w:rPr>
        <w:t xml:space="preserve"> cells. Progression to severe morbidity was monitored for 35 days and mice were sacrificed when endpoint criteria were reached. Strains were tested in two separate experiments indicated as E1 or E2, respectively. </w:t>
      </w:r>
    </w:p>
    <w:p w14:paraId="5822377C" w14:textId="77777777" w:rsidR="00C41334" w:rsidRDefault="008C3DCB"/>
    <w:sectPr w:rsidR="00C41334" w:rsidSect="00055E5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DCB"/>
    <w:rsid w:val="00055E53"/>
    <w:rsid w:val="003C499F"/>
    <w:rsid w:val="008C3DC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12EDB11"/>
  <w15:chartTrackingRefBased/>
  <w15:docId w15:val="{5B838536-CA5C-AD4F-80FE-1F0A5EDD4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C3DCB"/>
    <w:pPr>
      <w:spacing w:line="276" w:lineRule="auto"/>
    </w:pPr>
    <w:rPr>
      <w:rFonts w:ascii="Arial" w:eastAsia="Arial" w:hAnsi="Arial" w:cs="Arial"/>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403</Words>
  <Characters>2125</Characters>
  <Application>Microsoft Office Word</Application>
  <DocSecurity>0</DocSecurity>
  <Lines>39</Lines>
  <Paragraphs>7</Paragraphs>
  <ScaleCrop>false</ScaleCrop>
  <Company/>
  <LinksUpToDate>false</LinksUpToDate>
  <CharactersWithSpaces>2521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Aleeza Gerstein</dc:creator>
  <cp:keywords/>
  <dc:description/>
  <cp:lastModifiedBy>Aleeza Gerstein</cp:lastModifiedBy>
  <cp:revision>1</cp:revision>
  <dcterms:created xsi:type="dcterms:W3CDTF">2019-05-23T06:16:00Z</dcterms:created>
  <dcterms:modified xsi:type="dcterms:W3CDTF">2019-05-23T06:16:00Z</dcterms:modified>
</cp:coreProperties>
</file>