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83A" w:rsidRPr="00A13644" w:rsidRDefault="0074683A" w:rsidP="00A13644">
      <w:r w:rsidRPr="00A13644">
        <w:t>Relatório Financeiro</w:t>
      </w:r>
    </w:p>
    <w:p w:rsidR="0074683A" w:rsidRPr="00A13644" w:rsidRDefault="0074683A" w:rsidP="00A13644">
      <w:r w:rsidRPr="00A13644">
        <w:t>Apresentação da empresa</w:t>
      </w:r>
    </w:p>
    <w:p w:rsidR="00A53A9C" w:rsidRDefault="0074683A" w:rsidP="00E14799">
      <w:pPr>
        <w:spacing w:after="240"/>
        <w:ind w:firstLine="708"/>
        <w:jc w:val="both"/>
      </w:pPr>
      <w:r>
        <w:t xml:space="preserve">A empresa Jurisprudente LTDA., localizada à Rua Astolfo </w:t>
      </w:r>
      <w:proofErr w:type="spellStart"/>
      <w:r>
        <w:t>Lindoberto</w:t>
      </w:r>
      <w:proofErr w:type="spellEnd"/>
      <w:r>
        <w:t>, número 123; no bairro Boa Vista; na cidade de Meio Fundo, MG; tem como principal atividade econômica o serviço barista e comércio de congêneres.</w:t>
      </w:r>
    </w:p>
    <w:p w:rsidR="0074683A" w:rsidRDefault="0074683A" w:rsidP="00E14799">
      <w:pPr>
        <w:spacing w:after="240"/>
        <w:ind w:firstLine="708"/>
        <w:jc w:val="both"/>
      </w:pPr>
      <w:r>
        <w:t>Fundada há 10 anos, conta com 4 funcionários e clientela consolidada, ativa e fiel. Com principal foco no oferecimento de serviços diferenciados, além de doces, salgados e bebidas quentes e geladas para agradar aos paladares mais exigentes, foi por diversas vezes TOP OF MIND de Meio Fundo.</w:t>
      </w:r>
    </w:p>
    <w:p w:rsidR="0074683A" w:rsidRPr="00A13644" w:rsidRDefault="0074683A" w:rsidP="00A13644">
      <w:r w:rsidRPr="00A13644">
        <w:t>Introdução</w:t>
      </w:r>
    </w:p>
    <w:p w:rsidR="0074683A" w:rsidRDefault="0074683A" w:rsidP="00E14799">
      <w:pPr>
        <w:spacing w:after="240"/>
        <w:ind w:firstLine="708"/>
        <w:jc w:val="both"/>
      </w:pPr>
      <w:r>
        <w:t>Desde sua fundação a principal preocupação de seus sócios foi manter a saúde financeira sempre em dia, controlando gastos e dosando equitativamente o reinvestimento no negócio, de maneira a manter a sustentabilidade da empresa ao longo dos anos.</w:t>
      </w:r>
    </w:p>
    <w:p w:rsidR="0074683A" w:rsidRPr="00A13644" w:rsidRDefault="0074683A" w:rsidP="00A13644">
      <w:r w:rsidRPr="00A13644">
        <w:t>Relatório Financeiro</w:t>
      </w:r>
    </w:p>
    <w:p w:rsidR="0074683A" w:rsidRPr="00A13644" w:rsidRDefault="0074683A" w:rsidP="00A13644">
      <w:r w:rsidRPr="00A13644">
        <w:t>Precificação</w:t>
      </w:r>
    </w:p>
    <w:p w:rsidR="0074683A" w:rsidRDefault="0074683A" w:rsidP="00E14799">
      <w:pPr>
        <w:spacing w:after="240"/>
        <w:jc w:val="both"/>
      </w:pPr>
      <w:r>
        <w:tab/>
        <w:t>A empresa optou por uma precificação por margem de contribuição</w:t>
      </w:r>
      <w:r w:rsidR="00CD73D5">
        <w:t xml:space="preserve"> atrelado ao custo de produção de cada produto.</w:t>
      </w:r>
    </w:p>
    <w:p w:rsidR="00CD73D5" w:rsidRDefault="00CD73D5" w:rsidP="00E14799">
      <w:pPr>
        <w:spacing w:after="240"/>
        <w:jc w:val="both"/>
      </w:pPr>
      <w:r>
        <w:tab/>
        <w:t>Com isso, pode ser analisado item a item do mix ofertado, de maneira a dar apoio à tomada de decisão para a precificação, podendo, assim, escolher quais os produtos intensificar a campanha de venda e direcionar recursos para sua produção com base nos Custos Variáveis (Tabela 1).</w:t>
      </w:r>
    </w:p>
    <w:p w:rsidR="0066530B" w:rsidRDefault="0066530B" w:rsidP="00E14799">
      <w:pPr>
        <w:spacing w:after="240"/>
        <w:jc w:val="both"/>
      </w:pPr>
    </w:p>
    <w:p w:rsidR="00CD73D5" w:rsidRDefault="0076026E" w:rsidP="00E14799">
      <w:pPr>
        <w:spacing w:before="240"/>
        <w:ind w:firstLine="708"/>
        <w:jc w:val="both"/>
      </w:pPr>
      <w:r>
        <w:t>Na formulação do preço de venda, levou-se em consideração a Margem de lucro pretendida em cada item, assim, pode-se saber com maior clareza, qual produto contribui mais, ou menos, para a consolidação do resultado (Tabela 2).</w:t>
      </w:r>
    </w:p>
    <w:p w:rsidR="0076026E" w:rsidRPr="00A13644" w:rsidRDefault="0076026E" w:rsidP="00A13644">
      <w:r w:rsidRPr="00A13644">
        <w:t>Faturamento:</w:t>
      </w:r>
    </w:p>
    <w:p w:rsidR="0076026E" w:rsidRDefault="0076026E" w:rsidP="00E14799">
      <w:pPr>
        <w:spacing w:after="240"/>
        <w:jc w:val="both"/>
      </w:pPr>
      <w:r>
        <w:tab/>
        <w:t>Já com os preços de vendas devidamente calculados, pudemos levantar e estimar o faturamento mensal baseado em unidades vendidas de cada produto ofertado pela empresa.</w:t>
      </w:r>
    </w:p>
    <w:p w:rsidR="0076026E" w:rsidRDefault="0076026E" w:rsidP="00E14799">
      <w:pPr>
        <w:spacing w:after="240"/>
        <w:jc w:val="both"/>
      </w:pPr>
      <w:r>
        <w:tab/>
        <w:t>Observou-se, então, que o mês de agosto foi o de melhor desempenho, seguido pelo mês de junho e, por fim, o mês de julho com valores de R$24.219,00; R$22.740,00 e R$20.101,50; respectivamente.</w:t>
      </w:r>
    </w:p>
    <w:p w:rsidR="0076026E" w:rsidRDefault="0076026E" w:rsidP="00E14799">
      <w:pPr>
        <w:spacing w:after="240"/>
        <w:jc w:val="both"/>
      </w:pPr>
      <w:r>
        <w:tab/>
        <w:t>Estes valores estão atrelados ao volume de vendas dos meses respectivos, sendo que foram 15.500 itens em agosto, 14.500 em junho e 12.700 em julho (Tabela 3).</w:t>
      </w:r>
    </w:p>
    <w:p w:rsidR="002D4FBC" w:rsidRDefault="002D4FBC" w:rsidP="0076026E"/>
    <w:p w:rsidR="0076026E" w:rsidRPr="00A13644" w:rsidRDefault="002D4FBC" w:rsidP="00A13644">
      <w:r w:rsidRPr="00A13644">
        <w:t>Demonstrativo de Resultado do Exercício (DRE)</w:t>
      </w:r>
    </w:p>
    <w:p w:rsidR="002D4FBC" w:rsidRDefault="002D4FBC" w:rsidP="00E14799">
      <w:pPr>
        <w:jc w:val="both"/>
      </w:pPr>
      <w:r>
        <w:tab/>
        <w:t>Embora os faturamentos do trimestre tenham sidos satisfatórios, observou-se, pela DRE, que, na realidade, o resultado ficou longe de ser o ideal.</w:t>
      </w:r>
    </w:p>
    <w:p w:rsidR="002D4FBC" w:rsidRPr="0066530B" w:rsidRDefault="002D4FBC" w:rsidP="00E14799">
      <w:pPr>
        <w:jc w:val="both"/>
      </w:pPr>
      <w:r w:rsidRPr="0066530B">
        <w:tab/>
        <w:t xml:space="preserve">O melhor resultado foi, como já era de esperar, o de agosto, com lucro de R$3.468,31; seguido pelo mês de </w:t>
      </w:r>
      <w:r w:rsidR="000B4AD8" w:rsidRPr="0066530B">
        <w:t>junho</w:t>
      </w:r>
      <w:r w:rsidRPr="0066530B">
        <w:t xml:space="preserve">, com lucro de R$1.989,31 e, por último o mês de julho com prejuízo de </w:t>
      </w:r>
      <w:r w:rsidR="0066530B">
        <w:t>-</w:t>
      </w:r>
      <w:r w:rsidRPr="0066530B">
        <w:t>R$649,20</w:t>
      </w:r>
      <w:r w:rsidR="0066530B" w:rsidRPr="0066530B">
        <w:t xml:space="preserve"> (Gráfico 1)</w:t>
      </w:r>
      <w:r w:rsidRPr="0066530B">
        <w:t>.</w:t>
      </w:r>
    </w:p>
    <w:p w:rsidR="000B4AD8" w:rsidRPr="00E14799" w:rsidRDefault="000B4AD8" w:rsidP="002D4FBC"/>
    <w:p w:rsidR="002D4FBC" w:rsidRDefault="00E14799" w:rsidP="002D4FBC">
      <w:r>
        <w:t xml:space="preserve">Analisando a estrutura de contas, vemos que o maior índice de gastos </w:t>
      </w:r>
      <w:proofErr w:type="gramStart"/>
      <w:r>
        <w:t>esta</w:t>
      </w:r>
      <w:proofErr w:type="gramEnd"/>
      <w:r>
        <w:t xml:space="preserve"> na manutenção da empresa, em seus custos fixos, os quais consumiram 36,84% do faturamento no trimestre. Observando a estrutura dos custos fixos, vemos que os itens de maior consumo de recursos, são os Salários e Encargos, no valor de R$3.135,51 no trimestre, e o </w:t>
      </w:r>
      <w:proofErr w:type="gramStart"/>
      <w:r>
        <w:t>Pró Labore</w:t>
      </w:r>
      <w:proofErr w:type="gramEnd"/>
      <w:r>
        <w:t>, no valor de R$5.400,00 no mesmo período (</w:t>
      </w:r>
      <w:r w:rsidR="00B209D1">
        <w:t>Gráfico</w:t>
      </w:r>
      <w:r>
        <w:t xml:space="preserve"> 2).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0"/>
      </w:tblGrid>
      <w:tr w:rsidR="00E14799" w:rsidTr="00E14799">
        <w:trPr>
          <w:jc w:val="center"/>
        </w:trPr>
        <w:tc>
          <w:tcPr>
            <w:tcW w:w="7450" w:type="dxa"/>
          </w:tcPr>
          <w:p w:rsidR="00E14799" w:rsidRDefault="00E14799" w:rsidP="002D4FBC">
            <w:r>
              <w:rPr>
                <w:noProof/>
              </w:rPr>
              <w:drawing>
                <wp:inline distT="0" distB="0" distL="0" distR="0" wp14:anchorId="1B85F778" wp14:editId="7D737C0D">
                  <wp:extent cx="4572000" cy="2743200"/>
                  <wp:effectExtent l="0" t="0" r="0" b="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76DD45-480E-4FED-B848-6115176DA0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E14799" w:rsidTr="00E1479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50" w:type="dxa"/>
          </w:tcPr>
          <w:p w:rsidR="00E14799" w:rsidRDefault="00E14799" w:rsidP="00E14799">
            <w:pPr>
              <w:jc w:val="center"/>
            </w:pPr>
            <w:r>
              <w:t>Gráfico 2 – Relação entre as contas e suas participações no resultado</w:t>
            </w:r>
          </w:p>
        </w:tc>
      </w:tr>
    </w:tbl>
    <w:p w:rsidR="00E14799" w:rsidRPr="00A13644" w:rsidRDefault="00B209D1" w:rsidP="00A13644">
      <w:r w:rsidRPr="00A13644">
        <w:t>Conclusão:</w:t>
      </w:r>
    </w:p>
    <w:p w:rsidR="00B209D1" w:rsidRDefault="00B209D1" w:rsidP="00B209D1">
      <w:pPr>
        <w:jc w:val="both"/>
      </w:pPr>
      <w:r>
        <w:tab/>
        <w:t xml:space="preserve">Concluindo, uma vez que os custos fixos são uma conta de difícil maleabilidade </w:t>
      </w:r>
      <w:bookmarkStart w:id="0" w:name="_GoBack"/>
      <w:bookmarkEnd w:id="0"/>
      <w:r>
        <w:t>sugerimos que a administração trace estratégias para aumento do faturamento de maneira que as contas fixas possam ser abatidas de forma satisfatória, contribuindo para a elevação do lucro.</w:t>
      </w:r>
    </w:p>
    <w:p w:rsidR="00B209D1" w:rsidRPr="00B209D1" w:rsidRDefault="00B209D1" w:rsidP="00B209D1">
      <w:pPr>
        <w:jc w:val="both"/>
      </w:pPr>
      <w:r>
        <w:tab/>
        <w:t>Também pode ser uma boa solução aumentar o mix de produtos ofertado para que estes possam contribuir para o abatimento dos custos fixos, aumentando, portanto, o resultado final.</w:t>
      </w:r>
    </w:p>
    <w:sectPr w:rsidR="00B209D1" w:rsidRPr="00B209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09D1" w:rsidRDefault="00B209D1" w:rsidP="00B209D1">
      <w:pPr>
        <w:spacing w:after="0" w:line="240" w:lineRule="auto"/>
      </w:pPr>
      <w:r>
        <w:separator/>
      </w:r>
    </w:p>
  </w:endnote>
  <w:endnote w:type="continuationSeparator" w:id="0">
    <w:p w:rsidR="00B209D1" w:rsidRDefault="00B209D1" w:rsidP="00B2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9D1" w:rsidRDefault="00B209D1">
    <w:pPr>
      <w:pStyle w:val="Rodap"/>
    </w:pPr>
    <w:r>
      <w:t>Relatório Financeiro – Formulação de preço de venda.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09D1" w:rsidRDefault="00B209D1" w:rsidP="00B209D1">
      <w:pPr>
        <w:spacing w:after="0" w:line="240" w:lineRule="auto"/>
      </w:pPr>
      <w:r>
        <w:separator/>
      </w:r>
    </w:p>
  </w:footnote>
  <w:footnote w:type="continuationSeparator" w:id="0">
    <w:p w:rsidR="00B209D1" w:rsidRDefault="00B209D1" w:rsidP="00B2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990227"/>
      <w:docPartObj>
        <w:docPartGallery w:val="Page Numbers (Top of Page)"/>
        <w:docPartUnique/>
      </w:docPartObj>
    </w:sdtPr>
    <w:sdtContent>
      <w:p w:rsidR="00B209D1" w:rsidRDefault="00B209D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209D1" w:rsidRDefault="00B209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A"/>
    <w:rsid w:val="000B4AD8"/>
    <w:rsid w:val="002D4FBC"/>
    <w:rsid w:val="0066530B"/>
    <w:rsid w:val="0074683A"/>
    <w:rsid w:val="0076026E"/>
    <w:rsid w:val="00A13644"/>
    <w:rsid w:val="00A53A9C"/>
    <w:rsid w:val="00B209D1"/>
    <w:rsid w:val="00CD73D5"/>
    <w:rsid w:val="00E1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D7EB"/>
  <w15:chartTrackingRefBased/>
  <w15:docId w15:val="{4562C634-A0DC-4185-BC27-D84DE50F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46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D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09D1"/>
  </w:style>
  <w:style w:type="paragraph" w:styleId="Rodap">
    <w:name w:val="footer"/>
    <w:basedOn w:val="Normal"/>
    <w:link w:val="RodapChar"/>
    <w:uiPriority w:val="99"/>
    <w:unhideWhenUsed/>
    <w:rsid w:val="00B2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EXERCICIO_PRECIFICACAO_CAF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Planilha1!$C$66</c:f>
              <c:strCache>
                <c:ptCount val="1"/>
                <c:pt idx="0">
                  <c:v>VARIAÇÃO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B1C-40C6-A52B-673071E77F6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B1C-40C6-A52B-673071E77F6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B1C-40C6-A52B-673071E77F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B1C-40C6-A52B-673071E77F6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B1C-40C6-A52B-673071E77F63}"/>
              </c:ext>
            </c:extLst>
          </c:dPt>
          <c:cat>
            <c:strRef>
              <c:f>Planilha1!$A$67:$A$71</c:f>
              <c:strCache>
                <c:ptCount val="5"/>
                <c:pt idx="0">
                  <c:v>FATURAMENTO</c:v>
                </c:pt>
                <c:pt idx="1">
                  <c:v>(-) CUSTOS VARIÁVEIS</c:v>
                </c:pt>
                <c:pt idx="2">
                  <c:v>(=) LUCRO BRUTO</c:v>
                </c:pt>
                <c:pt idx="3">
                  <c:v>(-) CUSTOS/DESPESAS FIXOS</c:v>
                </c:pt>
                <c:pt idx="4">
                  <c:v>(=) RESULTADO</c:v>
                </c:pt>
              </c:strCache>
            </c:strRef>
          </c:cat>
          <c:val>
            <c:numRef>
              <c:f>Planilha1!$C$67:$C$71</c:f>
              <c:numCache>
                <c:formatCode>0.00%</c:formatCode>
                <c:ptCount val="5"/>
                <c:pt idx="0">
                  <c:v>7.1702641644485213E-2</c:v>
                </c:pt>
                <c:pt idx="1">
                  <c:v>9.7732012195121967E-2</c:v>
                </c:pt>
                <c:pt idx="2">
                  <c:v>0.26922062652221385</c:v>
                </c:pt>
                <c:pt idx="3">
                  <c:v>0.36840205990077457</c:v>
                </c:pt>
                <c:pt idx="4" formatCode="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B1C-40C6-A52B-673071E77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Cesar Guardia</dc:creator>
  <cp:keywords/>
  <dc:description/>
  <cp:lastModifiedBy>Antonio Cesar Guardia</cp:lastModifiedBy>
  <cp:revision>3</cp:revision>
  <dcterms:created xsi:type="dcterms:W3CDTF">2021-10-14T15:48:00Z</dcterms:created>
  <dcterms:modified xsi:type="dcterms:W3CDTF">2021-10-14T15:59:00Z</dcterms:modified>
</cp:coreProperties>
</file>