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sz w:val="32"/>
          <w:szCs w:val="32"/>
        </w:rPr>
        <w:t xml:space="preserve">Lafarge Cement Company</w:t>
      </w:r>
    </w:p>
    <w:p>
      <w:pPr>
        <w:spacing w:after="100"/>
      </w:pPr>
      <w:r>
        <w:rPr>
          <w:sz w:val="24"/>
          <w:szCs w:val="24"/>
        </w:rPr>
        <w:t xml:space="preserve">CEM II/B-S (Portland au laitier )</w:t>
      </w:r>
    </w:p>
    <w:p>
      <w:pPr>
        <w:spacing w:after="200"/>
      </w:pPr>
      <w:r>
        <w:rPr>
          <w:sz w:val="24"/>
          <w:szCs w:val="24"/>
        </w:rPr>
        <w:t xml:space="preserve">Période: 2025-01-07 à 2025-08-31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Données Statistiques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0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</w:tblGrid>
      <w:tr>
        <w:tc>
          <w:tcPr>
            <w:tcW w:type="pct" w:w="20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Statistique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0%"/>
            <w:shd w:fill="FFFFFF"/>
          </w:tcPr>
          <w:p>
            <w:pPr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99,000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99,000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90,000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100,000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100,000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57,000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57,000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57,000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57,000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100,000</w:t>
            </w:r>
          </w:p>
        </w:tc>
      </w:tr>
      <w:tr>
        <w:tc>
          <w:tcPr>
            <w:tcW w:type="pct" w:w="20%"/>
            <w:shd w:fill="F2F2F2"/>
          </w:tcPr>
          <w:p>
            <w:pPr>
              <w:jc w:val="center"/>
            </w:pPr>
            <w:r>
              <w:rPr>
                <w:b/>
                <w:bCs/>
              </w:rPr>
              <w:t xml:space="preserve">Min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10.800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26.100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37.500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131.000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0.300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4.350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3.990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2.040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0.001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21.000</w:t>
            </w:r>
          </w:p>
        </w:tc>
      </w:tr>
      <w:tr>
        <w:tc>
          <w:tcPr>
            <w:tcW w:type="pct" w:w="20%"/>
            <w:shd w:fill="FFFFFF"/>
          </w:tcPr>
          <w:p>
            <w:pPr>
              <w:jc w:val="center"/>
            </w:pPr>
            <w:r>
              <w:rPr>
                <w:b/>
                <w:bCs/>
              </w:rPr>
              <w:t xml:space="preserve">Max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21.900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35.100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46.600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140.000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0.600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5.410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5.330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2.450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0.006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35.000</w:t>
            </w:r>
          </w:p>
        </w:tc>
      </w:tr>
      <w:tr>
        <w:tc>
          <w:tcPr>
            <w:tcW w:type="pct" w:w="20%"/>
            <w:shd w:fill="F2F2F2"/>
          </w:tcPr>
          <w:p>
            <w:pPr>
              <w:jc w:val="center"/>
            </w:pPr>
            <w:r>
              <w:rPr>
                <w:b/>
                <w:bCs/>
              </w:rPr>
              <w:t xml:space="preserve">Moyenne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17.713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31.621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42.400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134.630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0.465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5.009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4.941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2.247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0.004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30.380</w:t>
            </w:r>
          </w:p>
        </w:tc>
      </w:tr>
      <w:tr>
        <w:tc>
          <w:tcPr>
            <w:tcW w:type="pct" w:w="20%"/>
            <w:shd w:fill="FFFFFF"/>
          </w:tcPr>
          <w:p>
            <w:pPr>
              <w:jc w:val="center"/>
            </w:pPr>
            <w:r>
              <w:rPr>
                <w:b/>
                <w:bCs/>
              </w:rPr>
              <w:t xml:space="preserve">Écart type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1.835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1.641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2.030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1.695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0.068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0.208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0.252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0.089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0.001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6.583</w:t>
            </w:r>
          </w:p>
        </w:tc>
      </w:tr>
    </w:tbl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32.5 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32.5 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16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75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32.5 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75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42.5 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42.5 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44.4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17.8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42.5 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87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87.9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44.4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17.8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52.5 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52.5 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87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90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87.9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90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52.5 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99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90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99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90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2025-10-20T23:41:49.289Z</dcterms:created>
  <dcterms:modified xsi:type="dcterms:W3CDTF">2025-10-20T23:41:49.289Z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