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Development Document (MDD)</w:t>
      </w:r>
    </w:p>
    <w:p>
      <w:r>
        <w:t>Model Name: Elder Financial Abuse (EFA) Classifier</w:t>
      </w:r>
    </w:p>
    <w:p>
      <w:r>
        <w:t>Version: v1.0</w:t>
      </w:r>
    </w:p>
    <w:p>
      <w:r>
        <w:t>Date: 2025-04-11</w:t>
      </w:r>
    </w:p>
    <w:p>
      <w:r>
        <w:t>Developer(s): NLP Model Development Team</w:t>
      </w:r>
    </w:p>
    <w:p>
      <w:r>
        <w:t>Model Owner: Compliance Analytics Group</w:t>
      </w:r>
    </w:p>
    <w:p>
      <w:r>
        <w:t>Business Line: Fraud and Financial Crime Risk Management</w:t>
      </w:r>
    </w:p>
    <w:p>
      <w:pPr>
        <w:pStyle w:val="Heading1"/>
      </w:pPr>
      <w:r>
        <w:t>1. Executive Summary</w:t>
      </w:r>
    </w:p>
    <w:p>
      <w:r>
        <w:br/>
        <w:t xml:space="preserve">This model is developed to automatically classify bankers' free-text notes from customer interactions as either containing Elder Financial Abuse (EFA) indicators or not. </w:t>
        <w:br/>
        <w:t>It is intended to serve as a screening mechanism to assist compliance analysts in identifying possible EFA cases from narrative documentation. The model uses LightGBM as a binary classifier trained on labeled data reviewed and annotated by EFA domain experts.</w:t>
        <w:br/>
      </w:r>
    </w:p>
    <w:p>
      <w:pPr>
        <w:pStyle w:val="Heading1"/>
      </w:pPr>
      <w:r>
        <w:t>2. Conceptual Soundness Evaluation</w:t>
      </w:r>
    </w:p>
    <w:p>
      <w:pPr>
        <w:pStyle w:val="Heading2"/>
      </w:pPr>
      <w:r>
        <w:t>2.1 Data Quality and Suitability</w:t>
      </w:r>
    </w:p>
    <w:p>
      <w:r>
        <w:br/>
        <w:t>Data Sources:</w:t>
        <w:br/>
        <w:t>- The dataset includes 2,000 anonymized bankers’ notes extracted from the internal CRM platform, spanning the period from January 2023 to January 2024.</w:t>
        <w:br/>
        <w:t>- Each note was manually labeled by trained compliance officers as either “EFA” or “Non-EFA.”</w:t>
        <w:br/>
        <w:br/>
        <w:t>Data Completeness:</w:t>
        <w:br/>
        <w:t>- No missing records were observed in the dataset. Each instance contains both a narrative and an expert-assigned label.</w:t>
        <w:br/>
        <w:br/>
        <w:t>Data Accuracy:</w:t>
        <w:br/>
        <w:t>- Data was verified by compliance leads to ensure labeling consistency and removal of ambiguous or multi-label notes.</w:t>
        <w:br/>
        <w:br/>
        <w:t>Data Consistency:</w:t>
        <w:br/>
        <w:t>- All text records were processed using consistent UTF-8 encoding. Notes were normalized for spacing, casing, and special characters.</w:t>
        <w:br/>
        <w:br/>
        <w:t>Data Relevance:</w:t>
        <w:br/>
        <w:t>- Narrative notes are the primary source of language signals for identifying EFA; all entries directly relate to customer interactions.</w:t>
        <w:br/>
        <w:br/>
        <w:t>Outlier Handling:</w:t>
        <w:br/>
        <w:t>- Outliers in length (e.g., extremely short or long notes) were flagged but retained due to their potential importance in EFA detection.</w:t>
        <w:br/>
      </w:r>
    </w:p>
    <w:p>
      <w:pPr>
        <w:pStyle w:val="Heading2"/>
      </w:pPr>
      <w:r>
        <w:t>2.2 Input Design and Control</w:t>
      </w:r>
    </w:p>
    <w:p>
      <w:r>
        <w:br/>
        <w:t>Feature Engineering:</w:t>
        <w:br/>
        <w:t>- Input text was preprocessed using tokenization, stopword removal, lemmatization, and TF-IDF vectorization.</w:t>
        <w:br/>
        <w:t>- Additional features: presence of EFA-specific phrases, word count, and sentiment score.</w:t>
        <w:br/>
        <w:br/>
        <w:t>Embedding Approaches:</w:t>
        <w:br/>
        <w:t>- TF-IDF served as the primary representation method; no deep learning embeddings were applied in this version.</w:t>
        <w:br/>
        <w:br/>
        <w:t>Feature Selection:</w:t>
        <w:br/>
        <w:t>- Features were selected based on importance derived from preliminary LightGBM runs and domain review of top contributing terms.</w:t>
        <w:br/>
        <w:br/>
        <w:t>Input Control:</w:t>
        <w:br/>
        <w:t>- Input pipeline includes validation checks for nulls, minimum length, and tokenization errors. Sensitivity analysis showed stable predictions with +/-10% TF-IDF variance.</w:t>
        <w:br/>
      </w:r>
    </w:p>
    <w:p>
      <w:pPr>
        <w:pStyle w:val="Heading2"/>
      </w:pPr>
      <w:r>
        <w:t>2.3 Model Design, Methodology, and Assumptions</w:t>
      </w:r>
    </w:p>
    <w:p>
      <w:r>
        <w:br/>
        <w:t>Model Type and Justification:</w:t>
        <w:br/>
        <w:t>- LightGBM was selected due to its balance of interpretability and performance on tabular TF-IDF data. It provides feature importance outputs and rapid retraining.</w:t>
        <w:br/>
        <w:br/>
        <w:t>Model Assumptions:</w:t>
        <w:br/>
        <w:t>- Assumes independence between TF-IDF feature dimensions.</w:t>
        <w:br/>
        <w:t>- Assumes the label annotations are accurate representations of ground truth.</w:t>
        <w:br/>
        <w:br/>
        <w:t>Benchmarking:</w:t>
        <w:br/>
        <w:t>- Compared to Logistic Regression and Naive Bayes baselines; LightGBM outperformed both by 6–8% in F1 score.</w:t>
        <w:br/>
        <w:t>- A small BERT-based classifier was tested but did not outperform LightGBM.</w:t>
        <w:br/>
        <w:br/>
        <w:t>Sound Practices:</w:t>
        <w:br/>
        <w:t>- 80/20 stratified train-test split.</w:t>
        <w:br/>
        <w:t>- Performance metrics validated using 5-fold cross-validation.</w:t>
        <w:br/>
      </w:r>
    </w:p>
    <w:p>
      <w:pPr>
        <w:pStyle w:val="Heading2"/>
      </w:pPr>
      <w:r>
        <w:t>2.4 Explainability and Interpretability</w:t>
      </w:r>
    </w:p>
    <w:p>
      <w:r>
        <w:br/>
        <w:t>Interpretability Strategy:</w:t>
        <w:br/>
        <w:t>- LightGBM provides inherent interpretability via feature importance.</w:t>
        <w:br/>
        <w:br/>
        <w:t>Global Interpretability:</w:t>
        <w:br/>
        <w:t>- Top 10 TF-IDF terms contributing to classification were reviewed by SMEs and matched known EFA indicators.</w:t>
        <w:br/>
        <w:br/>
        <w:t>Local Interpretability:</w:t>
        <w:br/>
        <w:t>- SHAP analysis was used to explain individual prediction outcomes.</w:t>
        <w:br/>
        <w:br/>
        <w:t>Adverse Action Readiness:</w:t>
        <w:br/>
        <w:t>- Model provides human-readable term importance for flagged notes, suitable for audit and compliance traceability.</w:t>
        <w:br/>
      </w:r>
    </w:p>
    <w:p>
      <w:pPr>
        <w:pStyle w:val="Heading2"/>
      </w:pPr>
      <w:r>
        <w:t>2.5 Parameter and Hyperparameter Optimization</w:t>
      </w:r>
    </w:p>
    <w:p>
      <w:r>
        <w:br/>
        <w:t>Parameter Estimation:</w:t>
        <w:br/>
        <w:t>- LightGBM model trained using default parameters optimized for binary classification with log-loss.</w:t>
        <w:br/>
        <w:br/>
        <w:t>Hyperparameter Tuning:</w:t>
        <w:br/>
        <w:t>- Conducted via random search across learning_rate, max_depth, and num_leaves.</w:t>
        <w:br/>
        <w:t>- Optimal values found: learning_rate=0.05, max_depth=7, num_leaves=31</w:t>
        <w:br/>
        <w:br/>
        <w:t>Stability Testing:</w:t>
        <w:br/>
        <w:t>- Model tested with five different random seeds and yielded stable precision/recall within 2% variance.</w:t>
        <w:br/>
      </w:r>
    </w:p>
    <w:p>
      <w:pPr>
        <w:pStyle w:val="Heading1"/>
      </w:pPr>
      <w:r>
        <w:t>3. Appendices</w:t>
      </w:r>
    </w:p>
    <w:p>
      <w:pPr>
        <w:pStyle w:val="Heading2"/>
      </w:pPr>
      <w:r>
        <w:t>3.1 Feature Dictionary</w:t>
      </w:r>
    </w:p>
    <w:p>
      <w:r>
        <w:br/>
        <w:t>| Feature Name        | Description                              | Source         | Type     | Transformation | Role     |</w:t>
        <w:br/>
        <w:t>|---------------------|------------------------------------------|----------------|----------|----------------|----------|</w:t>
        <w:br/>
        <w:t>| tfidf_&lt;term&gt;        | Term Frequency-Inverse Document Frequency | NLP pipeline   | Numeric  | TF-IDF         | Predictor|</w:t>
        <w:br/>
        <w:t>| word_count          | Number of words in the note               | Derived        | Integer  | None           | Predictor|</w:t>
        <w:br/>
        <w:t>| has_efa_keywords    | Binary flag for known EFA terms present   | Derived        | Boolean  | Keyword match  | Predictor|</w:t>
        <w:br/>
        <w:t>| sentiment_score     | Sentiment polarity score                  | NLP pipeline   | Float    | TextBlob       | Predictor|</w:t>
        <w:br/>
        <w:t>| label               | EFA or Non-EFA                            | Human expert   | Categorical| None          | Target   |</w:t>
        <w:br/>
      </w:r>
    </w:p>
    <w:p>
      <w:pPr>
        <w:pStyle w:val="Heading2"/>
      </w:pPr>
      <w:r>
        <w:t>3.2 Acronyms and Abbreviations</w:t>
      </w:r>
    </w:p>
    <w:p>
      <w:r>
        <w:br/>
        <w:t xml:space="preserve">EFA – Elder Financial Abuse  </w:t>
        <w:br/>
        <w:t xml:space="preserve">TF-IDF – Term Frequency-Inverse Document Frequency  </w:t>
        <w:br/>
        <w:t xml:space="preserve">SME – Subject Matter Expert  </w:t>
        <w:br/>
        <w:t xml:space="preserve">SHAP – SHapley Additive exPlanations  </w:t>
        <w:br/>
      </w:r>
    </w:p>
    <w:p>
      <w:pPr>
        <w:pStyle w:val="Heading2"/>
      </w:pPr>
      <w:r>
        <w:t>3.3 References</w:t>
      </w:r>
    </w:p>
    <w:p>
      <w:r>
        <w:br/>
        <w:t xml:space="preserve">- SR 11-7: Supervisory Guidance on Model Risk Management, Federal Reserve, 2011.  </w:t>
        <w:br/>
        <w:t xml:space="preserve">- Sudjianto, A. &amp; Zhang, A. (2024). Model Validation Practice in Banking: A Structured Approach for Predictive Models.  </w:t>
        <w:br/>
        <w:t xml:space="preserve">- LightGBM Documentation: https://lightgbm.readthedocs.io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