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BB" w:rsidRDefault="006573DF" w:rsidP="006573DF">
      <w:pPr>
        <w:ind w:left="-270" w:right="-450" w:firstLine="270"/>
      </w:pPr>
      <w:r>
        <w:rPr>
          <w:noProof/>
        </w:rPr>
        <w:drawing>
          <wp:inline distT="0" distB="0" distL="0" distR="0">
            <wp:extent cx="4373064" cy="3200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064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55FE1" wp14:editId="18EC0512">
            <wp:extent cx="4370832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3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DF" w:rsidRDefault="00121EB5" w:rsidP="006573DF">
      <w:pPr>
        <w:ind w:left="-270" w:right="-450" w:firstLine="270"/>
      </w:pPr>
      <w:r>
        <w:rPr>
          <w:noProof/>
        </w:rPr>
        <w:drawing>
          <wp:inline distT="0" distB="0" distL="0" distR="0">
            <wp:extent cx="4370832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3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038">
        <w:rPr>
          <w:noProof/>
        </w:rPr>
        <w:drawing>
          <wp:inline distT="0" distB="0" distL="0" distR="0">
            <wp:extent cx="4370832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3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89" w:rsidRDefault="004E0E89" w:rsidP="006573DF">
      <w:pPr>
        <w:ind w:left="-270" w:right="-450" w:firstLine="270"/>
      </w:pPr>
    </w:p>
    <w:tbl>
      <w:tblPr>
        <w:tblW w:w="6958" w:type="dxa"/>
        <w:tblInd w:w="93" w:type="dxa"/>
        <w:tblLook w:val="04A0" w:firstRow="1" w:lastRow="0" w:firstColumn="1" w:lastColumn="0" w:noHBand="0" w:noVBand="1"/>
      </w:tblPr>
      <w:tblGrid>
        <w:gridCol w:w="3013"/>
        <w:gridCol w:w="1441"/>
        <w:gridCol w:w="1417"/>
        <w:gridCol w:w="1087"/>
      </w:tblGrid>
      <w:tr w:rsidR="004E0E89" w:rsidRPr="004E0E89" w:rsidTr="004E0E89">
        <w:trPr>
          <w:trHeight w:val="300"/>
        </w:trPr>
        <w:tc>
          <w:tcPr>
            <w:tcW w:w="69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lastRenderedPageBreak/>
              <w:t>Financial Flows to Developing Countries (billions of current USD)</w:t>
            </w:r>
          </w:p>
        </w:tc>
      </w:tr>
      <w:tr w:rsidR="004E0E89" w:rsidRPr="004E0E89" w:rsidTr="004E0E89">
        <w:trPr>
          <w:trHeight w:val="300"/>
        </w:trPr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2000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2012</w:t>
            </w:r>
          </w:p>
        </w:tc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% Growth</w:t>
            </w:r>
          </w:p>
        </w:tc>
      </w:tr>
      <w:tr w:rsidR="004E0E89" w:rsidRPr="004E0E89" w:rsidTr="004E0E89">
        <w:trPr>
          <w:trHeight w:val="300"/>
        </w:trPr>
        <w:tc>
          <w:tcPr>
            <w:tcW w:w="30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ODA and other official flows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   40.6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122.5 </w:t>
            </w:r>
          </w:p>
        </w:tc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202%</w:t>
            </w:r>
          </w:p>
        </w:tc>
      </w:tr>
      <w:tr w:rsidR="004E0E89" w:rsidRPr="004E0E89" w:rsidTr="004E0E89">
        <w:trPr>
          <w:trHeight w:val="300"/>
        </w:trPr>
        <w:tc>
          <w:tcPr>
            <w:tcW w:w="30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Remittances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   84.6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365.6 </w:t>
            </w:r>
          </w:p>
        </w:tc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332%</w:t>
            </w:r>
          </w:p>
        </w:tc>
      </w:tr>
      <w:tr w:rsidR="004E0E89" w:rsidRPr="004E0E89" w:rsidTr="004E0E89">
        <w:trPr>
          <w:trHeight w:val="300"/>
        </w:trPr>
        <w:tc>
          <w:tcPr>
            <w:tcW w:w="30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Private Flows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   46.3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186.8 </w:t>
            </w:r>
          </w:p>
        </w:tc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303%</w:t>
            </w:r>
          </w:p>
        </w:tc>
      </w:tr>
      <w:tr w:rsidR="004E0E89" w:rsidRPr="004E0E89" w:rsidTr="004E0E89">
        <w:trPr>
          <w:trHeight w:val="300"/>
        </w:trPr>
        <w:tc>
          <w:tcPr>
            <w:tcW w:w="30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Revenue (General)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1,677.9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8,116.1 </w:t>
            </w:r>
          </w:p>
        </w:tc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0E89" w:rsidRPr="004E0E89" w:rsidRDefault="004E0E89" w:rsidP="004E0E8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E0E89">
              <w:rPr>
                <w:rFonts w:ascii="Calibri" w:eastAsia="Times New Roman" w:hAnsi="Calibri" w:cs="Calibri"/>
                <w:color w:val="000000"/>
                <w:sz w:val="22"/>
              </w:rPr>
              <w:t>384%</w:t>
            </w:r>
          </w:p>
        </w:tc>
      </w:tr>
    </w:tbl>
    <w:p w:rsidR="004E0E89" w:rsidRDefault="004E0E89" w:rsidP="006573DF">
      <w:pPr>
        <w:ind w:left="-270" w:right="-450" w:firstLine="270"/>
      </w:pPr>
      <w:bookmarkStart w:id="0" w:name="_GoBack"/>
      <w:bookmarkEnd w:id="0"/>
    </w:p>
    <w:sectPr w:rsidR="004E0E89" w:rsidSect="00121EB5">
      <w:pgSz w:w="15840" w:h="12240" w:orient="landscape"/>
      <w:pgMar w:top="810" w:right="81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DF"/>
    <w:rsid w:val="00121EB5"/>
    <w:rsid w:val="004671BB"/>
    <w:rsid w:val="004E0E89"/>
    <w:rsid w:val="004F7038"/>
    <w:rsid w:val="0065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3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3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4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USAID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Chafetz (E3/PLC)</dc:creator>
  <cp:lastModifiedBy>Aaron Chafetz (E3/PLC)</cp:lastModifiedBy>
  <cp:revision>2</cp:revision>
  <cp:lastPrinted>2015-05-26T21:56:00Z</cp:lastPrinted>
  <dcterms:created xsi:type="dcterms:W3CDTF">2015-05-26T21:15:00Z</dcterms:created>
  <dcterms:modified xsi:type="dcterms:W3CDTF">2015-05-26T22:33:00Z</dcterms:modified>
</cp:coreProperties>
</file>