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4628CB" w14:textId="18EF08BF" w:rsidR="004176F0" w:rsidRPr="0093796F" w:rsidRDefault="006E199B" w:rsidP="0093796F">
      <w:pPr>
        <w:spacing w:after="40" w:line="360" w:lineRule="auto"/>
        <w:rPr>
          <w:rFonts w:ascii="Times New Roman" w:hAnsi="Times New Roman" w:cs="Times New Roman"/>
          <w:color w:val="000000" w:themeColor="text1"/>
          <w:sz w:val="24"/>
          <w:szCs w:val="24"/>
        </w:rPr>
      </w:pPr>
      <w:r w:rsidRPr="0093796F">
        <w:rPr>
          <w:rFonts w:ascii="Times New Roman" w:hAnsi="Times New Roman" w:cs="Times New Roman"/>
          <w:color w:val="000000" w:themeColor="text1"/>
          <w:sz w:val="24"/>
          <w:szCs w:val="24"/>
        </w:rPr>
        <w:t>ESMT Berlin</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 MSc Analytics &amp; Artificial Intelligence | Master's Thesis Proposal</w:t>
      </w:r>
      <w:r w:rsidR="0052137E" w:rsidRPr="0093796F">
        <w:rPr>
          <w:rFonts w:ascii="Times New Roman" w:hAnsi="Times New Roman" w:cs="Times New Roman"/>
          <w:color w:val="000000" w:themeColor="text1"/>
          <w:sz w:val="24"/>
          <w:szCs w:val="24"/>
        </w:rPr>
        <w:t xml:space="preserve"> </w:t>
      </w:r>
      <w:r w:rsidR="00711E4B" w:rsidRPr="0093796F">
        <w:rPr>
          <w:rFonts w:ascii="Times New Roman" w:hAnsi="Times New Roman" w:cs="Times New Roman"/>
          <w:color w:val="000000" w:themeColor="text1"/>
          <w:sz w:val="24"/>
          <w:szCs w:val="24"/>
        </w:rPr>
        <w:t>| March 2026</w:t>
      </w:r>
    </w:p>
    <w:p w14:paraId="719A6BB4" w14:textId="41D64A7E" w:rsidR="0052137E" w:rsidRPr="0093796F" w:rsidRDefault="00711E4B" w:rsidP="0093796F">
      <w:pPr>
        <w:spacing w:after="40" w:line="360" w:lineRule="auto"/>
        <w:rPr>
          <w:rFonts w:ascii="Times New Roman" w:hAnsi="Times New Roman" w:cs="Times New Roman"/>
          <w:color w:val="000000" w:themeColor="text1"/>
          <w:sz w:val="24"/>
          <w:szCs w:val="24"/>
        </w:rPr>
      </w:pPr>
      <w:r w:rsidRPr="0093796F">
        <w:rPr>
          <w:rFonts w:ascii="Times New Roman" w:hAnsi="Times New Roman" w:cs="Times New Roman"/>
          <w:color w:val="000000" w:themeColor="text1"/>
          <w:sz w:val="24"/>
          <w:szCs w:val="24"/>
        </w:rPr>
        <w:t xml:space="preserve">Authors: </w:t>
      </w:r>
      <w:r w:rsidR="0052137E" w:rsidRPr="0093796F">
        <w:rPr>
          <w:rFonts w:ascii="Times New Roman" w:hAnsi="Times New Roman" w:cs="Times New Roman"/>
          <w:color w:val="000000" w:themeColor="text1"/>
          <w:sz w:val="24"/>
          <w:szCs w:val="24"/>
        </w:rPr>
        <w:t xml:space="preserve">Jean-Christophe </w:t>
      </w:r>
      <w:proofErr w:type="spellStart"/>
      <w:r w:rsidR="0052137E" w:rsidRPr="0093796F">
        <w:rPr>
          <w:rFonts w:ascii="Times New Roman" w:hAnsi="Times New Roman" w:cs="Times New Roman"/>
          <w:color w:val="000000" w:themeColor="text1"/>
          <w:sz w:val="24"/>
          <w:szCs w:val="24"/>
        </w:rPr>
        <w:t>Scheider</w:t>
      </w:r>
      <w:proofErr w:type="spellEnd"/>
      <w:r w:rsidR="0052137E" w:rsidRPr="0093796F">
        <w:rPr>
          <w:rFonts w:ascii="Times New Roman" w:hAnsi="Times New Roman" w:cs="Times New Roman"/>
          <w:color w:val="000000" w:themeColor="text1"/>
          <w:sz w:val="24"/>
          <w:szCs w:val="24"/>
        </w:rPr>
        <w:t xml:space="preserve"> &amp; Arjun Chahal</w:t>
      </w:r>
    </w:p>
    <w:p w14:paraId="2F97CFFC" w14:textId="77777777" w:rsidR="004176F0" w:rsidRPr="004D6855" w:rsidRDefault="004176F0" w:rsidP="0093796F">
      <w:pPr>
        <w:pBdr>
          <w:bottom w:val="single" w:sz="8" w:space="1" w:color="1F3864"/>
        </w:pBdr>
        <w:spacing w:after="200" w:line="360" w:lineRule="auto"/>
        <w:rPr>
          <w:rFonts w:ascii="Times New Roman" w:hAnsi="Times New Roman" w:cs="Times New Roman"/>
          <w:sz w:val="24"/>
          <w:szCs w:val="24"/>
        </w:rPr>
      </w:pPr>
    </w:p>
    <w:p w14:paraId="6E12C106" w14:textId="77777777" w:rsidR="004176F0" w:rsidRPr="0093796F" w:rsidRDefault="006E199B" w:rsidP="0093796F">
      <w:pPr>
        <w:spacing w:before="140" w:after="60" w:line="360" w:lineRule="auto"/>
        <w:rPr>
          <w:rFonts w:ascii="Times New Roman" w:hAnsi="Times New Roman" w:cs="Times New Roman"/>
          <w:sz w:val="32"/>
          <w:szCs w:val="32"/>
        </w:rPr>
      </w:pPr>
      <w:r w:rsidRPr="0093796F">
        <w:rPr>
          <w:rFonts w:ascii="Times New Roman" w:hAnsi="Times New Roman" w:cs="Times New Roman"/>
          <w:b/>
          <w:bCs/>
          <w:color w:val="1F3864"/>
          <w:sz w:val="32"/>
          <w:szCs w:val="32"/>
        </w:rPr>
        <w:t>Trading on Information:</w:t>
      </w:r>
    </w:p>
    <w:p w14:paraId="735BBD70" w14:textId="1F372A5E" w:rsidR="00711E4B" w:rsidRDefault="00711E4B" w:rsidP="0093796F">
      <w:pPr>
        <w:spacing w:after="60" w:line="360" w:lineRule="auto"/>
        <w:rPr>
          <w:rFonts w:ascii="Times New Roman" w:hAnsi="Times New Roman" w:cs="Times New Roman"/>
          <w:sz w:val="24"/>
          <w:szCs w:val="24"/>
        </w:rPr>
      </w:pPr>
      <w:r w:rsidRPr="004D6855">
        <w:rPr>
          <w:rFonts w:ascii="Times New Roman" w:hAnsi="Times New Roman" w:cs="Times New Roman"/>
          <w:b/>
          <w:bCs/>
          <w:color w:val="2E75B6"/>
          <w:sz w:val="24"/>
          <w:szCs w:val="24"/>
        </w:rPr>
        <w:t xml:space="preserve">Fusing Alternative Data Signals and Supply-Chain Propagation </w:t>
      </w:r>
      <w:r w:rsidR="006E199B" w:rsidRPr="004D6855">
        <w:rPr>
          <w:rFonts w:ascii="Times New Roman" w:hAnsi="Times New Roman" w:cs="Times New Roman"/>
          <w:b/>
          <w:bCs/>
          <w:color w:val="2E75B6"/>
          <w:sz w:val="24"/>
          <w:szCs w:val="24"/>
        </w:rPr>
        <w:t>in the German Equity Market</w:t>
      </w:r>
    </w:p>
    <w:p w14:paraId="22610A81" w14:textId="77777777" w:rsidR="004D6855" w:rsidRPr="004D6855" w:rsidRDefault="004D6855" w:rsidP="0093796F">
      <w:pPr>
        <w:spacing w:after="60" w:line="360" w:lineRule="auto"/>
        <w:rPr>
          <w:rFonts w:ascii="Times New Roman" w:hAnsi="Times New Roman" w:cs="Times New Roman"/>
          <w:sz w:val="24"/>
          <w:szCs w:val="24"/>
        </w:rPr>
      </w:pPr>
    </w:p>
    <w:p w14:paraId="6582511D" w14:textId="5B374B97" w:rsidR="004176F0" w:rsidRPr="004D6855" w:rsidRDefault="00711E4B" w:rsidP="0093796F">
      <w:pPr>
        <w:spacing w:before="200" w:after="60" w:line="360" w:lineRule="auto"/>
        <w:rPr>
          <w:rFonts w:ascii="Times New Roman" w:hAnsi="Times New Roman" w:cs="Times New Roman"/>
          <w:sz w:val="24"/>
          <w:szCs w:val="24"/>
        </w:rPr>
      </w:pPr>
      <w:r w:rsidRPr="004D6855">
        <w:rPr>
          <w:rFonts w:ascii="Times New Roman" w:hAnsi="Times New Roman" w:cs="Times New Roman"/>
          <w:b/>
          <w:bCs/>
          <w:color w:val="2E75B6"/>
          <w:sz w:val="24"/>
          <w:szCs w:val="24"/>
        </w:rPr>
        <w:t>1</w:t>
      </w:r>
      <w:r w:rsidR="006E199B" w:rsidRPr="004D6855">
        <w:rPr>
          <w:rFonts w:ascii="Times New Roman" w:hAnsi="Times New Roman" w:cs="Times New Roman"/>
          <w:b/>
          <w:bCs/>
          <w:color w:val="2E75B6"/>
          <w:sz w:val="24"/>
          <w:szCs w:val="24"/>
        </w:rPr>
        <w:t>.  Research Question</w:t>
      </w:r>
    </w:p>
    <w:p w14:paraId="45FB0319" w14:textId="2FBD8091" w:rsidR="004D6855" w:rsidRPr="0093796F" w:rsidRDefault="00711E4B" w:rsidP="0093796F">
      <w:pPr>
        <w:spacing w:line="360" w:lineRule="auto"/>
        <w:rPr>
          <w:rFonts w:ascii="Times New Roman" w:eastAsia="Times New Roman" w:hAnsi="Times New Roman" w:cs="Times New Roman"/>
          <w:color w:val="000000" w:themeColor="text1"/>
          <w:sz w:val="24"/>
          <w:szCs w:val="24"/>
        </w:rPr>
      </w:pPr>
      <w:r w:rsidRPr="0093796F">
        <w:rPr>
          <w:rFonts w:ascii="Times New Roman" w:hAnsi="Times New Roman" w:cs="Times New Roman"/>
          <w:color w:val="000000" w:themeColor="text1"/>
          <w:sz w:val="24"/>
          <w:szCs w:val="24"/>
        </w:rPr>
        <w:t>Can the integration of firm-specific</w:t>
      </w:r>
      <w:r w:rsidR="006E199B" w:rsidRPr="0093796F">
        <w:rPr>
          <w:rFonts w:ascii="Times New Roman" w:hAnsi="Times New Roman" w:cs="Times New Roman"/>
          <w:color w:val="000000" w:themeColor="text1"/>
          <w:sz w:val="24"/>
          <w:szCs w:val="24"/>
        </w:rPr>
        <w:t xml:space="preserve"> alternative financial signals, specifically analyst</w:t>
      </w:r>
      <w:r w:rsidRPr="0093796F">
        <w:rPr>
          <w:rFonts w:ascii="Times New Roman" w:hAnsi="Times New Roman" w:cs="Times New Roman"/>
          <w:color w:val="000000" w:themeColor="text1"/>
          <w:sz w:val="24"/>
          <w:szCs w:val="24"/>
        </w:rPr>
        <w:t xml:space="preserve"> </w:t>
      </w:r>
      <w:r w:rsidR="006E199B" w:rsidRPr="0093796F">
        <w:rPr>
          <w:rFonts w:ascii="Times New Roman" w:hAnsi="Times New Roman" w:cs="Times New Roman"/>
          <w:color w:val="000000" w:themeColor="text1"/>
          <w:sz w:val="24"/>
          <w:szCs w:val="24"/>
        </w:rPr>
        <w:t xml:space="preserve">momentum, short interest, earnings surprise, and </w:t>
      </w:r>
      <w:proofErr w:type="spellStart"/>
      <w:r w:rsidRPr="0093796F">
        <w:rPr>
          <w:rFonts w:ascii="Times New Roman" w:hAnsi="Times New Roman" w:cs="Times New Roman"/>
          <w:color w:val="000000" w:themeColor="text1"/>
          <w:sz w:val="24"/>
          <w:szCs w:val="24"/>
        </w:rPr>
        <w:t>WpHG</w:t>
      </w:r>
      <w:proofErr w:type="spellEnd"/>
      <w:r w:rsidRPr="0093796F">
        <w:rPr>
          <w:rFonts w:ascii="Times New Roman" w:hAnsi="Times New Roman" w:cs="Times New Roman"/>
          <w:color w:val="000000" w:themeColor="text1"/>
          <w:sz w:val="24"/>
          <w:szCs w:val="24"/>
        </w:rPr>
        <w:t xml:space="preserve"> </w:t>
      </w:r>
      <w:r w:rsidR="006E199B" w:rsidRPr="0093796F">
        <w:rPr>
          <w:rFonts w:ascii="Times New Roman" w:hAnsi="Times New Roman" w:cs="Times New Roman"/>
          <w:color w:val="000000" w:themeColor="text1"/>
          <w:sz w:val="24"/>
          <w:szCs w:val="24"/>
        </w:rPr>
        <w:t>insider transaction filings</w:t>
      </w:r>
      <w:r w:rsidRPr="0093796F">
        <w:rPr>
          <w:rFonts w:ascii="Times New Roman" w:hAnsi="Times New Roman" w:cs="Times New Roman"/>
          <w:color w:val="000000" w:themeColor="text1"/>
          <w:sz w:val="24"/>
          <w:szCs w:val="24"/>
        </w:rPr>
        <w:t xml:space="preserve">, with a Graph Neural Network (GNN) that </w:t>
      </w:r>
      <w:r w:rsidR="006D23C3" w:rsidRPr="006D23C3">
        <w:rPr>
          <w:rFonts w:ascii="Times New Roman" w:hAnsi="Times New Roman" w:cs="Times New Roman"/>
          <w:color w:val="000000" w:themeColor="text1"/>
          <w:sz w:val="24"/>
          <w:szCs w:val="24"/>
        </w:rPr>
        <w:t xml:space="preserve">models the relational propagation </w:t>
      </w:r>
      <w:r w:rsidRPr="0093796F">
        <w:rPr>
          <w:rFonts w:ascii="Times New Roman" w:hAnsi="Times New Roman" w:cs="Times New Roman"/>
          <w:color w:val="000000" w:themeColor="text1"/>
          <w:sz w:val="24"/>
          <w:szCs w:val="24"/>
        </w:rPr>
        <w:t xml:space="preserve">across revenue-concentrated supply chains </w:t>
      </w:r>
      <w:r w:rsidR="006E199B" w:rsidRPr="0093796F">
        <w:rPr>
          <w:rFonts w:ascii="Times New Roman" w:hAnsi="Times New Roman" w:cs="Times New Roman"/>
          <w:color w:val="000000" w:themeColor="text1"/>
          <w:sz w:val="24"/>
          <w:szCs w:val="24"/>
        </w:rPr>
        <w:t xml:space="preserve">generate statistically significant return predictions in the German equity market? </w:t>
      </w:r>
      <w:r w:rsidR="00D27CDC" w:rsidRPr="0093796F">
        <w:rPr>
          <w:rFonts w:ascii="Times New Roman" w:eastAsia="Times New Roman" w:hAnsi="Times New Roman" w:cs="Times New Roman"/>
          <w:color w:val="000000" w:themeColor="text1"/>
          <w:sz w:val="24"/>
          <w:szCs w:val="24"/>
        </w:rPr>
        <w:t xml:space="preserve">Furthermore, can a hybrid machine learning framework identify which signals and network nodes carry the most predictive weight across firm segments and market regimes, and does this "Network Alpha" survive risk adjustment and transaction costs? </w:t>
      </w:r>
    </w:p>
    <w:p w14:paraId="57690616" w14:textId="77777777" w:rsidR="004176F0" w:rsidRPr="004D6855" w:rsidRDefault="004176F0" w:rsidP="0093796F">
      <w:pPr>
        <w:spacing w:before="80" w:line="360" w:lineRule="auto"/>
        <w:rPr>
          <w:rFonts w:ascii="Times New Roman" w:hAnsi="Times New Roman" w:cs="Times New Roman"/>
          <w:sz w:val="24"/>
          <w:szCs w:val="24"/>
        </w:rPr>
      </w:pPr>
    </w:p>
    <w:p w14:paraId="5A959EF6" w14:textId="7A74503E" w:rsidR="004176F0" w:rsidRPr="004D6855" w:rsidRDefault="00711E4B" w:rsidP="0093796F">
      <w:pPr>
        <w:spacing w:before="200" w:after="60" w:line="360" w:lineRule="auto"/>
        <w:rPr>
          <w:rFonts w:ascii="Times New Roman" w:hAnsi="Times New Roman" w:cs="Times New Roman"/>
          <w:sz w:val="24"/>
          <w:szCs w:val="24"/>
        </w:rPr>
      </w:pPr>
      <w:r w:rsidRPr="004D6855">
        <w:rPr>
          <w:rFonts w:ascii="Times New Roman" w:hAnsi="Times New Roman" w:cs="Times New Roman"/>
          <w:b/>
          <w:bCs/>
          <w:color w:val="2E75B6"/>
          <w:sz w:val="24"/>
          <w:szCs w:val="24"/>
        </w:rPr>
        <w:t>2</w:t>
      </w:r>
      <w:r w:rsidR="006E199B" w:rsidRPr="004D6855">
        <w:rPr>
          <w:rFonts w:ascii="Times New Roman" w:hAnsi="Times New Roman" w:cs="Times New Roman"/>
          <w:b/>
          <w:bCs/>
          <w:color w:val="2E75B6"/>
          <w:sz w:val="24"/>
          <w:szCs w:val="24"/>
        </w:rPr>
        <w:t>.  Background and Motivation</w:t>
      </w:r>
    </w:p>
    <w:p w14:paraId="6EE09D7E" w14:textId="77777777" w:rsidR="0093796F" w:rsidRDefault="006E199B" w:rsidP="0093796F">
      <w:pPr>
        <w:spacing w:before="60" w:after="60" w:line="360" w:lineRule="auto"/>
        <w:jc w:val="both"/>
        <w:rPr>
          <w:rFonts w:ascii="Times New Roman" w:hAnsi="Times New Roman" w:cs="Times New Roman"/>
          <w:color w:val="000000" w:themeColor="text1"/>
          <w:sz w:val="24"/>
          <w:szCs w:val="24"/>
        </w:rPr>
      </w:pPr>
      <w:r w:rsidRPr="0093796F">
        <w:rPr>
          <w:rFonts w:ascii="Times New Roman" w:hAnsi="Times New Roman" w:cs="Times New Roman"/>
          <w:color w:val="000000" w:themeColor="text1"/>
          <w:sz w:val="24"/>
          <w:szCs w:val="24"/>
        </w:rPr>
        <w:t>Equity markets are assumed to be informationally efficient under the Efficient Market Hypothesis (</w:t>
      </w:r>
      <w:proofErr w:type="spellStart"/>
      <w:r w:rsidRPr="0093796F">
        <w:rPr>
          <w:rFonts w:ascii="Times New Roman" w:hAnsi="Times New Roman" w:cs="Times New Roman"/>
          <w:color w:val="000000" w:themeColor="text1"/>
          <w:sz w:val="24"/>
          <w:szCs w:val="24"/>
        </w:rPr>
        <w:t>Fama</w:t>
      </w:r>
      <w:proofErr w:type="spellEnd"/>
      <w:r w:rsidRPr="0093796F">
        <w:rPr>
          <w:rFonts w:ascii="Times New Roman" w:hAnsi="Times New Roman" w:cs="Times New Roman"/>
          <w:color w:val="000000" w:themeColor="text1"/>
          <w:sz w:val="24"/>
          <w:szCs w:val="24"/>
        </w:rPr>
        <w:t>, 1970), yet decades of empirical research have identified persistent anomalies suggesting that certain signals systematically predict returns. The foundational decomposition framework of Conrad and Kaul (1998) established that the profitability of any trading strategy depends critically on the holding horizon and cross</w:t>
      </w:r>
      <w:r w:rsidR="00711E4B" w:rsidRPr="0093796F">
        <w:rPr>
          <w:rFonts w:ascii="Times New Roman" w:hAnsi="Times New Roman" w:cs="Times New Roman"/>
          <w:color w:val="000000" w:themeColor="text1"/>
          <w:sz w:val="24"/>
          <w:szCs w:val="24"/>
        </w:rPr>
        <w:t>-</w:t>
      </w:r>
      <w:r w:rsidRPr="0093796F">
        <w:rPr>
          <w:rFonts w:ascii="Times New Roman" w:hAnsi="Times New Roman" w:cs="Times New Roman"/>
          <w:color w:val="000000" w:themeColor="text1"/>
          <w:sz w:val="24"/>
          <w:szCs w:val="24"/>
        </w:rPr>
        <w:t xml:space="preserve">sectional variation in expected returns, making rigorous signal attribution a methodological requirement rather than an afterthought. More recent work, most notably Gu, Kelly, and </w:t>
      </w:r>
      <w:proofErr w:type="spellStart"/>
      <w:r w:rsidRPr="0093796F">
        <w:rPr>
          <w:rFonts w:ascii="Times New Roman" w:hAnsi="Times New Roman" w:cs="Times New Roman"/>
          <w:color w:val="000000" w:themeColor="text1"/>
          <w:sz w:val="24"/>
          <w:szCs w:val="24"/>
        </w:rPr>
        <w:t>Xiu</w:t>
      </w:r>
      <w:proofErr w:type="spellEnd"/>
      <w:r w:rsidRPr="0093796F">
        <w:rPr>
          <w:rFonts w:ascii="Times New Roman" w:hAnsi="Times New Roman" w:cs="Times New Roman"/>
          <w:color w:val="000000" w:themeColor="text1"/>
          <w:sz w:val="24"/>
          <w:szCs w:val="24"/>
        </w:rPr>
        <w:t xml:space="preserve"> (2020), demonstrates that machine learning models trained on broad signal sets can generate economically significant out</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of</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sample alpha in US equity markets, with gradient</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boosted trees and neural networks outperforming classical factor models when signals interact non</w:t>
      </w:r>
      <w:r w:rsidR="00711E4B" w:rsidRPr="0093796F">
        <w:rPr>
          <w:rFonts w:ascii="Times New Roman" w:hAnsi="Times New Roman" w:cs="Times New Roman"/>
          <w:color w:val="000000" w:themeColor="text1"/>
          <w:sz w:val="24"/>
          <w:szCs w:val="24"/>
        </w:rPr>
        <w:t>-</w:t>
      </w:r>
      <w:r w:rsidRPr="0093796F">
        <w:rPr>
          <w:rFonts w:ascii="Times New Roman" w:hAnsi="Times New Roman" w:cs="Times New Roman"/>
          <w:color w:val="000000" w:themeColor="text1"/>
          <w:sz w:val="24"/>
          <w:szCs w:val="24"/>
        </w:rPr>
        <w:t>linearly.</w:t>
      </w:r>
    </w:p>
    <w:p w14:paraId="28605614" w14:textId="04CAB078" w:rsidR="004176F0" w:rsidRDefault="006E199B" w:rsidP="0093796F">
      <w:pPr>
        <w:spacing w:before="60" w:after="60" w:line="360" w:lineRule="auto"/>
        <w:jc w:val="both"/>
        <w:rPr>
          <w:rFonts w:ascii="Times New Roman" w:hAnsi="Times New Roman" w:cs="Times New Roman"/>
          <w:color w:val="000000" w:themeColor="text1"/>
          <w:sz w:val="24"/>
          <w:szCs w:val="24"/>
        </w:rPr>
      </w:pPr>
      <w:r w:rsidRPr="0093796F">
        <w:rPr>
          <w:rFonts w:ascii="Times New Roman" w:hAnsi="Times New Roman" w:cs="Times New Roman"/>
          <w:color w:val="000000" w:themeColor="text1"/>
          <w:sz w:val="24"/>
          <w:szCs w:val="24"/>
        </w:rPr>
        <w:t>Despite this growing literature, the German equity market remains substantially underexplored as a testing ground for signal</w:t>
      </w:r>
      <w:r w:rsidR="00711E4B" w:rsidRPr="0093796F">
        <w:rPr>
          <w:rFonts w:ascii="Times New Roman" w:hAnsi="Times New Roman" w:cs="Times New Roman"/>
          <w:color w:val="000000" w:themeColor="text1"/>
          <w:sz w:val="24"/>
          <w:szCs w:val="24"/>
        </w:rPr>
        <w:t>-</w:t>
      </w:r>
      <w:r w:rsidRPr="0093796F">
        <w:rPr>
          <w:rFonts w:ascii="Times New Roman" w:hAnsi="Times New Roman" w:cs="Times New Roman"/>
          <w:color w:val="000000" w:themeColor="text1"/>
          <w:sz w:val="24"/>
          <w:szCs w:val="24"/>
        </w:rPr>
        <w:t>based strategies. This gap is consequential for three structural reasons. First, Germany's ownership architecture, characterized by large block</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holders, cross</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 xml:space="preserve">shareholdings, and a historically dominant </w:t>
      </w:r>
      <w:proofErr w:type="spellStart"/>
      <w:r w:rsidRPr="0093796F">
        <w:rPr>
          <w:rFonts w:ascii="Times New Roman" w:hAnsi="Times New Roman" w:cs="Times New Roman"/>
          <w:color w:val="000000" w:themeColor="text1"/>
          <w:sz w:val="24"/>
          <w:szCs w:val="24"/>
        </w:rPr>
        <w:t>Hausbank</w:t>
      </w:r>
      <w:proofErr w:type="spellEnd"/>
      <w:r w:rsidRPr="0093796F">
        <w:rPr>
          <w:rFonts w:ascii="Times New Roman" w:hAnsi="Times New Roman" w:cs="Times New Roman"/>
          <w:color w:val="000000" w:themeColor="text1"/>
          <w:sz w:val="24"/>
          <w:szCs w:val="24"/>
        </w:rPr>
        <w:t xml:space="preserve"> system, creates information asymmetries that differ fundamentally from the dispersed</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 xml:space="preserve">ownership US context, potentially allowing </w:t>
      </w:r>
      <w:proofErr w:type="spellStart"/>
      <w:r w:rsidRPr="0093796F">
        <w:rPr>
          <w:rFonts w:ascii="Times New Roman" w:hAnsi="Times New Roman" w:cs="Times New Roman"/>
          <w:color w:val="000000" w:themeColor="text1"/>
          <w:sz w:val="24"/>
          <w:szCs w:val="24"/>
        </w:rPr>
        <w:t>mispricings</w:t>
      </w:r>
      <w:proofErr w:type="spellEnd"/>
      <w:r w:rsidRPr="0093796F">
        <w:rPr>
          <w:rFonts w:ascii="Times New Roman" w:hAnsi="Times New Roman" w:cs="Times New Roman"/>
          <w:color w:val="000000" w:themeColor="text1"/>
          <w:sz w:val="24"/>
          <w:szCs w:val="24"/>
        </w:rPr>
        <w:t xml:space="preserve"> to persist longer before arbitrage capital corrects them. Second, and most distinctively, Germany's mandatory disclosure regime under the </w:t>
      </w:r>
      <w:proofErr w:type="spellStart"/>
      <w:r w:rsidRPr="0093796F">
        <w:rPr>
          <w:rFonts w:ascii="Times New Roman" w:hAnsi="Times New Roman" w:cs="Times New Roman"/>
          <w:color w:val="000000" w:themeColor="text1"/>
          <w:sz w:val="24"/>
          <w:szCs w:val="24"/>
        </w:rPr>
        <w:t>Wertpapierhandelsgesetz</w:t>
      </w:r>
      <w:proofErr w:type="spellEnd"/>
      <w:r w:rsidRPr="0093796F">
        <w:rPr>
          <w:rFonts w:ascii="Times New Roman" w:hAnsi="Times New Roman" w:cs="Times New Roman"/>
          <w:color w:val="000000" w:themeColor="text1"/>
          <w:sz w:val="24"/>
          <w:szCs w:val="24"/>
        </w:rPr>
        <w:t xml:space="preserve"> (</w:t>
      </w:r>
      <w:proofErr w:type="spellStart"/>
      <w:r w:rsidRPr="0093796F">
        <w:rPr>
          <w:rFonts w:ascii="Times New Roman" w:hAnsi="Times New Roman" w:cs="Times New Roman"/>
          <w:color w:val="000000" w:themeColor="text1"/>
          <w:sz w:val="24"/>
          <w:szCs w:val="24"/>
        </w:rPr>
        <w:t>WpHG</w:t>
      </w:r>
      <w:proofErr w:type="spellEnd"/>
      <w:r w:rsidRPr="0093796F">
        <w:rPr>
          <w:rFonts w:ascii="Times New Roman" w:hAnsi="Times New Roman" w:cs="Times New Roman"/>
          <w:color w:val="000000" w:themeColor="text1"/>
          <w:sz w:val="24"/>
          <w:szCs w:val="24"/>
        </w:rPr>
        <w:t xml:space="preserve">) requires directors and significant shareholders to </w:t>
      </w:r>
      <w:r w:rsidRPr="0093796F">
        <w:rPr>
          <w:rFonts w:ascii="Times New Roman" w:hAnsi="Times New Roman" w:cs="Times New Roman"/>
          <w:color w:val="000000" w:themeColor="text1"/>
          <w:sz w:val="24"/>
          <w:szCs w:val="24"/>
        </w:rPr>
        <w:lastRenderedPageBreak/>
        <w:t>report all transactions in company securities within strict filing windows, producing a legally structured and publicly available source of insider transaction data that has received remarkably little academic attention as a trading signal. Third, the German mid, and small</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cap universe, covering the MDAX and SDAX indices, features substantially lower analyst coverage and institutional ownership than the DAX, conditions under which signal</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based mispricing is theoretically expected to be larger and more durable (</w:t>
      </w:r>
      <w:proofErr w:type="spellStart"/>
      <w:r w:rsidRPr="0093796F">
        <w:rPr>
          <w:rFonts w:ascii="Times New Roman" w:hAnsi="Times New Roman" w:cs="Times New Roman"/>
          <w:color w:val="000000" w:themeColor="text1"/>
          <w:sz w:val="24"/>
          <w:szCs w:val="24"/>
        </w:rPr>
        <w:t>Mashruwala</w:t>
      </w:r>
      <w:proofErr w:type="spellEnd"/>
      <w:r w:rsidRPr="0093796F">
        <w:rPr>
          <w:rFonts w:ascii="Times New Roman" w:hAnsi="Times New Roman" w:cs="Times New Roman"/>
          <w:color w:val="000000" w:themeColor="text1"/>
          <w:sz w:val="24"/>
          <w:szCs w:val="24"/>
        </w:rPr>
        <w:t xml:space="preserve"> et al., 2006).</w:t>
      </w:r>
    </w:p>
    <w:p w14:paraId="6DACC97B" w14:textId="6D5EF637" w:rsidR="0093796F" w:rsidRPr="0093796F" w:rsidRDefault="0090263D" w:rsidP="0093796F">
      <w:pPr>
        <w:spacing w:before="60" w:after="6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Furthermore</w:t>
      </w:r>
      <w:r w:rsidR="0093796F" w:rsidRPr="0093796F">
        <w:rPr>
          <w:rFonts w:ascii="Times New Roman" w:hAnsi="Times New Roman" w:cs="Times New Roman"/>
          <w:color w:val="000000" w:themeColor="text1"/>
          <w:sz w:val="24"/>
          <w:szCs w:val="24"/>
        </w:rPr>
        <w:t>, modern markets are defined by complex, interconnected supply chains where information does not diffuse instantaneously. Recent research by Bloomberg Intelligence (2025) suggests that Customer Geographic and Revenue Concentration is a potent predictor of performance. When an "anchor" firm</w:t>
      </w:r>
      <w:r w:rsidR="00132290">
        <w:rPr>
          <w:rFonts w:ascii="Times New Roman" w:hAnsi="Times New Roman" w:cs="Times New Roman"/>
          <w:color w:val="000000" w:themeColor="text1"/>
          <w:sz w:val="24"/>
          <w:szCs w:val="24"/>
        </w:rPr>
        <w:t xml:space="preserve"> exhibits a strong information signal</w:t>
      </w:r>
      <w:r>
        <w:rPr>
          <w:rFonts w:ascii="Times New Roman" w:hAnsi="Times New Roman" w:cs="Times New Roman"/>
          <w:color w:val="000000" w:themeColor="text1"/>
          <w:sz w:val="24"/>
          <w:szCs w:val="24"/>
        </w:rPr>
        <w:t xml:space="preserve">, </w:t>
      </w:r>
      <w:r w:rsidR="00132290" w:rsidRPr="00132290">
        <w:rPr>
          <w:rFonts w:ascii="Times New Roman" w:hAnsi="Times New Roman" w:cs="Times New Roman"/>
          <w:color w:val="000000" w:themeColor="text1"/>
          <w:sz w:val="24"/>
          <w:szCs w:val="24"/>
        </w:rPr>
        <w:t>such as a significant insider purchase or an analyst revision</w:t>
      </w:r>
      <w:r w:rsidR="00132290">
        <w:rPr>
          <w:rFonts w:ascii="Times New Roman" w:hAnsi="Times New Roman" w:cs="Times New Roman"/>
          <w:color w:val="000000" w:themeColor="text1"/>
          <w:sz w:val="24"/>
          <w:szCs w:val="24"/>
        </w:rPr>
        <w:t xml:space="preserve">, </w:t>
      </w:r>
      <w:r w:rsidR="00132290" w:rsidRPr="00132290">
        <w:rPr>
          <w:rFonts w:ascii="Times New Roman" w:hAnsi="Times New Roman" w:cs="Times New Roman"/>
          <w:color w:val="000000" w:themeColor="text1"/>
          <w:sz w:val="24"/>
          <w:szCs w:val="24"/>
        </w:rPr>
        <w:t>this signal acts as a leading indicator for its geographically or economically concentrated network neighbors. Due to the complexity of these supply chains, the market often fails to immediately price the secondary implications of these 'information shocks,' creating a Lead-Lag Alpha that can be captured by relational models like GNNs</w:t>
      </w:r>
    </w:p>
    <w:p w14:paraId="12D31502" w14:textId="55D05A49" w:rsidR="004176F0" w:rsidRPr="0093796F" w:rsidRDefault="0090263D" w:rsidP="0093796F">
      <w:pPr>
        <w:spacing w:before="60" w:after="60" w:line="360" w:lineRule="auto"/>
        <w:jc w:val="both"/>
        <w:rPr>
          <w:rFonts w:ascii="Times New Roman" w:hAnsi="Times New Roman" w:cs="Times New Roman"/>
          <w:color w:val="000000" w:themeColor="text1"/>
          <w:sz w:val="24"/>
          <w:szCs w:val="24"/>
        </w:rPr>
      </w:pPr>
      <w:r w:rsidRPr="0090263D">
        <w:rPr>
          <w:rFonts w:ascii="Times New Roman" w:hAnsi="Times New Roman" w:cs="Times New Roman"/>
          <w:color w:val="000000" w:themeColor="text1"/>
          <w:sz w:val="24"/>
          <w:szCs w:val="24"/>
        </w:rPr>
        <w:t>This thesis addresses the gap in existing literature by applying machine learning not as a black box, but as an interpretable signal-weighting engine</w:t>
      </w:r>
      <w:r>
        <w:rPr>
          <w:rFonts w:ascii="Times New Roman" w:hAnsi="Times New Roman" w:cs="Times New Roman"/>
          <w:color w:val="000000" w:themeColor="text1"/>
          <w:sz w:val="24"/>
          <w:szCs w:val="24"/>
        </w:rPr>
        <w:t xml:space="preserve">, </w:t>
      </w:r>
      <w:r w:rsidR="006E199B" w:rsidRPr="0093796F">
        <w:rPr>
          <w:rFonts w:ascii="Times New Roman" w:hAnsi="Times New Roman" w:cs="Times New Roman"/>
          <w:color w:val="000000" w:themeColor="text1"/>
          <w:sz w:val="24"/>
          <w:szCs w:val="24"/>
        </w:rPr>
        <w:t>using SHAP values to decompose each prediction into per</w:t>
      </w:r>
      <w:r w:rsidR="0052137E" w:rsidRPr="0093796F">
        <w:rPr>
          <w:rFonts w:ascii="Times New Roman" w:hAnsi="Times New Roman" w:cs="Times New Roman"/>
          <w:color w:val="000000" w:themeColor="text1"/>
          <w:sz w:val="24"/>
          <w:szCs w:val="24"/>
        </w:rPr>
        <w:t xml:space="preserve"> </w:t>
      </w:r>
      <w:r w:rsidR="006E199B" w:rsidRPr="0093796F">
        <w:rPr>
          <w:rFonts w:ascii="Times New Roman" w:hAnsi="Times New Roman" w:cs="Times New Roman"/>
          <w:color w:val="000000" w:themeColor="text1"/>
          <w:sz w:val="24"/>
          <w:szCs w:val="24"/>
        </w:rPr>
        <w:t xml:space="preserve">feature contributions. </w:t>
      </w:r>
      <w:r>
        <w:rPr>
          <w:rFonts w:ascii="Times New Roman" w:hAnsi="Times New Roman" w:cs="Times New Roman"/>
          <w:color w:val="000000" w:themeColor="text1"/>
          <w:sz w:val="24"/>
          <w:szCs w:val="24"/>
        </w:rPr>
        <w:t>Additionally, by</w:t>
      </w:r>
      <w:r w:rsidRPr="0090263D">
        <w:rPr>
          <w:rFonts w:ascii="Times New Roman" w:hAnsi="Times New Roman" w:cs="Times New Roman"/>
          <w:color w:val="000000" w:themeColor="text1"/>
          <w:sz w:val="24"/>
          <w:szCs w:val="24"/>
        </w:rPr>
        <w:t xml:space="preserve"> mapping the German industrial sector as a network of nodes (firms) and edges (revenue relationships), this research seeks to anticipate market shifts before they are reflected in traditional fundamental factors.</w:t>
      </w:r>
      <w:r>
        <w:rPr>
          <w:rFonts w:ascii="Times New Roman" w:hAnsi="Times New Roman" w:cs="Times New Roman"/>
          <w:color w:val="000000" w:themeColor="text1"/>
          <w:sz w:val="24"/>
          <w:szCs w:val="24"/>
        </w:rPr>
        <w:t xml:space="preserve"> </w:t>
      </w:r>
    </w:p>
    <w:p w14:paraId="46D9BC1A" w14:textId="77777777" w:rsidR="004176F0" w:rsidRPr="004D6855" w:rsidRDefault="004176F0" w:rsidP="0093796F">
      <w:pPr>
        <w:spacing w:before="80" w:line="360" w:lineRule="auto"/>
        <w:rPr>
          <w:rFonts w:ascii="Times New Roman" w:hAnsi="Times New Roman" w:cs="Times New Roman"/>
          <w:sz w:val="24"/>
          <w:szCs w:val="24"/>
        </w:rPr>
      </w:pPr>
    </w:p>
    <w:p w14:paraId="2C3E7A69" w14:textId="3080722B" w:rsidR="004176F0" w:rsidRPr="004D6855" w:rsidRDefault="00711E4B" w:rsidP="0093796F">
      <w:pPr>
        <w:spacing w:before="200" w:after="60" w:line="360" w:lineRule="auto"/>
        <w:rPr>
          <w:rFonts w:ascii="Times New Roman" w:hAnsi="Times New Roman" w:cs="Times New Roman"/>
          <w:sz w:val="24"/>
          <w:szCs w:val="24"/>
        </w:rPr>
      </w:pPr>
      <w:r w:rsidRPr="004D6855">
        <w:rPr>
          <w:rFonts w:ascii="Times New Roman" w:hAnsi="Times New Roman" w:cs="Times New Roman"/>
          <w:b/>
          <w:bCs/>
          <w:color w:val="2E75B6"/>
          <w:sz w:val="24"/>
          <w:szCs w:val="24"/>
        </w:rPr>
        <w:t>3</w:t>
      </w:r>
      <w:r w:rsidR="006E199B" w:rsidRPr="004D6855">
        <w:rPr>
          <w:rFonts w:ascii="Times New Roman" w:hAnsi="Times New Roman" w:cs="Times New Roman"/>
          <w:b/>
          <w:bCs/>
          <w:color w:val="2E75B6"/>
          <w:sz w:val="24"/>
          <w:szCs w:val="24"/>
        </w:rPr>
        <w:t>.  Hypotheses</w:t>
      </w:r>
    </w:p>
    <w:p w14:paraId="73EADB9E" w14:textId="43EB058A" w:rsidR="004176F0" w:rsidRPr="0093796F" w:rsidRDefault="006E199B" w:rsidP="0093796F">
      <w:pPr>
        <w:spacing w:before="60" w:after="40" w:line="360" w:lineRule="auto"/>
        <w:rPr>
          <w:rFonts w:ascii="Times New Roman" w:hAnsi="Times New Roman" w:cs="Times New Roman"/>
          <w:color w:val="000000" w:themeColor="text1"/>
          <w:sz w:val="24"/>
          <w:szCs w:val="24"/>
        </w:rPr>
      </w:pPr>
      <w:r w:rsidRPr="0093796F">
        <w:rPr>
          <w:rFonts w:ascii="Times New Roman" w:hAnsi="Times New Roman" w:cs="Times New Roman"/>
          <w:b/>
          <w:bCs/>
          <w:color w:val="000000" w:themeColor="text1"/>
          <w:sz w:val="24"/>
          <w:szCs w:val="24"/>
        </w:rPr>
        <w:t>H</w:t>
      </w:r>
      <w:proofErr w:type="gramStart"/>
      <w:r w:rsidRPr="0093796F">
        <w:rPr>
          <w:rFonts w:ascii="Times New Roman" w:hAnsi="Times New Roman" w:cs="Times New Roman"/>
          <w:b/>
          <w:bCs/>
          <w:color w:val="000000" w:themeColor="text1"/>
          <w:sz w:val="24"/>
          <w:szCs w:val="24"/>
        </w:rPr>
        <w:t>1</w:t>
      </w:r>
      <w:r w:rsidRPr="0093796F">
        <w:rPr>
          <w:rFonts w:ascii="Times New Roman" w:hAnsi="Times New Roman" w:cs="Times New Roman"/>
          <w:color w:val="000000" w:themeColor="text1"/>
          <w:sz w:val="24"/>
          <w:szCs w:val="24"/>
        </w:rPr>
        <w:t xml:space="preserve">  </w:t>
      </w:r>
      <w:r w:rsidR="0090263D" w:rsidRPr="0090263D">
        <w:rPr>
          <w:rFonts w:ascii="Times New Roman" w:hAnsi="Times New Roman" w:cs="Times New Roman"/>
          <w:color w:val="000000" w:themeColor="text1"/>
          <w:sz w:val="24"/>
          <w:szCs w:val="24"/>
        </w:rPr>
        <w:t>Analyst</w:t>
      </w:r>
      <w:proofErr w:type="gramEnd"/>
      <w:r w:rsidR="0090263D" w:rsidRPr="0090263D">
        <w:rPr>
          <w:rFonts w:ascii="Times New Roman" w:hAnsi="Times New Roman" w:cs="Times New Roman"/>
          <w:color w:val="000000" w:themeColor="text1"/>
          <w:sz w:val="24"/>
          <w:szCs w:val="24"/>
        </w:rPr>
        <w:t xml:space="preserve"> earnings revision momentum and </w:t>
      </w:r>
      <w:proofErr w:type="spellStart"/>
      <w:r w:rsidR="0090263D" w:rsidRPr="0090263D">
        <w:rPr>
          <w:rFonts w:ascii="Times New Roman" w:hAnsi="Times New Roman" w:cs="Times New Roman"/>
          <w:color w:val="000000" w:themeColor="text1"/>
          <w:sz w:val="24"/>
          <w:szCs w:val="24"/>
        </w:rPr>
        <w:t>WpHG</w:t>
      </w:r>
      <w:proofErr w:type="spellEnd"/>
      <w:r w:rsidR="0090263D" w:rsidRPr="0090263D">
        <w:rPr>
          <w:rFonts w:ascii="Times New Roman" w:hAnsi="Times New Roman" w:cs="Times New Roman"/>
          <w:color w:val="000000" w:themeColor="text1"/>
          <w:sz w:val="24"/>
          <w:szCs w:val="24"/>
        </w:rPr>
        <w:t xml:space="preserve"> insider purchases are positively associated with subsequent abnormal returns, particularly in information-sparse MDAX/SDAX segments</w:t>
      </w:r>
      <w:r w:rsidRPr="0093796F">
        <w:rPr>
          <w:rFonts w:ascii="Times New Roman" w:hAnsi="Times New Roman" w:cs="Times New Roman"/>
          <w:color w:val="000000" w:themeColor="text1"/>
          <w:sz w:val="24"/>
          <w:szCs w:val="24"/>
        </w:rPr>
        <w:t>, consistent with post</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earnings announcement drift.</w:t>
      </w:r>
    </w:p>
    <w:p w14:paraId="13F8358F" w14:textId="29D12451" w:rsidR="004176F0" w:rsidRPr="0093796F" w:rsidRDefault="006E199B" w:rsidP="0093796F">
      <w:pPr>
        <w:spacing w:before="40" w:after="40" w:line="360" w:lineRule="auto"/>
        <w:rPr>
          <w:rFonts w:ascii="Times New Roman" w:hAnsi="Times New Roman" w:cs="Times New Roman"/>
          <w:color w:val="000000" w:themeColor="text1"/>
          <w:sz w:val="24"/>
          <w:szCs w:val="24"/>
        </w:rPr>
      </w:pPr>
      <w:r w:rsidRPr="0093796F">
        <w:rPr>
          <w:rFonts w:ascii="Times New Roman" w:hAnsi="Times New Roman" w:cs="Times New Roman"/>
          <w:b/>
          <w:bCs/>
          <w:color w:val="000000" w:themeColor="text1"/>
          <w:sz w:val="24"/>
          <w:szCs w:val="24"/>
        </w:rPr>
        <w:t>H</w:t>
      </w:r>
      <w:proofErr w:type="gramStart"/>
      <w:r w:rsidRPr="0093796F">
        <w:rPr>
          <w:rFonts w:ascii="Times New Roman" w:hAnsi="Times New Roman" w:cs="Times New Roman"/>
          <w:b/>
          <w:bCs/>
          <w:color w:val="000000" w:themeColor="text1"/>
          <w:sz w:val="24"/>
          <w:szCs w:val="24"/>
        </w:rPr>
        <w:t>2</w:t>
      </w:r>
      <w:r w:rsidRPr="0093796F">
        <w:rPr>
          <w:rFonts w:ascii="Times New Roman" w:hAnsi="Times New Roman" w:cs="Times New Roman"/>
          <w:color w:val="000000" w:themeColor="text1"/>
          <w:sz w:val="24"/>
          <w:szCs w:val="24"/>
        </w:rPr>
        <w:t xml:space="preserve">  Elevated</w:t>
      </w:r>
      <w:proofErr w:type="gramEnd"/>
      <w:r w:rsidRPr="0093796F">
        <w:rPr>
          <w:rFonts w:ascii="Times New Roman" w:hAnsi="Times New Roman" w:cs="Times New Roman"/>
          <w:color w:val="000000" w:themeColor="text1"/>
          <w:sz w:val="24"/>
          <w:szCs w:val="24"/>
        </w:rPr>
        <w:t xml:space="preserve"> short interest ratios are negatively associated with subsequent returns, reflecting informed short</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seller activity.</w:t>
      </w:r>
    </w:p>
    <w:p w14:paraId="342B7DDA" w14:textId="77777777" w:rsidR="004176F0" w:rsidRPr="0093796F" w:rsidRDefault="006E199B" w:rsidP="0093796F">
      <w:pPr>
        <w:spacing w:before="40" w:after="40" w:line="360" w:lineRule="auto"/>
        <w:rPr>
          <w:rFonts w:ascii="Times New Roman" w:hAnsi="Times New Roman" w:cs="Times New Roman"/>
          <w:color w:val="000000" w:themeColor="text1"/>
          <w:sz w:val="24"/>
          <w:szCs w:val="24"/>
        </w:rPr>
      </w:pPr>
      <w:r w:rsidRPr="0093796F">
        <w:rPr>
          <w:rFonts w:ascii="Times New Roman" w:hAnsi="Times New Roman" w:cs="Times New Roman"/>
          <w:b/>
          <w:bCs/>
          <w:color w:val="000000" w:themeColor="text1"/>
          <w:sz w:val="24"/>
          <w:szCs w:val="24"/>
        </w:rPr>
        <w:t>H</w:t>
      </w:r>
      <w:proofErr w:type="gramStart"/>
      <w:r w:rsidRPr="0093796F">
        <w:rPr>
          <w:rFonts w:ascii="Times New Roman" w:hAnsi="Times New Roman" w:cs="Times New Roman"/>
          <w:b/>
          <w:bCs/>
          <w:color w:val="000000" w:themeColor="text1"/>
          <w:sz w:val="24"/>
          <w:szCs w:val="24"/>
        </w:rPr>
        <w:t>3</w:t>
      </w:r>
      <w:r w:rsidRPr="0093796F">
        <w:rPr>
          <w:rFonts w:ascii="Times New Roman" w:hAnsi="Times New Roman" w:cs="Times New Roman"/>
          <w:color w:val="000000" w:themeColor="text1"/>
          <w:sz w:val="24"/>
          <w:szCs w:val="24"/>
        </w:rPr>
        <w:t xml:space="preserve">  </w:t>
      </w:r>
      <w:proofErr w:type="spellStart"/>
      <w:r w:rsidRPr="0093796F">
        <w:rPr>
          <w:rFonts w:ascii="Times New Roman" w:hAnsi="Times New Roman" w:cs="Times New Roman"/>
          <w:color w:val="000000" w:themeColor="text1"/>
          <w:sz w:val="24"/>
          <w:szCs w:val="24"/>
        </w:rPr>
        <w:t>WpHG</w:t>
      </w:r>
      <w:proofErr w:type="spellEnd"/>
      <w:proofErr w:type="gramEnd"/>
      <w:r w:rsidRPr="0093796F">
        <w:rPr>
          <w:rFonts w:ascii="Times New Roman" w:hAnsi="Times New Roman" w:cs="Times New Roman"/>
          <w:color w:val="000000" w:themeColor="text1"/>
          <w:sz w:val="24"/>
          <w:szCs w:val="24"/>
        </w:rPr>
        <w:t xml:space="preserve"> insider purchase filings are positively associated with subsequent abnormal returns, with the effect being stronger in the MDAX and SDAX than in the DAX.</w:t>
      </w:r>
    </w:p>
    <w:p w14:paraId="0277A8C0" w14:textId="51B6EE1C" w:rsidR="0090263D" w:rsidRDefault="006E199B" w:rsidP="0093796F">
      <w:pPr>
        <w:spacing w:before="40" w:after="40" w:line="360" w:lineRule="auto"/>
        <w:rPr>
          <w:rFonts w:ascii="Times New Roman" w:hAnsi="Times New Roman" w:cs="Times New Roman"/>
          <w:color w:val="000000" w:themeColor="text1"/>
          <w:sz w:val="24"/>
          <w:szCs w:val="24"/>
        </w:rPr>
      </w:pPr>
      <w:r w:rsidRPr="0093796F">
        <w:rPr>
          <w:rFonts w:ascii="Times New Roman" w:hAnsi="Times New Roman" w:cs="Times New Roman"/>
          <w:b/>
          <w:bCs/>
          <w:color w:val="000000" w:themeColor="text1"/>
          <w:sz w:val="24"/>
          <w:szCs w:val="24"/>
        </w:rPr>
        <w:t>H</w:t>
      </w:r>
      <w:proofErr w:type="gramStart"/>
      <w:r w:rsidRPr="0093796F">
        <w:rPr>
          <w:rFonts w:ascii="Times New Roman" w:hAnsi="Times New Roman" w:cs="Times New Roman"/>
          <w:b/>
          <w:bCs/>
          <w:color w:val="000000" w:themeColor="text1"/>
          <w:sz w:val="24"/>
          <w:szCs w:val="24"/>
        </w:rPr>
        <w:t>4</w:t>
      </w:r>
      <w:r w:rsidRPr="0093796F">
        <w:rPr>
          <w:rFonts w:ascii="Times New Roman" w:hAnsi="Times New Roman" w:cs="Times New Roman"/>
          <w:color w:val="000000" w:themeColor="text1"/>
          <w:sz w:val="24"/>
          <w:szCs w:val="24"/>
        </w:rPr>
        <w:t xml:space="preserve">  </w:t>
      </w:r>
      <w:r w:rsidR="0090263D" w:rsidRPr="0090263D">
        <w:rPr>
          <w:rFonts w:ascii="Times New Roman" w:hAnsi="Times New Roman" w:cs="Times New Roman"/>
          <w:color w:val="000000" w:themeColor="text1"/>
          <w:sz w:val="24"/>
          <w:szCs w:val="24"/>
        </w:rPr>
        <w:t>A</w:t>
      </w:r>
      <w:proofErr w:type="gramEnd"/>
      <w:r w:rsidR="0090263D" w:rsidRPr="0090263D">
        <w:rPr>
          <w:rFonts w:ascii="Times New Roman" w:hAnsi="Times New Roman" w:cs="Times New Roman"/>
          <w:color w:val="000000" w:themeColor="text1"/>
          <w:sz w:val="24"/>
          <w:szCs w:val="24"/>
        </w:rPr>
        <w:t xml:space="preserve"> hybrid GNN-</w:t>
      </w:r>
      <w:proofErr w:type="spellStart"/>
      <w:r w:rsidR="0090263D" w:rsidRPr="0090263D">
        <w:rPr>
          <w:rFonts w:ascii="Times New Roman" w:hAnsi="Times New Roman" w:cs="Times New Roman"/>
          <w:color w:val="000000" w:themeColor="text1"/>
          <w:sz w:val="24"/>
          <w:szCs w:val="24"/>
        </w:rPr>
        <w:t>XGBoost</w:t>
      </w:r>
      <w:proofErr w:type="spellEnd"/>
      <w:r w:rsidR="0090263D" w:rsidRPr="0090263D">
        <w:rPr>
          <w:rFonts w:ascii="Times New Roman" w:hAnsi="Times New Roman" w:cs="Times New Roman"/>
          <w:color w:val="000000" w:themeColor="text1"/>
          <w:sz w:val="24"/>
          <w:szCs w:val="24"/>
        </w:rPr>
        <w:t xml:space="preserve"> strategy will outperform individual signals and traditional benchmarks by capturing non-linear network dependencies.</w:t>
      </w:r>
    </w:p>
    <w:p w14:paraId="6B939E76" w14:textId="3E1AEF7D" w:rsidR="0090263D" w:rsidRPr="0093796F" w:rsidRDefault="0090263D" w:rsidP="0093796F">
      <w:pPr>
        <w:spacing w:before="40" w:after="40" w:line="360" w:lineRule="auto"/>
        <w:rPr>
          <w:rFonts w:ascii="Times New Roman" w:hAnsi="Times New Roman" w:cs="Times New Roman"/>
          <w:color w:val="000000" w:themeColor="text1"/>
          <w:sz w:val="24"/>
          <w:szCs w:val="24"/>
        </w:rPr>
      </w:pPr>
      <w:r w:rsidRPr="0090263D">
        <w:rPr>
          <w:rFonts w:ascii="Times New Roman" w:hAnsi="Times New Roman" w:cs="Times New Roman"/>
          <w:b/>
          <w:bCs/>
          <w:color w:val="000000" w:themeColor="text1"/>
          <w:sz w:val="24"/>
          <w:szCs w:val="24"/>
        </w:rPr>
        <w:t>H5</w:t>
      </w:r>
      <w:r w:rsidRPr="0090263D">
        <w:rPr>
          <w:rFonts w:ascii="Times New Roman" w:hAnsi="Times New Roman" w:cs="Times New Roman"/>
          <w:color w:val="000000" w:themeColor="text1"/>
          <w:sz w:val="24"/>
          <w:szCs w:val="24"/>
        </w:rPr>
        <w:t xml:space="preserve"> (Network Alpha) </w:t>
      </w:r>
      <w:r w:rsidR="00132290" w:rsidRPr="00132290">
        <w:rPr>
          <w:rFonts w:ascii="Times New Roman" w:hAnsi="Times New Roman" w:cs="Times New Roman"/>
          <w:color w:val="000000" w:themeColor="text1"/>
          <w:sz w:val="24"/>
          <w:szCs w:val="24"/>
        </w:rPr>
        <w:t>Firms whose major customers or suppliers exhibit extreme positive alternative signals (e.g., massive earnings surprises or high insider buying) will experience delayed but statistically significant abnormal returns, capturing the information spillover effect before it is reflected in traditional factors</w:t>
      </w:r>
    </w:p>
    <w:p w14:paraId="32DCF9F1" w14:textId="77777777" w:rsidR="004176F0" w:rsidRPr="004D6855" w:rsidRDefault="004176F0" w:rsidP="0093796F">
      <w:pPr>
        <w:spacing w:before="80" w:line="360" w:lineRule="auto"/>
        <w:rPr>
          <w:rFonts w:ascii="Times New Roman" w:hAnsi="Times New Roman" w:cs="Times New Roman"/>
          <w:sz w:val="24"/>
          <w:szCs w:val="24"/>
        </w:rPr>
      </w:pPr>
    </w:p>
    <w:p w14:paraId="7A53ED6B" w14:textId="40979778" w:rsidR="004176F0" w:rsidRPr="004D6855" w:rsidRDefault="00711E4B" w:rsidP="0093796F">
      <w:pPr>
        <w:spacing w:before="200" w:after="60" w:line="360" w:lineRule="auto"/>
        <w:rPr>
          <w:rFonts w:ascii="Times New Roman" w:hAnsi="Times New Roman" w:cs="Times New Roman"/>
          <w:sz w:val="24"/>
          <w:szCs w:val="24"/>
        </w:rPr>
      </w:pPr>
      <w:r w:rsidRPr="004D6855">
        <w:rPr>
          <w:rFonts w:ascii="Times New Roman" w:hAnsi="Times New Roman" w:cs="Times New Roman"/>
          <w:b/>
          <w:bCs/>
          <w:color w:val="2E75B6"/>
          <w:sz w:val="24"/>
          <w:szCs w:val="24"/>
        </w:rPr>
        <w:t>4</w:t>
      </w:r>
      <w:r w:rsidR="006E199B" w:rsidRPr="004D6855">
        <w:rPr>
          <w:rFonts w:ascii="Times New Roman" w:hAnsi="Times New Roman" w:cs="Times New Roman"/>
          <w:b/>
          <w:bCs/>
          <w:color w:val="2E75B6"/>
          <w:sz w:val="24"/>
          <w:szCs w:val="24"/>
        </w:rPr>
        <w:t>.  Research Objectives</w:t>
      </w:r>
    </w:p>
    <w:p w14:paraId="00C81D35" w14:textId="4EFBB622" w:rsidR="004176F0" w:rsidRPr="0093796F" w:rsidRDefault="0090263D" w:rsidP="0093796F">
      <w:pPr>
        <w:pStyle w:val="ListParagraph"/>
        <w:numPr>
          <w:ilvl w:val="0"/>
          <w:numId w:val="2"/>
        </w:numPr>
        <w:spacing w:line="360" w:lineRule="auto"/>
        <w:rPr>
          <w:rFonts w:ascii="Times New Roman" w:hAnsi="Times New Roman" w:cs="Times New Roman"/>
          <w:color w:val="000000" w:themeColor="text1"/>
          <w:sz w:val="24"/>
          <w:szCs w:val="24"/>
        </w:rPr>
      </w:pPr>
      <w:r w:rsidRPr="0090263D">
        <w:rPr>
          <w:rFonts w:ascii="Times New Roman" w:hAnsi="Times New Roman" w:cs="Times New Roman"/>
          <w:color w:val="000000" w:themeColor="text1"/>
          <w:sz w:val="24"/>
          <w:szCs w:val="24"/>
        </w:rPr>
        <w:t xml:space="preserve">Construct and Validate Signals: Build four alternative signals (analyst momentum, short interest, SUE, and </w:t>
      </w:r>
      <w:proofErr w:type="spellStart"/>
      <w:r w:rsidRPr="0090263D">
        <w:rPr>
          <w:rFonts w:ascii="Times New Roman" w:hAnsi="Times New Roman" w:cs="Times New Roman"/>
          <w:color w:val="000000" w:themeColor="text1"/>
          <w:sz w:val="24"/>
          <w:szCs w:val="24"/>
        </w:rPr>
        <w:t>WpHG</w:t>
      </w:r>
      <w:proofErr w:type="spellEnd"/>
      <w:r w:rsidRPr="0090263D">
        <w:rPr>
          <w:rFonts w:ascii="Times New Roman" w:hAnsi="Times New Roman" w:cs="Times New Roman"/>
          <w:color w:val="000000" w:themeColor="text1"/>
          <w:sz w:val="24"/>
          <w:szCs w:val="24"/>
        </w:rPr>
        <w:t xml:space="preserve"> filings) for German equities using Bloomberg data (200</w:t>
      </w:r>
      <w:r>
        <w:rPr>
          <w:rFonts w:ascii="Times New Roman" w:hAnsi="Times New Roman" w:cs="Times New Roman"/>
          <w:color w:val="000000" w:themeColor="text1"/>
          <w:sz w:val="24"/>
          <w:szCs w:val="24"/>
        </w:rPr>
        <w:t>6</w:t>
      </w:r>
      <w:r w:rsidRPr="0090263D">
        <w:rPr>
          <w:rFonts w:ascii="Times New Roman" w:hAnsi="Times New Roman" w:cs="Times New Roman"/>
          <w:color w:val="000000" w:themeColor="text1"/>
          <w:sz w:val="24"/>
          <w:szCs w:val="24"/>
        </w:rPr>
        <w:t>–202</w:t>
      </w:r>
      <w:r>
        <w:rPr>
          <w:rFonts w:ascii="Times New Roman" w:hAnsi="Times New Roman" w:cs="Times New Roman"/>
          <w:color w:val="000000" w:themeColor="text1"/>
          <w:sz w:val="24"/>
          <w:szCs w:val="24"/>
        </w:rPr>
        <w:t>6</w:t>
      </w:r>
      <w:r w:rsidRPr="0090263D">
        <w:rPr>
          <w:rFonts w:ascii="Times New Roman" w:hAnsi="Times New Roman" w:cs="Times New Roman"/>
          <w:color w:val="000000" w:themeColor="text1"/>
          <w:sz w:val="24"/>
          <w:szCs w:val="24"/>
        </w:rPr>
        <w:t>)</w:t>
      </w:r>
      <w:r w:rsidR="006E199B" w:rsidRPr="0093796F">
        <w:rPr>
          <w:rFonts w:ascii="Times New Roman" w:hAnsi="Times New Roman" w:cs="Times New Roman"/>
          <w:color w:val="000000" w:themeColor="text1"/>
          <w:sz w:val="24"/>
          <w:szCs w:val="24"/>
        </w:rPr>
        <w:t>.</w:t>
      </w:r>
    </w:p>
    <w:p w14:paraId="426708A0" w14:textId="63B103C0" w:rsidR="0058789A" w:rsidRDefault="0058789A" w:rsidP="0093796F">
      <w:pPr>
        <w:pStyle w:val="ListParagraph"/>
        <w:numPr>
          <w:ilvl w:val="0"/>
          <w:numId w:val="2"/>
        </w:numPr>
        <w:spacing w:line="360" w:lineRule="auto"/>
        <w:rPr>
          <w:rFonts w:ascii="Times New Roman" w:hAnsi="Times New Roman" w:cs="Times New Roman"/>
          <w:color w:val="000000" w:themeColor="text1"/>
          <w:sz w:val="24"/>
          <w:szCs w:val="24"/>
        </w:rPr>
      </w:pPr>
      <w:r w:rsidRPr="0058789A">
        <w:rPr>
          <w:rFonts w:ascii="Times New Roman" w:hAnsi="Times New Roman" w:cs="Times New Roman"/>
          <w:color w:val="000000" w:themeColor="text1"/>
          <w:sz w:val="24"/>
          <w:szCs w:val="24"/>
        </w:rPr>
        <w:t xml:space="preserve">Univariate Testing: Test each signal's return predictability using </w:t>
      </w:r>
      <w:proofErr w:type="spellStart"/>
      <w:r w:rsidRPr="0058789A">
        <w:rPr>
          <w:rFonts w:ascii="Times New Roman" w:hAnsi="Times New Roman" w:cs="Times New Roman"/>
          <w:color w:val="000000" w:themeColor="text1"/>
          <w:sz w:val="24"/>
          <w:szCs w:val="24"/>
        </w:rPr>
        <w:t>Fama-MacBeth</w:t>
      </w:r>
      <w:proofErr w:type="spellEnd"/>
      <w:r w:rsidRPr="0058789A">
        <w:rPr>
          <w:rFonts w:ascii="Times New Roman" w:hAnsi="Times New Roman" w:cs="Times New Roman"/>
          <w:color w:val="000000" w:themeColor="text1"/>
          <w:sz w:val="24"/>
          <w:szCs w:val="24"/>
        </w:rPr>
        <w:t xml:space="preserve"> cross-sectional regressions, controlling for market beta, size, value, and momentum.</w:t>
      </w:r>
    </w:p>
    <w:p w14:paraId="3E51104A" w14:textId="33C5B2BF" w:rsidR="0090263D" w:rsidRPr="0093796F" w:rsidRDefault="0090263D" w:rsidP="0093796F">
      <w:pPr>
        <w:pStyle w:val="ListParagraph"/>
        <w:numPr>
          <w:ilvl w:val="0"/>
          <w:numId w:val="2"/>
        </w:numPr>
        <w:spacing w:line="360" w:lineRule="auto"/>
        <w:rPr>
          <w:rFonts w:ascii="Times New Roman" w:hAnsi="Times New Roman" w:cs="Times New Roman"/>
          <w:color w:val="000000" w:themeColor="text1"/>
          <w:sz w:val="24"/>
          <w:szCs w:val="24"/>
        </w:rPr>
      </w:pPr>
      <w:r w:rsidRPr="0090263D">
        <w:rPr>
          <w:rFonts w:ascii="Times New Roman" w:hAnsi="Times New Roman" w:cs="Times New Roman"/>
          <w:color w:val="000000" w:themeColor="text1"/>
          <w:sz w:val="24"/>
          <w:szCs w:val="24"/>
        </w:rPr>
        <w:t>Graph Construction: Map the customer-supplier network of DAX, MDAX, and SDAX constituents using revenue concentration and segment data to identify relational dependencies.</w:t>
      </w:r>
    </w:p>
    <w:p w14:paraId="7F7131A3" w14:textId="7137C683" w:rsidR="004176F0" w:rsidRPr="0093796F" w:rsidRDefault="0058789A" w:rsidP="0093796F">
      <w:pPr>
        <w:pStyle w:val="ListParagraph"/>
        <w:numPr>
          <w:ilvl w:val="0"/>
          <w:numId w:val="2"/>
        </w:numPr>
        <w:spacing w:line="360" w:lineRule="auto"/>
        <w:rPr>
          <w:rFonts w:ascii="Times New Roman" w:hAnsi="Times New Roman" w:cs="Times New Roman"/>
          <w:color w:val="000000" w:themeColor="text1"/>
          <w:sz w:val="24"/>
          <w:szCs w:val="24"/>
        </w:rPr>
      </w:pPr>
      <w:r w:rsidRPr="0058789A">
        <w:rPr>
          <w:rFonts w:ascii="Times New Roman" w:hAnsi="Times New Roman" w:cs="Times New Roman"/>
          <w:color w:val="000000" w:themeColor="text1"/>
          <w:sz w:val="24"/>
          <w:szCs w:val="24"/>
        </w:rPr>
        <w:t>Relational Modeling: Train a hybrid GNN-</w:t>
      </w:r>
      <w:proofErr w:type="spellStart"/>
      <w:r w:rsidRPr="0058789A">
        <w:rPr>
          <w:rFonts w:ascii="Times New Roman" w:hAnsi="Times New Roman" w:cs="Times New Roman"/>
          <w:color w:val="000000" w:themeColor="text1"/>
          <w:sz w:val="24"/>
          <w:szCs w:val="24"/>
        </w:rPr>
        <w:t>XGBoost</w:t>
      </w:r>
      <w:proofErr w:type="spellEnd"/>
      <w:r w:rsidRPr="0058789A">
        <w:rPr>
          <w:rFonts w:ascii="Times New Roman" w:hAnsi="Times New Roman" w:cs="Times New Roman"/>
          <w:color w:val="000000" w:themeColor="text1"/>
          <w:sz w:val="24"/>
          <w:szCs w:val="24"/>
        </w:rPr>
        <w:t xml:space="preserve"> model where the GNN propagates signal-rich node features across the supply chain to quantify marginal contributions across market regimes.</w:t>
      </w:r>
    </w:p>
    <w:p w14:paraId="561AF470" w14:textId="3D100AB3" w:rsidR="004176F0" w:rsidRPr="0058789A" w:rsidRDefault="0058789A" w:rsidP="0058789A">
      <w:pPr>
        <w:pStyle w:val="ListParagraph"/>
        <w:numPr>
          <w:ilvl w:val="0"/>
          <w:numId w:val="2"/>
        </w:numPr>
        <w:spacing w:line="360" w:lineRule="auto"/>
        <w:rPr>
          <w:rFonts w:ascii="Times New Roman" w:hAnsi="Times New Roman" w:cs="Times New Roman"/>
          <w:color w:val="000000" w:themeColor="text1"/>
          <w:sz w:val="24"/>
          <w:szCs w:val="24"/>
        </w:rPr>
      </w:pPr>
      <w:r w:rsidRPr="0058789A">
        <w:rPr>
          <w:rFonts w:ascii="Times New Roman" w:hAnsi="Times New Roman" w:cs="Times New Roman"/>
          <w:color w:val="000000" w:themeColor="text1"/>
          <w:sz w:val="24"/>
          <w:szCs w:val="24"/>
        </w:rPr>
        <w:t xml:space="preserve">Portfolio </w:t>
      </w:r>
      <w:proofErr w:type="spellStart"/>
      <w:r w:rsidRPr="0058789A">
        <w:rPr>
          <w:rFonts w:ascii="Times New Roman" w:hAnsi="Times New Roman" w:cs="Times New Roman"/>
          <w:color w:val="000000" w:themeColor="text1"/>
          <w:sz w:val="24"/>
          <w:szCs w:val="24"/>
        </w:rPr>
        <w:t>Backtest</w:t>
      </w:r>
      <w:proofErr w:type="spellEnd"/>
      <w:r w:rsidRPr="0058789A">
        <w:rPr>
          <w:rFonts w:ascii="Times New Roman" w:hAnsi="Times New Roman" w:cs="Times New Roman"/>
          <w:color w:val="000000" w:themeColor="text1"/>
          <w:sz w:val="24"/>
          <w:szCs w:val="24"/>
        </w:rPr>
        <w:t>: Execute a long-short portfolio based on the composite ML signal, evaluating Sharpe ratio, Carhart four-factor alpha, and maximum drawdown, net of estimated transaction costs.</w:t>
      </w:r>
    </w:p>
    <w:p w14:paraId="480E9C8E" w14:textId="5230525A" w:rsidR="004176F0" w:rsidRPr="004D6855" w:rsidRDefault="00711E4B" w:rsidP="0093796F">
      <w:pPr>
        <w:spacing w:before="200" w:after="60" w:line="360" w:lineRule="auto"/>
        <w:rPr>
          <w:rFonts w:ascii="Times New Roman" w:hAnsi="Times New Roman" w:cs="Times New Roman"/>
          <w:sz w:val="24"/>
          <w:szCs w:val="24"/>
        </w:rPr>
      </w:pPr>
      <w:r w:rsidRPr="004D6855">
        <w:rPr>
          <w:rFonts w:ascii="Times New Roman" w:hAnsi="Times New Roman" w:cs="Times New Roman"/>
          <w:b/>
          <w:bCs/>
          <w:color w:val="2E75B6"/>
          <w:sz w:val="24"/>
          <w:szCs w:val="24"/>
        </w:rPr>
        <w:t>5</w:t>
      </w:r>
      <w:r w:rsidR="006E199B" w:rsidRPr="004D6855">
        <w:rPr>
          <w:rFonts w:ascii="Times New Roman" w:hAnsi="Times New Roman" w:cs="Times New Roman"/>
          <w:b/>
          <w:bCs/>
          <w:color w:val="2E75B6"/>
          <w:sz w:val="24"/>
          <w:szCs w:val="24"/>
        </w:rPr>
        <w:t>.  Methodology</w:t>
      </w:r>
    </w:p>
    <w:p w14:paraId="458C9D1C" w14:textId="0016DA37" w:rsidR="004176F0" w:rsidRPr="0093796F" w:rsidRDefault="006E199B" w:rsidP="0093796F">
      <w:pPr>
        <w:spacing w:before="60" w:after="60" w:line="360" w:lineRule="auto"/>
        <w:jc w:val="both"/>
        <w:rPr>
          <w:rFonts w:ascii="Times New Roman" w:hAnsi="Times New Roman" w:cs="Times New Roman"/>
          <w:color w:val="000000" w:themeColor="text1"/>
          <w:sz w:val="24"/>
          <w:szCs w:val="24"/>
        </w:rPr>
      </w:pPr>
      <w:r w:rsidRPr="0093796F">
        <w:rPr>
          <w:rFonts w:ascii="Times New Roman" w:hAnsi="Times New Roman" w:cs="Times New Roman"/>
          <w:color w:val="000000" w:themeColor="text1"/>
          <w:sz w:val="24"/>
          <w:szCs w:val="24"/>
        </w:rPr>
        <w:t>The study adopts a quantitative, empirical design applied to the universe of German</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listed equities spanning the DAX, MDAX, and SDAX indices. The primary data source is the Bloomberg Terminal, which provides historical pricing, fundamental data, analyst consensus revisions, short interest, earnings announcement records, and insider transaction disclosures from 200</w:t>
      </w:r>
      <w:r w:rsidR="0058789A">
        <w:rPr>
          <w:rFonts w:ascii="Times New Roman" w:hAnsi="Times New Roman" w:cs="Times New Roman"/>
          <w:color w:val="000000" w:themeColor="text1"/>
          <w:sz w:val="24"/>
          <w:szCs w:val="24"/>
        </w:rPr>
        <w:t>6</w:t>
      </w:r>
      <w:r w:rsidRPr="0093796F">
        <w:rPr>
          <w:rFonts w:ascii="Times New Roman" w:hAnsi="Times New Roman" w:cs="Times New Roman"/>
          <w:color w:val="000000" w:themeColor="text1"/>
          <w:sz w:val="24"/>
          <w:szCs w:val="24"/>
        </w:rPr>
        <w:t xml:space="preserve"> to 202</w:t>
      </w:r>
      <w:r w:rsidR="0058789A">
        <w:rPr>
          <w:rFonts w:ascii="Times New Roman" w:hAnsi="Times New Roman" w:cs="Times New Roman"/>
          <w:color w:val="000000" w:themeColor="text1"/>
          <w:sz w:val="24"/>
          <w:szCs w:val="24"/>
        </w:rPr>
        <w:t>6</w:t>
      </w:r>
      <w:r w:rsidRPr="0093796F">
        <w:rPr>
          <w:rFonts w:ascii="Times New Roman" w:hAnsi="Times New Roman" w:cs="Times New Roman"/>
          <w:color w:val="000000" w:themeColor="text1"/>
          <w:sz w:val="24"/>
          <w:szCs w:val="24"/>
        </w:rPr>
        <w:t>, a period encompassing the global financial crisis, the European debt crisis, and the COVID shock, enabling regime robustness testing across meaningfully different market environments.</w:t>
      </w:r>
    </w:p>
    <w:p w14:paraId="06066963" w14:textId="4E5FB990" w:rsidR="004176F0" w:rsidRPr="0093796F" w:rsidRDefault="006E199B" w:rsidP="0093796F">
      <w:pPr>
        <w:spacing w:before="60" w:after="60" w:line="360" w:lineRule="auto"/>
        <w:jc w:val="both"/>
        <w:rPr>
          <w:rFonts w:ascii="Times New Roman" w:hAnsi="Times New Roman" w:cs="Times New Roman"/>
          <w:color w:val="000000" w:themeColor="text1"/>
          <w:sz w:val="24"/>
          <w:szCs w:val="24"/>
        </w:rPr>
      </w:pPr>
      <w:r w:rsidRPr="0093796F">
        <w:rPr>
          <w:rFonts w:ascii="Times New Roman" w:hAnsi="Times New Roman" w:cs="Times New Roman"/>
          <w:color w:val="000000" w:themeColor="text1"/>
          <w:sz w:val="24"/>
          <w:szCs w:val="24"/>
        </w:rPr>
        <w:t>Signal construction follows established academic protocols. Analyst revision momentum is measured as the three</w:t>
      </w:r>
      <w:r w:rsidR="0052137E" w:rsidRPr="0093796F">
        <w:rPr>
          <w:rFonts w:ascii="Times New Roman" w:hAnsi="Times New Roman" w:cs="Times New Roman"/>
          <w:color w:val="000000" w:themeColor="text1"/>
          <w:sz w:val="24"/>
          <w:szCs w:val="24"/>
        </w:rPr>
        <w:t>-</w:t>
      </w:r>
      <w:r w:rsidRPr="0093796F">
        <w:rPr>
          <w:rFonts w:ascii="Times New Roman" w:hAnsi="Times New Roman" w:cs="Times New Roman"/>
          <w:color w:val="000000" w:themeColor="text1"/>
          <w:sz w:val="24"/>
          <w:szCs w:val="24"/>
        </w:rPr>
        <w:t xml:space="preserve">month net revision ratio, computed as upgrades minus downgrades scaled by total active estimates. Short interest is defined as shares short divided by float, sourced from Bloomberg's short interest module. Earnings surprise is computed as standardized unexpected earnings (SUE) following Foster et al. (1984). The insider signal is constructed from </w:t>
      </w:r>
      <w:proofErr w:type="spellStart"/>
      <w:r w:rsidRPr="0093796F">
        <w:rPr>
          <w:rFonts w:ascii="Times New Roman" w:hAnsi="Times New Roman" w:cs="Times New Roman"/>
          <w:color w:val="000000" w:themeColor="text1"/>
          <w:sz w:val="24"/>
          <w:szCs w:val="24"/>
        </w:rPr>
        <w:t>WpHG</w:t>
      </w:r>
      <w:proofErr w:type="spellEnd"/>
      <w:r w:rsidRPr="0093796F">
        <w:rPr>
          <w:rFonts w:ascii="Times New Roman" w:hAnsi="Times New Roman" w:cs="Times New Roman"/>
          <w:color w:val="000000" w:themeColor="text1"/>
          <w:sz w:val="24"/>
          <w:szCs w:val="24"/>
        </w:rPr>
        <w:t xml:space="preserve"> Section 15a filings, aggregating net purchase volume by insiders within a 30</w:t>
      </w:r>
      <w:r w:rsidR="0052137E" w:rsidRPr="0093796F">
        <w:rPr>
          <w:rFonts w:ascii="Times New Roman" w:hAnsi="Times New Roman" w:cs="Times New Roman"/>
          <w:color w:val="000000" w:themeColor="text1"/>
          <w:sz w:val="24"/>
          <w:szCs w:val="24"/>
        </w:rPr>
        <w:t>-</w:t>
      </w:r>
      <w:r w:rsidRPr="0093796F">
        <w:rPr>
          <w:rFonts w:ascii="Times New Roman" w:hAnsi="Times New Roman" w:cs="Times New Roman"/>
          <w:color w:val="000000" w:themeColor="text1"/>
          <w:sz w:val="24"/>
          <w:szCs w:val="24"/>
        </w:rPr>
        <w:t>day window prior to each portfolio formation date. All signals are lagged by one full month to eliminate any risk of look</w:t>
      </w:r>
      <w:r w:rsidR="0052137E" w:rsidRPr="0093796F">
        <w:rPr>
          <w:rFonts w:ascii="Times New Roman" w:hAnsi="Times New Roman" w:cs="Times New Roman"/>
          <w:color w:val="000000" w:themeColor="text1"/>
          <w:sz w:val="24"/>
          <w:szCs w:val="24"/>
        </w:rPr>
        <w:t>-</w:t>
      </w:r>
      <w:r w:rsidRPr="0093796F">
        <w:rPr>
          <w:rFonts w:ascii="Times New Roman" w:hAnsi="Times New Roman" w:cs="Times New Roman"/>
          <w:color w:val="000000" w:themeColor="text1"/>
          <w:sz w:val="24"/>
          <w:szCs w:val="24"/>
        </w:rPr>
        <w:t>ahead bias.</w:t>
      </w:r>
    </w:p>
    <w:p w14:paraId="3F05AE4B" w14:textId="640D11E5" w:rsidR="004176F0" w:rsidRPr="0093796F" w:rsidRDefault="006E199B" w:rsidP="0093796F">
      <w:pPr>
        <w:spacing w:before="60" w:after="60" w:line="360" w:lineRule="auto"/>
        <w:jc w:val="both"/>
        <w:rPr>
          <w:rFonts w:ascii="Times New Roman" w:hAnsi="Times New Roman" w:cs="Times New Roman"/>
          <w:color w:val="000000" w:themeColor="text1"/>
          <w:sz w:val="24"/>
          <w:szCs w:val="24"/>
        </w:rPr>
      </w:pPr>
      <w:r w:rsidRPr="0093796F">
        <w:rPr>
          <w:rFonts w:ascii="Times New Roman" w:hAnsi="Times New Roman" w:cs="Times New Roman"/>
          <w:color w:val="000000" w:themeColor="text1"/>
          <w:sz w:val="24"/>
          <w:szCs w:val="24"/>
        </w:rPr>
        <w:t xml:space="preserve">Univariate signal testing uses monthly </w:t>
      </w:r>
      <w:proofErr w:type="spellStart"/>
      <w:r w:rsidRPr="0093796F">
        <w:rPr>
          <w:rFonts w:ascii="Times New Roman" w:hAnsi="Times New Roman" w:cs="Times New Roman"/>
          <w:color w:val="000000" w:themeColor="text1"/>
          <w:sz w:val="24"/>
          <w:szCs w:val="24"/>
        </w:rPr>
        <w:t>Fama</w:t>
      </w:r>
      <w:proofErr w:type="spellEnd"/>
      <w:r w:rsidR="0052137E" w:rsidRPr="0093796F">
        <w:rPr>
          <w:rFonts w:ascii="Times New Roman" w:hAnsi="Times New Roman" w:cs="Times New Roman"/>
          <w:color w:val="000000" w:themeColor="text1"/>
          <w:sz w:val="24"/>
          <w:szCs w:val="24"/>
        </w:rPr>
        <w:t xml:space="preserve"> </w:t>
      </w:r>
      <w:proofErr w:type="spellStart"/>
      <w:r w:rsidRPr="0093796F">
        <w:rPr>
          <w:rFonts w:ascii="Times New Roman" w:hAnsi="Times New Roman" w:cs="Times New Roman"/>
          <w:color w:val="000000" w:themeColor="text1"/>
          <w:sz w:val="24"/>
          <w:szCs w:val="24"/>
        </w:rPr>
        <w:t>MacBeth</w:t>
      </w:r>
      <w:proofErr w:type="spellEnd"/>
      <w:r w:rsidRPr="0093796F">
        <w:rPr>
          <w:rFonts w:ascii="Times New Roman" w:hAnsi="Times New Roman" w:cs="Times New Roman"/>
          <w:color w:val="000000" w:themeColor="text1"/>
          <w:sz w:val="24"/>
          <w:szCs w:val="24"/>
        </w:rPr>
        <w:t xml:space="preserve"> regressions with Newey</w:t>
      </w:r>
      <w:r w:rsidR="0052137E" w:rsidRPr="0093796F">
        <w:rPr>
          <w:rFonts w:ascii="Times New Roman" w:hAnsi="Times New Roman" w:cs="Times New Roman"/>
          <w:color w:val="000000" w:themeColor="text1"/>
          <w:sz w:val="24"/>
          <w:szCs w:val="24"/>
        </w:rPr>
        <w:t>-</w:t>
      </w:r>
      <w:r w:rsidRPr="0093796F">
        <w:rPr>
          <w:rFonts w:ascii="Times New Roman" w:hAnsi="Times New Roman" w:cs="Times New Roman"/>
          <w:color w:val="000000" w:themeColor="text1"/>
          <w:sz w:val="24"/>
          <w:szCs w:val="24"/>
        </w:rPr>
        <w:t xml:space="preserve">West standard errors adjusted for six </w:t>
      </w:r>
      <w:proofErr w:type="spellStart"/>
      <w:r w:rsidRPr="0093796F">
        <w:rPr>
          <w:rFonts w:ascii="Times New Roman" w:hAnsi="Times New Roman" w:cs="Times New Roman"/>
          <w:color w:val="000000" w:themeColor="text1"/>
          <w:sz w:val="24"/>
          <w:szCs w:val="24"/>
        </w:rPr>
        <w:t>lags</w:t>
      </w:r>
      <w:proofErr w:type="spellEnd"/>
      <w:r w:rsidRPr="0093796F">
        <w:rPr>
          <w:rFonts w:ascii="Times New Roman" w:hAnsi="Times New Roman" w:cs="Times New Roman"/>
          <w:color w:val="000000" w:themeColor="text1"/>
          <w:sz w:val="24"/>
          <w:szCs w:val="24"/>
        </w:rPr>
        <w:t xml:space="preserve">. The machine learning stage employs an </w:t>
      </w:r>
      <w:proofErr w:type="spellStart"/>
      <w:r w:rsidRPr="0093796F">
        <w:rPr>
          <w:rFonts w:ascii="Times New Roman" w:hAnsi="Times New Roman" w:cs="Times New Roman"/>
          <w:color w:val="000000" w:themeColor="text1"/>
          <w:sz w:val="24"/>
          <w:szCs w:val="24"/>
        </w:rPr>
        <w:t>XGBoost</w:t>
      </w:r>
      <w:proofErr w:type="spellEnd"/>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gradient</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boosted tree mo</w:t>
      </w:r>
      <w:r w:rsidR="0058789A">
        <w:rPr>
          <w:rFonts w:ascii="Times New Roman" w:hAnsi="Times New Roman" w:cs="Times New Roman"/>
          <w:color w:val="000000" w:themeColor="text1"/>
          <w:sz w:val="24"/>
          <w:szCs w:val="24"/>
        </w:rPr>
        <w:t xml:space="preserve">del </w:t>
      </w:r>
      <w:r w:rsidR="0058789A" w:rsidRPr="0058789A">
        <w:rPr>
          <w:rFonts w:ascii="Times New Roman" w:hAnsi="Times New Roman" w:cs="Times New Roman"/>
          <w:color w:val="000000" w:themeColor="text1"/>
          <w:sz w:val="24"/>
          <w:szCs w:val="24"/>
        </w:rPr>
        <w:t>and a GNN layer trained on a rolling expanding window</w:t>
      </w:r>
      <w:r w:rsidRPr="0093796F">
        <w:rPr>
          <w:rFonts w:ascii="Times New Roman" w:hAnsi="Times New Roman" w:cs="Times New Roman"/>
          <w:color w:val="000000" w:themeColor="text1"/>
          <w:sz w:val="24"/>
          <w:szCs w:val="24"/>
        </w:rPr>
        <w:t>, with a training period from 200</w:t>
      </w:r>
      <w:r w:rsidR="0058789A">
        <w:rPr>
          <w:rFonts w:ascii="Times New Roman" w:hAnsi="Times New Roman" w:cs="Times New Roman"/>
          <w:color w:val="000000" w:themeColor="text1"/>
          <w:sz w:val="24"/>
          <w:szCs w:val="24"/>
        </w:rPr>
        <w:t>6</w:t>
      </w:r>
      <w:r w:rsidRPr="0093796F">
        <w:rPr>
          <w:rFonts w:ascii="Times New Roman" w:hAnsi="Times New Roman" w:cs="Times New Roman"/>
          <w:color w:val="000000" w:themeColor="text1"/>
          <w:sz w:val="24"/>
          <w:szCs w:val="24"/>
        </w:rPr>
        <w:t xml:space="preserve"> to 2018 and an out</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of</w:t>
      </w:r>
      <w:r w:rsidR="0052137E" w:rsidRPr="0093796F">
        <w:rPr>
          <w:rFonts w:ascii="Times New Roman" w:hAnsi="Times New Roman" w:cs="Times New Roman"/>
          <w:color w:val="000000" w:themeColor="text1"/>
          <w:sz w:val="24"/>
          <w:szCs w:val="24"/>
        </w:rPr>
        <w:t xml:space="preserve"> </w:t>
      </w:r>
      <w:r w:rsidRPr="0093796F">
        <w:rPr>
          <w:rFonts w:ascii="Times New Roman" w:hAnsi="Times New Roman" w:cs="Times New Roman"/>
          <w:color w:val="000000" w:themeColor="text1"/>
          <w:sz w:val="24"/>
          <w:szCs w:val="24"/>
        </w:rPr>
        <w:t>sample evaluation period from 2019 to 202</w:t>
      </w:r>
      <w:r w:rsidR="0058789A">
        <w:rPr>
          <w:rFonts w:ascii="Times New Roman" w:hAnsi="Times New Roman" w:cs="Times New Roman"/>
          <w:color w:val="000000" w:themeColor="text1"/>
          <w:sz w:val="24"/>
          <w:szCs w:val="24"/>
        </w:rPr>
        <w:t>6</w:t>
      </w:r>
      <w:r w:rsidRPr="0093796F">
        <w:rPr>
          <w:rFonts w:ascii="Times New Roman" w:hAnsi="Times New Roman" w:cs="Times New Roman"/>
          <w:color w:val="000000" w:themeColor="text1"/>
          <w:sz w:val="24"/>
          <w:szCs w:val="24"/>
        </w:rPr>
        <w:t>.</w:t>
      </w:r>
      <w:r w:rsidR="0058789A" w:rsidRPr="0058789A">
        <w:t xml:space="preserve"> </w:t>
      </w:r>
      <w:r w:rsidR="0058789A" w:rsidRPr="0058789A">
        <w:rPr>
          <w:rFonts w:ascii="Times New Roman" w:hAnsi="Times New Roman" w:cs="Times New Roman"/>
          <w:color w:val="000000" w:themeColor="text1"/>
          <w:sz w:val="24"/>
          <w:szCs w:val="24"/>
        </w:rPr>
        <w:t xml:space="preserve">Each node in the graph is initialized with the four alternative signals, and edges are weighted by revenue concentration. SHAP values and graph </w:t>
      </w:r>
      <w:r w:rsidR="0058789A" w:rsidRPr="0058789A">
        <w:rPr>
          <w:rFonts w:ascii="Times New Roman" w:hAnsi="Times New Roman" w:cs="Times New Roman"/>
          <w:color w:val="000000" w:themeColor="text1"/>
          <w:sz w:val="24"/>
          <w:szCs w:val="24"/>
        </w:rPr>
        <w:lastRenderedPageBreak/>
        <w:t>attribution will decompose predictions into individual signal and network contributions. Risk adjustment uses the Carhart (1997) four-factor model</w:t>
      </w:r>
      <w:r w:rsidRPr="0093796F">
        <w:rPr>
          <w:rFonts w:ascii="Times New Roman" w:hAnsi="Times New Roman" w:cs="Times New Roman"/>
          <w:color w:val="000000" w:themeColor="text1"/>
          <w:sz w:val="24"/>
          <w:szCs w:val="24"/>
        </w:rPr>
        <w:t>, with factor returns constructed from the German market following standard procedures.</w:t>
      </w:r>
    </w:p>
    <w:p w14:paraId="57FC36FB"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br w:type="page"/>
      </w:r>
    </w:p>
    <w:p w14:paraId="0E1C4B68" w14:textId="64745841" w:rsidR="004176F0" w:rsidRPr="004D6855" w:rsidRDefault="006E199B" w:rsidP="0058789A">
      <w:pPr>
        <w:spacing w:after="40" w:line="360" w:lineRule="auto"/>
        <w:rPr>
          <w:rFonts w:ascii="Times New Roman" w:hAnsi="Times New Roman" w:cs="Times New Roman"/>
          <w:sz w:val="24"/>
          <w:szCs w:val="24"/>
        </w:rPr>
      </w:pPr>
      <w:r w:rsidRPr="004D6855">
        <w:rPr>
          <w:rFonts w:ascii="Times New Roman" w:hAnsi="Times New Roman" w:cs="Times New Roman"/>
          <w:b/>
          <w:bCs/>
          <w:color w:val="1F3864"/>
          <w:sz w:val="24"/>
          <w:szCs w:val="24"/>
        </w:rPr>
        <w:lastRenderedPageBreak/>
        <w:t>APPENDIX</w:t>
      </w:r>
    </w:p>
    <w:p w14:paraId="6E858137" w14:textId="77777777" w:rsidR="004176F0" w:rsidRPr="004D6855" w:rsidRDefault="006E199B" w:rsidP="0093796F">
      <w:pPr>
        <w:spacing w:after="120" w:line="360" w:lineRule="auto"/>
        <w:rPr>
          <w:rFonts w:ascii="Times New Roman" w:hAnsi="Times New Roman" w:cs="Times New Roman"/>
          <w:sz w:val="24"/>
          <w:szCs w:val="24"/>
        </w:rPr>
      </w:pPr>
      <w:r w:rsidRPr="004D6855">
        <w:rPr>
          <w:rFonts w:ascii="Times New Roman" w:hAnsi="Times New Roman" w:cs="Times New Roman"/>
          <w:b/>
          <w:bCs/>
          <w:color w:val="2E75B6"/>
          <w:sz w:val="24"/>
          <w:szCs w:val="24"/>
        </w:rPr>
        <w:t>Timeline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46"/>
        <w:gridCol w:w="2600"/>
      </w:tblGrid>
      <w:tr w:rsidR="004176F0" w:rsidRPr="004D6855" w14:paraId="62269E09"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BB00D0"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color w:val="FFFFFF"/>
                <w:sz w:val="24"/>
                <w:szCs w:val="24"/>
              </w:rPr>
              <w:t>Phase</w:t>
            </w:r>
          </w:p>
        </w:tc>
        <w:tc>
          <w:tcPr>
            <w:tcW w:w="55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AD958"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color w:val="FFFFFF"/>
                <w:sz w:val="24"/>
                <w:szCs w:val="24"/>
              </w:rPr>
              <w:t>Task</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10DE22"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color w:val="FFFFFF"/>
                <w:sz w:val="24"/>
                <w:szCs w:val="24"/>
              </w:rPr>
              <w:t>Timing</w:t>
            </w:r>
          </w:p>
        </w:tc>
      </w:tr>
      <w:tr w:rsidR="004176F0" w:rsidRPr="004D6855" w14:paraId="04B6C46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99762"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Phase 1</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17BD1"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Data extraction and cleaning from Bloomberg Terminal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7EC73" w14:textId="444490D8"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April</w:t>
            </w:r>
            <w:r w:rsidR="001F62D3">
              <w:rPr>
                <w:rFonts w:ascii="Times New Roman" w:hAnsi="Times New Roman" w:cs="Times New Roman"/>
                <w:sz w:val="24"/>
                <w:szCs w:val="24"/>
              </w:rPr>
              <w:t xml:space="preserve"> </w:t>
            </w:r>
            <w:r w:rsidRPr="004D6855">
              <w:rPr>
                <w:rFonts w:ascii="Times New Roman" w:hAnsi="Times New Roman" w:cs="Times New Roman"/>
                <w:sz w:val="24"/>
                <w:szCs w:val="24"/>
              </w:rPr>
              <w:t>2026</w:t>
            </w:r>
          </w:p>
        </w:tc>
      </w:tr>
      <w:tr w:rsidR="004176F0" w:rsidRPr="004D6855" w14:paraId="4C1AD19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A82D4"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Phase 2</w:t>
            </w:r>
          </w:p>
        </w:tc>
        <w:tc>
          <w:tcPr>
            <w:tcW w:w="55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99FB2C" w14:textId="511D7602" w:rsidR="004176F0" w:rsidRPr="004D6855" w:rsidRDefault="0058789A" w:rsidP="0093796F">
            <w:pPr>
              <w:spacing w:line="360" w:lineRule="auto"/>
              <w:rPr>
                <w:rFonts w:ascii="Times New Roman" w:hAnsi="Times New Roman" w:cs="Times New Roman"/>
                <w:sz w:val="24"/>
                <w:szCs w:val="24"/>
              </w:rPr>
            </w:pPr>
            <w:r w:rsidRPr="0058789A">
              <w:rPr>
                <w:rFonts w:ascii="Times New Roman" w:hAnsi="Times New Roman" w:cs="Times New Roman"/>
                <w:sz w:val="24"/>
                <w:szCs w:val="24"/>
              </w:rPr>
              <w:t>Signal construction, graph mapping, and univariate tests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5A013" w14:textId="573A958D" w:rsidR="004176F0" w:rsidRPr="004D6855" w:rsidRDefault="001F62D3" w:rsidP="0093796F">
            <w:pPr>
              <w:spacing w:line="360" w:lineRule="auto"/>
              <w:rPr>
                <w:rFonts w:ascii="Times New Roman" w:hAnsi="Times New Roman" w:cs="Times New Roman"/>
                <w:sz w:val="24"/>
                <w:szCs w:val="24"/>
              </w:rPr>
            </w:pPr>
            <w:r>
              <w:rPr>
                <w:rFonts w:ascii="Times New Roman" w:hAnsi="Times New Roman" w:cs="Times New Roman"/>
                <w:sz w:val="24"/>
                <w:szCs w:val="24"/>
              </w:rPr>
              <w:t xml:space="preserve">April, </w:t>
            </w:r>
            <w:r w:rsidR="006E199B" w:rsidRPr="004D6855">
              <w:rPr>
                <w:rFonts w:ascii="Times New Roman" w:hAnsi="Times New Roman" w:cs="Times New Roman"/>
                <w:sz w:val="24"/>
                <w:szCs w:val="24"/>
              </w:rPr>
              <w:t>May 2026</w:t>
            </w:r>
          </w:p>
        </w:tc>
      </w:tr>
      <w:tr w:rsidR="004176F0" w:rsidRPr="004D6855" w14:paraId="30582F4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876A3"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Phase 3</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C15B1" w14:textId="0323936B" w:rsidR="004176F0" w:rsidRPr="004D6855" w:rsidRDefault="0058789A" w:rsidP="0093796F">
            <w:pPr>
              <w:spacing w:line="360" w:lineRule="auto"/>
              <w:rPr>
                <w:rFonts w:ascii="Times New Roman" w:hAnsi="Times New Roman" w:cs="Times New Roman"/>
                <w:sz w:val="24"/>
                <w:szCs w:val="24"/>
              </w:rPr>
            </w:pPr>
            <w:r w:rsidRPr="0058789A">
              <w:rPr>
                <w:rFonts w:ascii="Times New Roman" w:hAnsi="Times New Roman" w:cs="Times New Roman"/>
                <w:sz w:val="24"/>
                <w:szCs w:val="24"/>
              </w:rPr>
              <w:t>Hybrid GNN-</w:t>
            </w:r>
            <w:proofErr w:type="spellStart"/>
            <w:r w:rsidRPr="0058789A">
              <w:rPr>
                <w:rFonts w:ascii="Times New Roman" w:hAnsi="Times New Roman" w:cs="Times New Roman"/>
                <w:sz w:val="24"/>
                <w:szCs w:val="24"/>
              </w:rPr>
              <w:t>XGBoost</w:t>
            </w:r>
            <w:proofErr w:type="spellEnd"/>
            <w:r w:rsidRPr="0058789A">
              <w:rPr>
                <w:rFonts w:ascii="Times New Roman" w:hAnsi="Times New Roman" w:cs="Times New Roman"/>
                <w:sz w:val="24"/>
                <w:szCs w:val="24"/>
              </w:rPr>
              <w:t xml:space="preserve"> model training and SHAP attribution</w:t>
            </w:r>
            <w:r w:rsidR="00716B62">
              <w:rPr>
                <w:rFonts w:ascii="Times New Roman" w:hAnsi="Times New Roman" w:cs="Times New Roman"/>
                <w:sz w:val="24"/>
                <w:szCs w:val="24"/>
              </w:rPr>
              <w:t>, Thesis Draft Submission (June 1</w:t>
            </w:r>
            <w:r w:rsidR="00716B62" w:rsidRPr="00716B62">
              <w:rPr>
                <w:rFonts w:ascii="Times New Roman" w:hAnsi="Times New Roman" w:cs="Times New Roman"/>
                <w:sz w:val="24"/>
                <w:szCs w:val="24"/>
                <w:vertAlign w:val="superscript"/>
              </w:rPr>
              <w:t>st</w:t>
            </w:r>
            <w:r w:rsidR="00716B62">
              <w:rPr>
                <w:rFonts w:ascii="Times New Roman" w:hAnsi="Times New Roman" w:cs="Times New Roman"/>
                <w:sz w:val="24"/>
                <w:szCs w:val="24"/>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1645" w14:textId="1571B187" w:rsidR="004176F0" w:rsidRPr="004D6855" w:rsidRDefault="001F62D3" w:rsidP="0093796F">
            <w:pPr>
              <w:spacing w:line="360" w:lineRule="auto"/>
              <w:rPr>
                <w:rFonts w:ascii="Times New Roman" w:hAnsi="Times New Roman" w:cs="Times New Roman"/>
                <w:sz w:val="24"/>
                <w:szCs w:val="24"/>
              </w:rPr>
            </w:pPr>
            <w:r>
              <w:rPr>
                <w:rFonts w:ascii="Times New Roman" w:hAnsi="Times New Roman" w:cs="Times New Roman"/>
                <w:sz w:val="24"/>
                <w:szCs w:val="24"/>
              </w:rPr>
              <w:t xml:space="preserve">May, </w:t>
            </w:r>
            <w:r w:rsidR="006E199B" w:rsidRPr="004D6855">
              <w:rPr>
                <w:rFonts w:ascii="Times New Roman" w:hAnsi="Times New Roman" w:cs="Times New Roman"/>
                <w:sz w:val="24"/>
                <w:szCs w:val="24"/>
              </w:rPr>
              <w:t>June 2026</w:t>
            </w:r>
          </w:p>
        </w:tc>
      </w:tr>
      <w:tr w:rsidR="004176F0" w:rsidRPr="004D6855" w14:paraId="455626F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AAB4F"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Phase 4</w:t>
            </w:r>
          </w:p>
        </w:tc>
        <w:tc>
          <w:tcPr>
            <w:tcW w:w="55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ABA7D" w14:textId="77777777" w:rsidR="004176F0" w:rsidRPr="004D6855" w:rsidRDefault="006E199B" w:rsidP="0093796F">
            <w:pPr>
              <w:spacing w:line="360" w:lineRule="auto"/>
              <w:rPr>
                <w:rFonts w:ascii="Times New Roman" w:hAnsi="Times New Roman" w:cs="Times New Roman"/>
                <w:sz w:val="24"/>
                <w:szCs w:val="24"/>
              </w:rPr>
            </w:pPr>
            <w:proofErr w:type="spellStart"/>
            <w:proofErr w:type="gramStart"/>
            <w:r w:rsidRPr="004D6855">
              <w:rPr>
                <w:rFonts w:ascii="Times New Roman" w:hAnsi="Times New Roman" w:cs="Times New Roman"/>
                <w:sz w:val="24"/>
                <w:szCs w:val="24"/>
              </w:rPr>
              <w:t>Long,short</w:t>
            </w:r>
            <w:proofErr w:type="spellEnd"/>
            <w:proofErr w:type="gramEnd"/>
            <w:r w:rsidRPr="004D6855">
              <w:rPr>
                <w:rFonts w:ascii="Times New Roman" w:hAnsi="Times New Roman" w:cs="Times New Roman"/>
                <w:sz w:val="24"/>
                <w:szCs w:val="24"/>
              </w:rPr>
              <w:t xml:space="preserve"> portfolio </w:t>
            </w:r>
            <w:proofErr w:type="spellStart"/>
            <w:r w:rsidRPr="004D6855">
              <w:rPr>
                <w:rFonts w:ascii="Times New Roman" w:hAnsi="Times New Roman" w:cs="Times New Roman"/>
                <w:sz w:val="24"/>
                <w:szCs w:val="24"/>
              </w:rPr>
              <w:t>backtest</w:t>
            </w:r>
            <w:proofErr w:type="spellEnd"/>
            <w:r w:rsidRPr="004D6855">
              <w:rPr>
                <w:rFonts w:ascii="Times New Roman" w:hAnsi="Times New Roman" w:cs="Times New Roman"/>
                <w:sz w:val="24"/>
                <w:szCs w:val="24"/>
              </w:rPr>
              <w:t xml:space="preserve"> and robustness checks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0F725"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June, July 2026</w:t>
            </w:r>
          </w:p>
        </w:tc>
      </w:tr>
      <w:tr w:rsidR="004176F0" w:rsidRPr="004D6855" w14:paraId="1D8C815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11052"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Phase 5</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BDDAD"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Writing, revisions, and finalization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3FF0E"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July 2026</w:t>
            </w:r>
          </w:p>
        </w:tc>
      </w:tr>
      <w:tr w:rsidR="004176F0" w:rsidRPr="004D6855" w14:paraId="1DC5B5B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9FA56"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Submission</w:t>
            </w:r>
          </w:p>
        </w:tc>
        <w:tc>
          <w:tcPr>
            <w:tcW w:w="5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57D06" w14:textId="0663A2E0"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 xml:space="preserve">Final thesis submitted to </w:t>
            </w:r>
            <w:r w:rsidR="001F62D3">
              <w:rPr>
                <w:rFonts w:ascii="Times New Roman" w:hAnsi="Times New Roman" w:cs="Times New Roman"/>
                <w:sz w:val="24"/>
                <w:szCs w:val="24"/>
              </w:rPr>
              <w:t>Moodle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A2977"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July 29, 2026</w:t>
            </w:r>
          </w:p>
        </w:tc>
      </w:tr>
    </w:tbl>
    <w:p w14:paraId="44D8EE25" w14:textId="77777777" w:rsidR="004176F0" w:rsidRPr="004D6855" w:rsidRDefault="004176F0" w:rsidP="0093796F">
      <w:pPr>
        <w:spacing w:before="280" w:line="360" w:lineRule="auto"/>
        <w:rPr>
          <w:rFonts w:ascii="Times New Roman" w:hAnsi="Times New Roman" w:cs="Times New Roman"/>
          <w:sz w:val="24"/>
          <w:szCs w:val="24"/>
        </w:rPr>
      </w:pPr>
    </w:p>
    <w:p w14:paraId="5134D1EA" w14:textId="77777777" w:rsidR="004176F0" w:rsidRPr="004D6855" w:rsidRDefault="006E199B" w:rsidP="0093796F">
      <w:pPr>
        <w:spacing w:after="120" w:line="360" w:lineRule="auto"/>
        <w:rPr>
          <w:rFonts w:ascii="Times New Roman" w:hAnsi="Times New Roman" w:cs="Times New Roman"/>
          <w:sz w:val="24"/>
          <w:szCs w:val="24"/>
        </w:rPr>
      </w:pPr>
      <w:r w:rsidRPr="004D6855">
        <w:rPr>
          <w:rFonts w:ascii="Times New Roman" w:hAnsi="Times New Roman" w:cs="Times New Roman"/>
          <w:b/>
          <w:bCs/>
          <w:color w:val="2E75B6"/>
          <w:sz w:val="24"/>
          <w:szCs w:val="24"/>
        </w:rPr>
        <w:t>Resources</w:t>
      </w:r>
    </w:p>
    <w:p w14:paraId="7265DAFE" w14:textId="77777777" w:rsidR="004176F0" w:rsidRPr="004D6855" w:rsidRDefault="006E199B" w:rsidP="0093796F">
      <w:pPr>
        <w:pStyle w:val="ListParagraph"/>
        <w:numPr>
          <w:ilvl w:val="0"/>
          <w:numId w:val="2"/>
        </w:numPr>
        <w:spacing w:line="360" w:lineRule="auto"/>
        <w:rPr>
          <w:rFonts w:ascii="Times New Roman" w:hAnsi="Times New Roman" w:cs="Times New Roman"/>
          <w:sz w:val="24"/>
          <w:szCs w:val="24"/>
        </w:rPr>
      </w:pPr>
      <w:r w:rsidRPr="004D6855">
        <w:rPr>
          <w:rFonts w:ascii="Times New Roman" w:hAnsi="Times New Roman" w:cs="Times New Roman"/>
          <w:sz w:val="24"/>
          <w:szCs w:val="24"/>
        </w:rPr>
        <w:t xml:space="preserve">Bloomberg Terminal (ESMT institutional access): pricing, fundamentals, analyst estimates, short interest, </w:t>
      </w:r>
      <w:proofErr w:type="spellStart"/>
      <w:r w:rsidRPr="004D6855">
        <w:rPr>
          <w:rFonts w:ascii="Times New Roman" w:hAnsi="Times New Roman" w:cs="Times New Roman"/>
          <w:sz w:val="24"/>
          <w:szCs w:val="24"/>
        </w:rPr>
        <w:t>WpHG</w:t>
      </w:r>
      <w:proofErr w:type="spellEnd"/>
      <w:r w:rsidRPr="004D6855">
        <w:rPr>
          <w:rFonts w:ascii="Times New Roman" w:hAnsi="Times New Roman" w:cs="Times New Roman"/>
          <w:sz w:val="24"/>
          <w:szCs w:val="24"/>
        </w:rPr>
        <w:t xml:space="preserve"> insider filings</w:t>
      </w:r>
    </w:p>
    <w:p w14:paraId="488F2C12" w14:textId="4A06A91F" w:rsidR="004176F0" w:rsidRPr="004D6855" w:rsidRDefault="006E199B" w:rsidP="0093796F">
      <w:pPr>
        <w:pStyle w:val="ListParagraph"/>
        <w:numPr>
          <w:ilvl w:val="0"/>
          <w:numId w:val="2"/>
        </w:numPr>
        <w:spacing w:line="360" w:lineRule="auto"/>
        <w:rPr>
          <w:rFonts w:ascii="Times New Roman" w:hAnsi="Times New Roman" w:cs="Times New Roman"/>
          <w:sz w:val="24"/>
          <w:szCs w:val="24"/>
        </w:rPr>
      </w:pPr>
      <w:r w:rsidRPr="004D6855">
        <w:rPr>
          <w:rFonts w:ascii="Times New Roman" w:hAnsi="Times New Roman" w:cs="Times New Roman"/>
          <w:sz w:val="24"/>
          <w:szCs w:val="24"/>
        </w:rPr>
        <w:t xml:space="preserve">Python environment: pandas, NumPy, </w:t>
      </w:r>
      <w:proofErr w:type="spellStart"/>
      <w:proofErr w:type="gramStart"/>
      <w:r w:rsidRPr="004D6855">
        <w:rPr>
          <w:rFonts w:ascii="Times New Roman" w:hAnsi="Times New Roman" w:cs="Times New Roman"/>
          <w:sz w:val="24"/>
          <w:szCs w:val="24"/>
        </w:rPr>
        <w:t>scikit</w:t>
      </w:r>
      <w:r w:rsidR="00E75856">
        <w:rPr>
          <w:rFonts w:ascii="Times New Roman" w:hAnsi="Times New Roman" w:cs="Times New Roman"/>
          <w:sz w:val="24"/>
          <w:szCs w:val="24"/>
        </w:rPr>
        <w:t>.</w:t>
      </w:r>
      <w:r w:rsidRPr="004D6855">
        <w:rPr>
          <w:rFonts w:ascii="Times New Roman" w:hAnsi="Times New Roman" w:cs="Times New Roman"/>
          <w:sz w:val="24"/>
          <w:szCs w:val="24"/>
        </w:rPr>
        <w:t>learn</w:t>
      </w:r>
      <w:proofErr w:type="spellEnd"/>
      <w:proofErr w:type="gramEnd"/>
      <w:r w:rsidRPr="004D6855">
        <w:rPr>
          <w:rFonts w:ascii="Times New Roman" w:hAnsi="Times New Roman" w:cs="Times New Roman"/>
          <w:sz w:val="24"/>
          <w:szCs w:val="24"/>
        </w:rPr>
        <w:t xml:space="preserve">, </w:t>
      </w:r>
      <w:proofErr w:type="spellStart"/>
      <w:r w:rsidRPr="004D6855">
        <w:rPr>
          <w:rFonts w:ascii="Times New Roman" w:hAnsi="Times New Roman" w:cs="Times New Roman"/>
          <w:sz w:val="24"/>
          <w:szCs w:val="24"/>
        </w:rPr>
        <w:t>XGBoost</w:t>
      </w:r>
      <w:proofErr w:type="spellEnd"/>
      <w:r w:rsidRPr="004D6855">
        <w:rPr>
          <w:rFonts w:ascii="Times New Roman" w:hAnsi="Times New Roman" w:cs="Times New Roman"/>
          <w:sz w:val="24"/>
          <w:szCs w:val="24"/>
        </w:rPr>
        <w:t xml:space="preserve">, SHAP, </w:t>
      </w:r>
      <w:proofErr w:type="spellStart"/>
      <w:r w:rsidRPr="004D6855">
        <w:rPr>
          <w:rFonts w:ascii="Times New Roman" w:hAnsi="Times New Roman" w:cs="Times New Roman"/>
          <w:sz w:val="24"/>
          <w:szCs w:val="24"/>
        </w:rPr>
        <w:t>statsmodels</w:t>
      </w:r>
      <w:proofErr w:type="spellEnd"/>
      <w:r w:rsidR="001A2953" w:rsidRPr="004D6855">
        <w:rPr>
          <w:rFonts w:ascii="Times New Roman" w:hAnsi="Times New Roman" w:cs="Times New Roman"/>
          <w:sz w:val="24"/>
          <w:szCs w:val="24"/>
        </w:rPr>
        <w:t xml:space="preserve">, </w:t>
      </w:r>
      <w:proofErr w:type="spellStart"/>
      <w:r w:rsidR="001A2953" w:rsidRPr="004D6855">
        <w:rPr>
          <w:rFonts w:ascii="Times New Roman" w:hAnsi="Times New Roman" w:cs="Times New Roman"/>
          <w:sz w:val="24"/>
          <w:szCs w:val="24"/>
        </w:rPr>
        <w:t>PyTorch</w:t>
      </w:r>
      <w:proofErr w:type="spellEnd"/>
      <w:r w:rsidR="001A2953" w:rsidRPr="004D6855">
        <w:rPr>
          <w:rFonts w:ascii="Times New Roman" w:hAnsi="Times New Roman" w:cs="Times New Roman"/>
          <w:sz w:val="24"/>
          <w:szCs w:val="24"/>
        </w:rPr>
        <w:t xml:space="preserve"> Geometric</w:t>
      </w:r>
    </w:p>
    <w:p w14:paraId="379A9AA9" w14:textId="77777777" w:rsidR="004176F0" w:rsidRPr="004D6855" w:rsidRDefault="006E199B" w:rsidP="0093796F">
      <w:pPr>
        <w:pStyle w:val="ListParagraph"/>
        <w:numPr>
          <w:ilvl w:val="0"/>
          <w:numId w:val="2"/>
        </w:numPr>
        <w:spacing w:line="360" w:lineRule="auto"/>
        <w:rPr>
          <w:rFonts w:ascii="Times New Roman" w:hAnsi="Times New Roman" w:cs="Times New Roman"/>
          <w:sz w:val="24"/>
          <w:szCs w:val="24"/>
        </w:rPr>
      </w:pPr>
      <w:r w:rsidRPr="004D6855">
        <w:rPr>
          <w:rFonts w:ascii="Times New Roman" w:hAnsi="Times New Roman" w:cs="Times New Roman"/>
          <w:sz w:val="24"/>
          <w:szCs w:val="24"/>
        </w:rPr>
        <w:t>Academic databases: JSTOR, SSRN, Oxford Academic, and ESMT Library access</w:t>
      </w:r>
    </w:p>
    <w:p w14:paraId="412C235B" w14:textId="77777777" w:rsidR="004176F0" w:rsidRPr="004D6855" w:rsidRDefault="004176F0" w:rsidP="0093796F">
      <w:pPr>
        <w:spacing w:before="200" w:line="360" w:lineRule="auto"/>
        <w:rPr>
          <w:rFonts w:ascii="Times New Roman" w:hAnsi="Times New Roman" w:cs="Times New Roman"/>
          <w:sz w:val="24"/>
          <w:szCs w:val="24"/>
        </w:rPr>
      </w:pPr>
    </w:p>
    <w:p w14:paraId="55552B5B" w14:textId="1DD54D88" w:rsidR="004176F0" w:rsidRPr="004D6855" w:rsidRDefault="006E199B" w:rsidP="0093796F">
      <w:pPr>
        <w:spacing w:after="120" w:line="360" w:lineRule="auto"/>
        <w:rPr>
          <w:rFonts w:ascii="Times New Roman" w:hAnsi="Times New Roman" w:cs="Times New Roman"/>
          <w:sz w:val="24"/>
          <w:szCs w:val="24"/>
        </w:rPr>
      </w:pPr>
      <w:r w:rsidRPr="004D6855">
        <w:rPr>
          <w:rFonts w:ascii="Times New Roman" w:hAnsi="Times New Roman" w:cs="Times New Roman"/>
          <w:b/>
          <w:bCs/>
          <w:color w:val="2E75B6"/>
          <w:sz w:val="24"/>
          <w:szCs w:val="24"/>
        </w:rPr>
        <w:t>References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4176F0" w:rsidRPr="004D6855" w14:paraId="27F937FB"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6D1EF8"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color w:val="FFFFFF"/>
                <w:sz w:val="24"/>
                <w:szCs w:val="24"/>
              </w:rPr>
              <w:t>Author(s) and Year</w:t>
            </w:r>
          </w:p>
        </w:tc>
        <w:tc>
          <w:tcPr>
            <w:tcW w:w="65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49F2EC"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color w:val="FFFFFF"/>
                <w:sz w:val="24"/>
                <w:szCs w:val="24"/>
              </w:rPr>
              <w:t>Reference</w:t>
            </w:r>
          </w:p>
        </w:tc>
      </w:tr>
      <w:tr w:rsidR="004176F0" w:rsidRPr="004D6855" w14:paraId="2A90681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54F68"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Carhart (1997)</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41D99"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On Persistence in Mutual Fund Performance. Journal of Finance, 52(1), 57,82.</w:t>
            </w:r>
          </w:p>
        </w:tc>
      </w:tr>
      <w:tr w:rsidR="004176F0" w:rsidRPr="004D6855" w14:paraId="550A2D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6680B"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Conrad and Kaul (1998)</w:t>
            </w:r>
          </w:p>
        </w:tc>
        <w:tc>
          <w:tcPr>
            <w:tcW w:w="65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22320"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An Anatomy of Trading Strategies. Review of Financial Studies, 11(3), 489,519.</w:t>
            </w:r>
          </w:p>
        </w:tc>
      </w:tr>
      <w:tr w:rsidR="004176F0" w:rsidRPr="004D6855" w14:paraId="7A35C1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B4EFA" w14:textId="77777777" w:rsidR="004176F0" w:rsidRPr="004D6855" w:rsidRDefault="006E199B" w:rsidP="0093796F">
            <w:pPr>
              <w:spacing w:line="360" w:lineRule="auto"/>
              <w:rPr>
                <w:rFonts w:ascii="Times New Roman" w:hAnsi="Times New Roman" w:cs="Times New Roman"/>
                <w:sz w:val="24"/>
                <w:szCs w:val="24"/>
              </w:rPr>
            </w:pPr>
            <w:proofErr w:type="spellStart"/>
            <w:r w:rsidRPr="004D6855">
              <w:rPr>
                <w:rFonts w:ascii="Times New Roman" w:hAnsi="Times New Roman" w:cs="Times New Roman"/>
                <w:b/>
                <w:bCs/>
                <w:sz w:val="24"/>
                <w:szCs w:val="24"/>
              </w:rPr>
              <w:t>Fama</w:t>
            </w:r>
            <w:proofErr w:type="spellEnd"/>
            <w:r w:rsidRPr="004D6855">
              <w:rPr>
                <w:rFonts w:ascii="Times New Roman" w:hAnsi="Times New Roman" w:cs="Times New Roman"/>
                <w:b/>
                <w:bCs/>
                <w:sz w:val="24"/>
                <w:szCs w:val="24"/>
              </w:rPr>
              <w:t xml:space="preserve"> and </w:t>
            </w:r>
            <w:proofErr w:type="spellStart"/>
            <w:r w:rsidRPr="004D6855">
              <w:rPr>
                <w:rFonts w:ascii="Times New Roman" w:hAnsi="Times New Roman" w:cs="Times New Roman"/>
                <w:b/>
                <w:bCs/>
                <w:sz w:val="24"/>
                <w:szCs w:val="24"/>
              </w:rPr>
              <w:t>MacBeth</w:t>
            </w:r>
            <w:proofErr w:type="spellEnd"/>
            <w:r w:rsidRPr="004D6855">
              <w:rPr>
                <w:rFonts w:ascii="Times New Roman" w:hAnsi="Times New Roman" w:cs="Times New Roman"/>
                <w:b/>
                <w:bCs/>
                <w:sz w:val="24"/>
                <w:szCs w:val="24"/>
              </w:rPr>
              <w:t xml:space="preserve"> (1973)</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18B9C"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Risk, Return, and Equilibrium. Journal of Political Economy, 81(3), 607,636.</w:t>
            </w:r>
          </w:p>
        </w:tc>
      </w:tr>
      <w:tr w:rsidR="004176F0" w:rsidRPr="004D6855" w14:paraId="665F85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56F109"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lastRenderedPageBreak/>
              <w:t>Foster, Olsen, and Shevlin (1984)</w:t>
            </w:r>
          </w:p>
        </w:tc>
        <w:tc>
          <w:tcPr>
            <w:tcW w:w="65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69E413"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Earnings Releases, Anomalies, and the Behavior of Security Returns. The Accounting Review, 59(4), 574,603.</w:t>
            </w:r>
          </w:p>
        </w:tc>
      </w:tr>
      <w:tr w:rsidR="004176F0" w:rsidRPr="004D6855" w14:paraId="46558A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E7A3E"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 xml:space="preserve">Gu, Kelly, and </w:t>
            </w:r>
            <w:proofErr w:type="spellStart"/>
            <w:r w:rsidRPr="004D6855">
              <w:rPr>
                <w:rFonts w:ascii="Times New Roman" w:hAnsi="Times New Roman" w:cs="Times New Roman"/>
                <w:b/>
                <w:bCs/>
                <w:sz w:val="24"/>
                <w:szCs w:val="24"/>
              </w:rPr>
              <w:t>Xiu</w:t>
            </w:r>
            <w:proofErr w:type="spellEnd"/>
            <w:r w:rsidRPr="004D6855">
              <w:rPr>
                <w:rFonts w:ascii="Times New Roman" w:hAnsi="Times New Roman" w:cs="Times New Roman"/>
                <w:b/>
                <w:bCs/>
                <w:sz w:val="24"/>
                <w:szCs w:val="24"/>
              </w:rPr>
              <w:t xml:space="preserve"> (2020)</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A75D"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Empirical Asset Pricing via Machine Learning. Review of Financial Studies, 33(5), 2223,2273.</w:t>
            </w:r>
          </w:p>
        </w:tc>
      </w:tr>
      <w:tr w:rsidR="004176F0" w:rsidRPr="004D6855" w14:paraId="6FAADF2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08942" w14:textId="77777777" w:rsidR="004176F0" w:rsidRPr="004D6855" w:rsidRDefault="006E199B" w:rsidP="0093796F">
            <w:pPr>
              <w:spacing w:line="360" w:lineRule="auto"/>
              <w:rPr>
                <w:rFonts w:ascii="Times New Roman" w:hAnsi="Times New Roman" w:cs="Times New Roman"/>
                <w:sz w:val="24"/>
                <w:szCs w:val="24"/>
              </w:rPr>
            </w:pPr>
            <w:proofErr w:type="spellStart"/>
            <w:r w:rsidRPr="004D6855">
              <w:rPr>
                <w:rFonts w:ascii="Times New Roman" w:hAnsi="Times New Roman" w:cs="Times New Roman"/>
                <w:b/>
                <w:bCs/>
                <w:sz w:val="24"/>
                <w:szCs w:val="24"/>
              </w:rPr>
              <w:t>Mashruwala</w:t>
            </w:r>
            <w:proofErr w:type="spellEnd"/>
            <w:r w:rsidRPr="004D6855">
              <w:rPr>
                <w:rFonts w:ascii="Times New Roman" w:hAnsi="Times New Roman" w:cs="Times New Roman"/>
                <w:b/>
                <w:bCs/>
                <w:sz w:val="24"/>
                <w:szCs w:val="24"/>
              </w:rPr>
              <w:t xml:space="preserve">, </w:t>
            </w:r>
            <w:proofErr w:type="spellStart"/>
            <w:r w:rsidRPr="004D6855">
              <w:rPr>
                <w:rFonts w:ascii="Times New Roman" w:hAnsi="Times New Roman" w:cs="Times New Roman"/>
                <w:b/>
                <w:bCs/>
                <w:sz w:val="24"/>
                <w:szCs w:val="24"/>
              </w:rPr>
              <w:t>Rajgopal</w:t>
            </w:r>
            <w:proofErr w:type="spellEnd"/>
            <w:r w:rsidRPr="004D6855">
              <w:rPr>
                <w:rFonts w:ascii="Times New Roman" w:hAnsi="Times New Roman" w:cs="Times New Roman"/>
                <w:b/>
                <w:bCs/>
                <w:sz w:val="24"/>
                <w:szCs w:val="24"/>
              </w:rPr>
              <w:t>, and Shevlin (2006)</w:t>
            </w:r>
          </w:p>
        </w:tc>
        <w:tc>
          <w:tcPr>
            <w:tcW w:w="65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E81EB"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Why is the Accrual Anomaly Not Arbitraged Away? Journal of Accounting and Economics, 42(1,2), 3,33.</w:t>
            </w:r>
          </w:p>
        </w:tc>
      </w:tr>
      <w:tr w:rsidR="004176F0" w:rsidRPr="004D6855" w14:paraId="5637F9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994A"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b/>
                <w:bCs/>
                <w:sz w:val="24"/>
                <w:szCs w:val="24"/>
              </w:rPr>
              <w:t>Sloan (1996)</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84F52" w14:textId="77777777" w:rsidR="004176F0" w:rsidRPr="004D6855" w:rsidRDefault="006E199B" w:rsidP="0093796F">
            <w:pPr>
              <w:spacing w:line="360" w:lineRule="auto"/>
              <w:rPr>
                <w:rFonts w:ascii="Times New Roman" w:hAnsi="Times New Roman" w:cs="Times New Roman"/>
                <w:sz w:val="24"/>
                <w:szCs w:val="24"/>
              </w:rPr>
            </w:pPr>
            <w:r w:rsidRPr="004D6855">
              <w:rPr>
                <w:rFonts w:ascii="Times New Roman" w:hAnsi="Times New Roman" w:cs="Times New Roman"/>
                <w:sz w:val="24"/>
                <w:szCs w:val="24"/>
              </w:rPr>
              <w:t>Do Stock Prices Fully Reflect Information in Accruals and Cash Flows? The Accounting Review, 71(3), 289,315.</w:t>
            </w:r>
          </w:p>
        </w:tc>
      </w:tr>
      <w:tr w:rsidR="00DC2524" w:rsidRPr="004D6855" w14:paraId="11EF35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A96DD" w14:textId="293E15EB" w:rsidR="00DC2524" w:rsidRPr="004D6855" w:rsidRDefault="00DC2524" w:rsidP="0093796F">
            <w:pPr>
              <w:pStyle w:val="Default"/>
              <w:spacing w:line="360" w:lineRule="auto"/>
              <w:rPr>
                <w:b/>
                <w:bCs/>
                <w:color w:val="404040"/>
              </w:rPr>
            </w:pPr>
            <w:r w:rsidRPr="004D6855">
              <w:rPr>
                <w:b/>
                <w:bCs/>
                <w:color w:val="404040"/>
              </w:rPr>
              <w:t>Bloomberg Intelligence (2025)</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A5442" w14:textId="272F4377" w:rsidR="00DC2524" w:rsidRPr="004D6855" w:rsidRDefault="00DC2524" w:rsidP="0093796F">
            <w:pPr>
              <w:pStyle w:val="Default"/>
              <w:spacing w:line="360" w:lineRule="auto"/>
              <w:rPr>
                <w:color w:val="404040"/>
              </w:rPr>
            </w:pPr>
            <w:r w:rsidRPr="004D6855">
              <w:rPr>
                <w:color w:val="404040"/>
              </w:rPr>
              <w:t xml:space="preserve">SPLC </w:t>
            </w:r>
            <w:proofErr w:type="spellStart"/>
            <w:r w:rsidRPr="004D6855">
              <w:rPr>
                <w:color w:val="404040"/>
              </w:rPr>
              <w:t>GeoRiskFactors</w:t>
            </w:r>
            <w:proofErr w:type="spellEnd"/>
            <w:r w:rsidRPr="004D6855">
              <w:rPr>
                <w:color w:val="404040"/>
              </w:rPr>
              <w:t>: Revenue Concentration as a Systematic Factor.</w:t>
            </w:r>
          </w:p>
        </w:tc>
      </w:tr>
      <w:tr w:rsidR="00DC2524" w:rsidRPr="004D6855" w14:paraId="13895C0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F56C" w14:textId="734444A5" w:rsidR="00DC2524" w:rsidRPr="004D6855" w:rsidRDefault="00DC2524" w:rsidP="0093796F">
            <w:pPr>
              <w:pStyle w:val="Default"/>
              <w:spacing w:line="360" w:lineRule="auto"/>
              <w:rPr>
                <w:b/>
                <w:bCs/>
                <w:color w:val="404040"/>
              </w:rPr>
            </w:pPr>
            <w:proofErr w:type="spellStart"/>
            <w:r w:rsidRPr="004D6855">
              <w:rPr>
                <w:b/>
                <w:bCs/>
                <w:color w:val="404040"/>
              </w:rPr>
              <w:t>Fama</w:t>
            </w:r>
            <w:proofErr w:type="spellEnd"/>
            <w:r w:rsidRPr="004D6855">
              <w:rPr>
                <w:b/>
                <w:bCs/>
                <w:color w:val="404040"/>
              </w:rPr>
              <w:t>, E. F., &amp; French, K. R. (2015)</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CEE93" w14:textId="207BCA57" w:rsidR="00DC2524" w:rsidRPr="004D6855" w:rsidRDefault="0052137E" w:rsidP="0093796F">
            <w:pPr>
              <w:pStyle w:val="Default"/>
              <w:spacing w:line="360" w:lineRule="auto"/>
              <w:rPr>
                <w:color w:val="1F1F1F"/>
              </w:rPr>
            </w:pPr>
            <w:r w:rsidRPr="004D6855">
              <w:rPr>
                <w:color w:val="1F1F1F"/>
              </w:rPr>
              <w:t xml:space="preserve">A five-factor asset pricing model. </w:t>
            </w:r>
            <w:r w:rsidRPr="004D6855">
              <w:rPr>
                <w:i/>
                <w:iCs/>
                <w:color w:val="1F1F1F"/>
              </w:rPr>
              <w:t>Journal of Financial Economics</w:t>
            </w:r>
            <w:r w:rsidRPr="004D6855">
              <w:rPr>
                <w:color w:val="1F1F1F"/>
              </w:rPr>
              <w:t xml:space="preserve">. </w:t>
            </w:r>
          </w:p>
        </w:tc>
      </w:tr>
      <w:tr w:rsidR="00DC2524" w:rsidRPr="004D6855" w14:paraId="27326C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CAEEC" w14:textId="476BA938" w:rsidR="00DC2524" w:rsidRPr="004D6855" w:rsidRDefault="00DC2524" w:rsidP="0093796F">
            <w:pPr>
              <w:pStyle w:val="Default"/>
              <w:spacing w:line="360" w:lineRule="auto"/>
              <w:rPr>
                <w:b/>
                <w:bCs/>
                <w:color w:val="404040"/>
              </w:rPr>
            </w:pPr>
            <w:r w:rsidRPr="004D6855">
              <w:rPr>
                <w:b/>
                <w:bCs/>
                <w:color w:val="404040"/>
              </w:rPr>
              <w:t>Uddin, M., &amp; Akhtar, S. (2025)</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F4B8E" w14:textId="0414AFB0" w:rsidR="00DC2524" w:rsidRPr="004D6855" w:rsidRDefault="0052137E" w:rsidP="0093796F">
            <w:pPr>
              <w:pStyle w:val="Default"/>
              <w:spacing w:line="360" w:lineRule="auto"/>
              <w:rPr>
                <w:color w:val="404040"/>
              </w:rPr>
            </w:pPr>
            <w:r w:rsidRPr="004D6855">
              <w:rPr>
                <w:color w:val="404040"/>
              </w:rPr>
              <w:t>Causal Shock Networks: Propagating Fiscal Policy via GNNs.</w:t>
            </w:r>
          </w:p>
        </w:tc>
      </w:tr>
      <w:tr w:rsidR="00DC2524" w:rsidRPr="004D6855" w14:paraId="0C66E1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933E" w14:textId="3DD6648F" w:rsidR="00DC2524" w:rsidRPr="004D6855" w:rsidRDefault="00DC2524" w:rsidP="0093796F">
            <w:pPr>
              <w:pStyle w:val="Default"/>
              <w:spacing w:line="360" w:lineRule="auto"/>
              <w:rPr>
                <w:b/>
                <w:bCs/>
                <w:color w:val="404040"/>
              </w:rPr>
            </w:pPr>
            <w:proofErr w:type="spellStart"/>
            <w:r w:rsidRPr="004D6855">
              <w:rPr>
                <w:b/>
                <w:bCs/>
                <w:color w:val="404040"/>
              </w:rPr>
              <w:t>Kosasih</w:t>
            </w:r>
            <w:proofErr w:type="spellEnd"/>
            <w:r w:rsidRPr="004D6855">
              <w:rPr>
                <w:b/>
                <w:bCs/>
                <w:color w:val="404040"/>
              </w:rPr>
              <w:t>, E. E., et al. (2024)</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787B" w14:textId="1837A238" w:rsidR="00DC2524" w:rsidRPr="004D6855" w:rsidRDefault="0052137E" w:rsidP="0093796F">
            <w:pPr>
              <w:pStyle w:val="Default"/>
              <w:spacing w:line="360" w:lineRule="auto"/>
              <w:rPr>
                <w:color w:val="404040"/>
              </w:rPr>
            </w:pPr>
            <w:r w:rsidRPr="004D6855">
              <w:rPr>
                <w:color w:val="404040"/>
              </w:rPr>
              <w:t>Graph Neural Networks in Supply Chain Management: A Review of State-of-the-Art.</w:t>
            </w:r>
          </w:p>
        </w:tc>
      </w:tr>
      <w:tr w:rsidR="00DC2524" w:rsidRPr="004D6855" w14:paraId="61207FA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46572" w14:textId="7E0C6928" w:rsidR="00DC2524" w:rsidRPr="004D6855" w:rsidRDefault="00DC2524" w:rsidP="0093796F">
            <w:pPr>
              <w:pStyle w:val="Default"/>
              <w:spacing w:line="360" w:lineRule="auto"/>
              <w:rPr>
                <w:b/>
                <w:bCs/>
                <w:color w:val="404040"/>
              </w:rPr>
            </w:pPr>
            <w:r w:rsidRPr="004D6855">
              <w:rPr>
                <w:b/>
                <w:bCs/>
                <w:color w:val="404040"/>
              </w:rPr>
              <w:t>Zhou, J., et al. (2024)</w:t>
            </w:r>
          </w:p>
        </w:tc>
        <w:tc>
          <w:tcPr>
            <w:tcW w:w="65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4A952" w14:textId="0B398C6B" w:rsidR="00DC2524" w:rsidRPr="004D6855" w:rsidRDefault="0052137E" w:rsidP="0093796F">
            <w:pPr>
              <w:pStyle w:val="Default"/>
              <w:spacing w:line="360" w:lineRule="auto"/>
              <w:rPr>
                <w:color w:val="404040"/>
              </w:rPr>
            </w:pPr>
            <w:r w:rsidRPr="004D6855">
              <w:rPr>
                <w:color w:val="404040"/>
              </w:rPr>
              <w:t>Graph Convolutional Networks for Stock Price Prediction with Multi-graph Fusion.</w:t>
            </w:r>
          </w:p>
        </w:tc>
      </w:tr>
    </w:tbl>
    <w:p w14:paraId="3C75D382" w14:textId="77777777" w:rsidR="006E199B" w:rsidRPr="004D6855" w:rsidRDefault="006E199B" w:rsidP="0093796F">
      <w:pPr>
        <w:spacing w:line="360" w:lineRule="auto"/>
        <w:rPr>
          <w:rFonts w:ascii="Times New Roman" w:hAnsi="Times New Roman" w:cs="Times New Roman"/>
          <w:sz w:val="24"/>
          <w:szCs w:val="24"/>
        </w:rPr>
      </w:pPr>
    </w:p>
    <w:sectPr w:rsidR="006E199B" w:rsidRPr="004D685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C08C0"/>
    <w:multiLevelType w:val="hybridMultilevel"/>
    <w:tmpl w:val="AAC4B44A"/>
    <w:lvl w:ilvl="0" w:tplc="049E827A">
      <w:start w:val="1"/>
      <w:numFmt w:val="decimal"/>
      <w:lvlText w:val="%1."/>
      <w:lvlJc w:val="left"/>
      <w:pPr>
        <w:spacing w:before="40" w:after="40"/>
        <w:ind w:left="600" w:hanging="300"/>
      </w:pPr>
    </w:lvl>
    <w:lvl w:ilvl="1" w:tplc="E7B0DEF4">
      <w:numFmt w:val="decimal"/>
      <w:lvlText w:val=""/>
      <w:lvlJc w:val="left"/>
    </w:lvl>
    <w:lvl w:ilvl="2" w:tplc="F83C9B54">
      <w:numFmt w:val="decimal"/>
      <w:lvlText w:val=""/>
      <w:lvlJc w:val="left"/>
    </w:lvl>
    <w:lvl w:ilvl="3" w:tplc="89502DF2">
      <w:numFmt w:val="decimal"/>
      <w:lvlText w:val=""/>
      <w:lvlJc w:val="left"/>
    </w:lvl>
    <w:lvl w:ilvl="4" w:tplc="1C1A9B50">
      <w:numFmt w:val="decimal"/>
      <w:lvlText w:val=""/>
      <w:lvlJc w:val="left"/>
    </w:lvl>
    <w:lvl w:ilvl="5" w:tplc="D21E6410">
      <w:numFmt w:val="decimal"/>
      <w:lvlText w:val=""/>
      <w:lvlJc w:val="left"/>
    </w:lvl>
    <w:lvl w:ilvl="6" w:tplc="5010C6B8">
      <w:numFmt w:val="decimal"/>
      <w:lvlText w:val=""/>
      <w:lvlJc w:val="left"/>
    </w:lvl>
    <w:lvl w:ilvl="7" w:tplc="383E20AE">
      <w:numFmt w:val="decimal"/>
      <w:lvlText w:val=""/>
      <w:lvlJc w:val="left"/>
    </w:lvl>
    <w:lvl w:ilvl="8" w:tplc="37843C16">
      <w:numFmt w:val="decimal"/>
      <w:lvlText w:val=""/>
      <w:lvlJc w:val="left"/>
    </w:lvl>
  </w:abstractNum>
  <w:abstractNum w:abstractNumId="1" w15:restartNumberingAfterBreak="0">
    <w:nsid w:val="54B563A6"/>
    <w:multiLevelType w:val="hybridMultilevel"/>
    <w:tmpl w:val="3AD46A26"/>
    <w:lvl w:ilvl="0" w:tplc="C01A46B0">
      <w:start w:val="1"/>
      <w:numFmt w:val="bullet"/>
      <w:lvlText w:val="•"/>
      <w:lvlJc w:val="left"/>
      <w:pPr>
        <w:spacing w:before="40" w:after="40"/>
        <w:ind w:left="600" w:hanging="300"/>
      </w:pPr>
    </w:lvl>
    <w:lvl w:ilvl="1" w:tplc="1AC674C2">
      <w:numFmt w:val="decimal"/>
      <w:lvlText w:val=""/>
      <w:lvlJc w:val="left"/>
    </w:lvl>
    <w:lvl w:ilvl="2" w:tplc="B7C6B18E">
      <w:numFmt w:val="decimal"/>
      <w:lvlText w:val=""/>
      <w:lvlJc w:val="left"/>
    </w:lvl>
    <w:lvl w:ilvl="3" w:tplc="3E42CDB2">
      <w:numFmt w:val="decimal"/>
      <w:lvlText w:val=""/>
      <w:lvlJc w:val="left"/>
    </w:lvl>
    <w:lvl w:ilvl="4" w:tplc="B6E4E696">
      <w:numFmt w:val="decimal"/>
      <w:lvlText w:val=""/>
      <w:lvlJc w:val="left"/>
    </w:lvl>
    <w:lvl w:ilvl="5" w:tplc="A0243122">
      <w:numFmt w:val="decimal"/>
      <w:lvlText w:val=""/>
      <w:lvlJc w:val="left"/>
    </w:lvl>
    <w:lvl w:ilvl="6" w:tplc="62F607C2">
      <w:numFmt w:val="decimal"/>
      <w:lvlText w:val=""/>
      <w:lvlJc w:val="left"/>
    </w:lvl>
    <w:lvl w:ilvl="7" w:tplc="F3EA0598">
      <w:numFmt w:val="decimal"/>
      <w:lvlText w:val=""/>
      <w:lvlJc w:val="left"/>
    </w:lvl>
    <w:lvl w:ilvl="8" w:tplc="00983F48">
      <w:numFmt w:val="decimal"/>
      <w:lvlText w:val=""/>
      <w:lvlJc w:val="left"/>
    </w:lvl>
  </w:abstractNum>
  <w:abstractNum w:abstractNumId="2" w15:restartNumberingAfterBreak="0">
    <w:nsid w:val="721C7408"/>
    <w:multiLevelType w:val="hybridMultilevel"/>
    <w:tmpl w:val="2DD6EE0C"/>
    <w:lvl w:ilvl="0" w:tplc="C5D6528C">
      <w:start w:val="1"/>
      <w:numFmt w:val="bullet"/>
      <w:lvlText w:val="●"/>
      <w:lvlJc w:val="left"/>
      <w:pPr>
        <w:ind w:left="720" w:hanging="360"/>
      </w:pPr>
    </w:lvl>
    <w:lvl w:ilvl="1" w:tplc="5A52518C">
      <w:start w:val="1"/>
      <w:numFmt w:val="bullet"/>
      <w:lvlText w:val="○"/>
      <w:lvlJc w:val="left"/>
      <w:pPr>
        <w:ind w:left="1440" w:hanging="360"/>
      </w:pPr>
    </w:lvl>
    <w:lvl w:ilvl="2" w:tplc="C660E49C">
      <w:start w:val="1"/>
      <w:numFmt w:val="bullet"/>
      <w:lvlText w:val="■"/>
      <w:lvlJc w:val="left"/>
      <w:pPr>
        <w:ind w:left="2160" w:hanging="360"/>
      </w:pPr>
    </w:lvl>
    <w:lvl w:ilvl="3" w:tplc="F572BAF0">
      <w:start w:val="1"/>
      <w:numFmt w:val="bullet"/>
      <w:lvlText w:val="●"/>
      <w:lvlJc w:val="left"/>
      <w:pPr>
        <w:ind w:left="2880" w:hanging="360"/>
      </w:pPr>
    </w:lvl>
    <w:lvl w:ilvl="4" w:tplc="25E64BB2">
      <w:start w:val="1"/>
      <w:numFmt w:val="bullet"/>
      <w:lvlText w:val="○"/>
      <w:lvlJc w:val="left"/>
      <w:pPr>
        <w:ind w:left="3600" w:hanging="360"/>
      </w:pPr>
    </w:lvl>
    <w:lvl w:ilvl="5" w:tplc="3EB2C6AA">
      <w:start w:val="1"/>
      <w:numFmt w:val="bullet"/>
      <w:lvlText w:val="■"/>
      <w:lvlJc w:val="left"/>
      <w:pPr>
        <w:ind w:left="4320" w:hanging="360"/>
      </w:pPr>
    </w:lvl>
    <w:lvl w:ilvl="6" w:tplc="E21E5288">
      <w:start w:val="1"/>
      <w:numFmt w:val="bullet"/>
      <w:lvlText w:val="●"/>
      <w:lvlJc w:val="left"/>
      <w:pPr>
        <w:ind w:left="5040" w:hanging="360"/>
      </w:pPr>
    </w:lvl>
    <w:lvl w:ilvl="7" w:tplc="B86A37AA">
      <w:start w:val="1"/>
      <w:numFmt w:val="bullet"/>
      <w:lvlText w:val="●"/>
      <w:lvlJc w:val="left"/>
      <w:pPr>
        <w:ind w:left="5760" w:hanging="360"/>
      </w:pPr>
    </w:lvl>
    <w:lvl w:ilvl="8" w:tplc="FAD4411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6F0"/>
    <w:rsid w:val="00132290"/>
    <w:rsid w:val="001A2953"/>
    <w:rsid w:val="001F62D3"/>
    <w:rsid w:val="004176F0"/>
    <w:rsid w:val="004D6855"/>
    <w:rsid w:val="0052137E"/>
    <w:rsid w:val="0058789A"/>
    <w:rsid w:val="006978B6"/>
    <w:rsid w:val="006D23C3"/>
    <w:rsid w:val="006E199B"/>
    <w:rsid w:val="00711E4B"/>
    <w:rsid w:val="00716B62"/>
    <w:rsid w:val="0090263D"/>
    <w:rsid w:val="0093796F"/>
    <w:rsid w:val="00D27CDC"/>
    <w:rsid w:val="00DC2524"/>
    <w:rsid w:val="00E758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27423D8"/>
  <w15:docId w15:val="{9C1F95EA-26A6-B142-95A1-8708148C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404040"/>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Default">
    <w:name w:val="Default"/>
    <w:rsid w:val="00DC2524"/>
    <w:pPr>
      <w:autoSpaceDE w:val="0"/>
      <w:autoSpaceDN w:val="0"/>
      <w:adjustRightInd w:val="0"/>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349720">
      <w:bodyDiv w:val="1"/>
      <w:marLeft w:val="0"/>
      <w:marRight w:val="0"/>
      <w:marTop w:val="0"/>
      <w:marBottom w:val="0"/>
      <w:divBdr>
        <w:top w:val="none" w:sz="0" w:space="0" w:color="auto"/>
        <w:left w:val="none" w:sz="0" w:space="0" w:color="auto"/>
        <w:bottom w:val="none" w:sz="0" w:space="0" w:color="auto"/>
        <w:right w:val="none" w:sz="0" w:space="0" w:color="auto"/>
      </w:divBdr>
    </w:div>
    <w:div w:id="426586728">
      <w:bodyDiv w:val="1"/>
      <w:marLeft w:val="0"/>
      <w:marRight w:val="0"/>
      <w:marTop w:val="0"/>
      <w:marBottom w:val="0"/>
      <w:divBdr>
        <w:top w:val="none" w:sz="0" w:space="0" w:color="auto"/>
        <w:left w:val="none" w:sz="0" w:space="0" w:color="auto"/>
        <w:bottom w:val="none" w:sz="0" w:space="0" w:color="auto"/>
        <w:right w:val="none" w:sz="0" w:space="0" w:color="auto"/>
      </w:divBdr>
    </w:div>
    <w:div w:id="526062150">
      <w:bodyDiv w:val="1"/>
      <w:marLeft w:val="0"/>
      <w:marRight w:val="0"/>
      <w:marTop w:val="0"/>
      <w:marBottom w:val="0"/>
      <w:divBdr>
        <w:top w:val="none" w:sz="0" w:space="0" w:color="auto"/>
        <w:left w:val="none" w:sz="0" w:space="0" w:color="auto"/>
        <w:bottom w:val="none" w:sz="0" w:space="0" w:color="auto"/>
        <w:right w:val="none" w:sz="0" w:space="0" w:color="auto"/>
      </w:divBdr>
    </w:div>
    <w:div w:id="674452861">
      <w:bodyDiv w:val="1"/>
      <w:marLeft w:val="0"/>
      <w:marRight w:val="0"/>
      <w:marTop w:val="0"/>
      <w:marBottom w:val="0"/>
      <w:divBdr>
        <w:top w:val="none" w:sz="0" w:space="0" w:color="auto"/>
        <w:left w:val="none" w:sz="0" w:space="0" w:color="auto"/>
        <w:bottom w:val="none" w:sz="0" w:space="0" w:color="auto"/>
        <w:right w:val="none" w:sz="0" w:space="0" w:color="auto"/>
      </w:divBdr>
    </w:div>
    <w:div w:id="908031435">
      <w:bodyDiv w:val="1"/>
      <w:marLeft w:val="0"/>
      <w:marRight w:val="0"/>
      <w:marTop w:val="0"/>
      <w:marBottom w:val="0"/>
      <w:divBdr>
        <w:top w:val="none" w:sz="0" w:space="0" w:color="auto"/>
        <w:left w:val="none" w:sz="0" w:space="0" w:color="auto"/>
        <w:bottom w:val="none" w:sz="0" w:space="0" w:color="auto"/>
        <w:right w:val="none" w:sz="0" w:space="0" w:color="auto"/>
      </w:divBdr>
    </w:div>
    <w:div w:id="980966220">
      <w:bodyDiv w:val="1"/>
      <w:marLeft w:val="0"/>
      <w:marRight w:val="0"/>
      <w:marTop w:val="0"/>
      <w:marBottom w:val="0"/>
      <w:divBdr>
        <w:top w:val="none" w:sz="0" w:space="0" w:color="auto"/>
        <w:left w:val="none" w:sz="0" w:space="0" w:color="auto"/>
        <w:bottom w:val="none" w:sz="0" w:space="0" w:color="auto"/>
        <w:right w:val="none" w:sz="0" w:space="0" w:color="auto"/>
      </w:divBdr>
    </w:div>
    <w:div w:id="1271931534">
      <w:bodyDiv w:val="1"/>
      <w:marLeft w:val="0"/>
      <w:marRight w:val="0"/>
      <w:marTop w:val="0"/>
      <w:marBottom w:val="0"/>
      <w:divBdr>
        <w:top w:val="none" w:sz="0" w:space="0" w:color="auto"/>
        <w:left w:val="none" w:sz="0" w:space="0" w:color="auto"/>
        <w:bottom w:val="none" w:sz="0" w:space="0" w:color="auto"/>
        <w:right w:val="none" w:sz="0" w:space="0" w:color="auto"/>
      </w:divBdr>
    </w:div>
    <w:div w:id="1312754402">
      <w:bodyDiv w:val="1"/>
      <w:marLeft w:val="0"/>
      <w:marRight w:val="0"/>
      <w:marTop w:val="0"/>
      <w:marBottom w:val="0"/>
      <w:divBdr>
        <w:top w:val="none" w:sz="0" w:space="0" w:color="auto"/>
        <w:left w:val="none" w:sz="0" w:space="0" w:color="auto"/>
        <w:bottom w:val="none" w:sz="0" w:space="0" w:color="auto"/>
        <w:right w:val="none" w:sz="0" w:space="0" w:color="auto"/>
      </w:divBdr>
    </w:div>
    <w:div w:id="1417168619">
      <w:bodyDiv w:val="1"/>
      <w:marLeft w:val="0"/>
      <w:marRight w:val="0"/>
      <w:marTop w:val="0"/>
      <w:marBottom w:val="0"/>
      <w:divBdr>
        <w:top w:val="none" w:sz="0" w:space="0" w:color="auto"/>
        <w:left w:val="none" w:sz="0" w:space="0" w:color="auto"/>
        <w:bottom w:val="none" w:sz="0" w:space="0" w:color="auto"/>
        <w:right w:val="none" w:sz="0" w:space="0" w:color="auto"/>
      </w:divBdr>
    </w:div>
    <w:div w:id="1505125520">
      <w:bodyDiv w:val="1"/>
      <w:marLeft w:val="0"/>
      <w:marRight w:val="0"/>
      <w:marTop w:val="0"/>
      <w:marBottom w:val="0"/>
      <w:divBdr>
        <w:top w:val="none" w:sz="0" w:space="0" w:color="auto"/>
        <w:left w:val="none" w:sz="0" w:space="0" w:color="auto"/>
        <w:bottom w:val="none" w:sz="0" w:space="0" w:color="auto"/>
        <w:right w:val="none" w:sz="0" w:space="0" w:color="auto"/>
      </w:divBdr>
    </w:div>
    <w:div w:id="1859540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achahal9@student.ubc.ca</cp:lastModifiedBy>
  <cp:revision>13</cp:revision>
  <dcterms:created xsi:type="dcterms:W3CDTF">2026-03-18T14:25:00Z</dcterms:created>
  <dcterms:modified xsi:type="dcterms:W3CDTF">2026-03-25T14:03:00Z</dcterms:modified>
</cp:coreProperties>
</file>