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DAC17" w14:textId="77777777" w:rsidR="007A6E21" w:rsidRDefault="006A708B">
      <w:pPr>
        <w:spacing w:after="60"/>
        <w:jc w:val="center"/>
      </w:pPr>
      <w:r>
        <w:rPr>
          <w:color w:val="606060"/>
          <w:sz w:val="20"/>
          <w:szCs w:val="20"/>
        </w:rPr>
        <w:t xml:space="preserve">Authors: Jean-Christophe </w:t>
      </w:r>
      <w:proofErr w:type="spellStart"/>
      <w:r>
        <w:rPr>
          <w:color w:val="606060"/>
          <w:sz w:val="20"/>
          <w:szCs w:val="20"/>
        </w:rPr>
        <w:t>Scheider</w:t>
      </w:r>
      <w:proofErr w:type="spellEnd"/>
      <w:r>
        <w:rPr>
          <w:color w:val="606060"/>
          <w:sz w:val="20"/>
          <w:szCs w:val="20"/>
        </w:rPr>
        <w:t xml:space="preserve"> &amp; Arjun Chahal</w:t>
      </w:r>
    </w:p>
    <w:p w14:paraId="0FAFCDBE" w14:textId="77777777" w:rsidR="007A6E21" w:rsidRDefault="006A708B">
      <w:pPr>
        <w:spacing w:before="200" w:after="60"/>
        <w:jc w:val="center"/>
      </w:pPr>
      <w:r>
        <w:rPr>
          <w:b/>
          <w:bCs/>
          <w:color w:val="1F3864"/>
          <w:sz w:val="40"/>
          <w:szCs w:val="40"/>
        </w:rPr>
        <w:t>Trading on Information:</w:t>
      </w:r>
    </w:p>
    <w:p w14:paraId="6674AE44" w14:textId="77777777" w:rsidR="007A6E21" w:rsidRDefault="006A708B">
      <w:pPr>
        <w:spacing w:after="300"/>
        <w:jc w:val="center"/>
      </w:pPr>
      <w:r>
        <w:rPr>
          <w:color w:val="2E75B6"/>
          <w:sz w:val="28"/>
          <w:szCs w:val="28"/>
        </w:rPr>
        <w:t>Fusing Alternative Data Signals and Supply-Chain Propagation in the German Equity Market</w:t>
      </w:r>
    </w:p>
    <w:p w14:paraId="254E420B" w14:textId="77777777" w:rsidR="007A6E21" w:rsidRDefault="006A708B">
      <w:pPr>
        <w:pStyle w:val="Heading1"/>
      </w:pPr>
      <w:r>
        <w:t>1. Research Question</w:t>
      </w:r>
    </w:p>
    <w:p w14:paraId="46486395" w14:textId="77777777" w:rsidR="007A6E21" w:rsidRDefault="006A708B">
      <w:r>
        <w:t xml:space="preserve">Can the integration of firm-specific alternative financial signals—specifically analyst momentum, short interest, earnings surprise, and </w:t>
      </w:r>
      <w:proofErr w:type="spellStart"/>
      <w:r>
        <w:t>WpHG</w:t>
      </w:r>
      <w:proofErr w:type="spellEnd"/>
      <w:r>
        <w:t xml:space="preserve"> insider transaction filings—with a Graph Neural Network (GNN) that models relational propagation across revenue-co</w:t>
      </w:r>
      <w:r>
        <w:t>ncentrated supply chains generate statistically significant return predictions in the German equity market (MDAX and SDAX)? Furthermore, can a hybrid machine learning framework identify which signals and network nodes carry the most predictive weight acros</w:t>
      </w:r>
      <w:r>
        <w:t>s firm segments and market regimes, and does this “Network Alpha” survive risk adjustment and transaction costs?</w:t>
      </w:r>
    </w:p>
    <w:p w14:paraId="62211ED2" w14:textId="77777777" w:rsidR="007A6E21" w:rsidRDefault="007A6E21">
      <w:pPr>
        <w:spacing w:after="80"/>
      </w:pPr>
    </w:p>
    <w:p w14:paraId="2BA85A5F" w14:textId="77777777" w:rsidR="007A6E21" w:rsidRDefault="006A708B">
      <w:pPr>
        <w:pStyle w:val="Heading1"/>
      </w:pPr>
      <w:r>
        <w:t>2. Background and Motivation</w:t>
      </w:r>
    </w:p>
    <w:p w14:paraId="749FC08E" w14:textId="77777777" w:rsidR="007A6E21" w:rsidRDefault="006A708B">
      <w:r>
        <w:t>Equity markets are assumed to be informationally efficient under the semi-strong form of the Efficient Market Hyp</w:t>
      </w:r>
      <w:r>
        <w:t>othesis (</w:t>
      </w:r>
      <w:proofErr w:type="spellStart"/>
      <w:r>
        <w:t>Fama</w:t>
      </w:r>
      <w:proofErr w:type="spellEnd"/>
      <w:r>
        <w:t xml:space="preserve">, 1970), yet decades of empirical research have identified persistent anomalies suggesting that certain signals systematically predict returns. The mechanism is best understood through the lens of limits to arbitrage (Shleifer &amp; </w:t>
      </w:r>
      <w:proofErr w:type="spellStart"/>
      <w:r>
        <w:t>Vishny</w:t>
      </w:r>
      <w:proofErr w:type="spellEnd"/>
      <w:r>
        <w:t xml:space="preserve">, 1997) </w:t>
      </w:r>
      <w:r>
        <w:t>combined with investor inattention (</w:t>
      </w:r>
      <w:proofErr w:type="spellStart"/>
      <w:r>
        <w:t>Hirshleifer</w:t>
      </w:r>
      <w:proofErr w:type="spellEnd"/>
      <w:r>
        <w:t xml:space="preserve"> &amp; Teoh, 2003): even though </w:t>
      </w:r>
      <w:proofErr w:type="spellStart"/>
      <w:r>
        <w:t>WpHG</w:t>
      </w:r>
      <w:proofErr w:type="spellEnd"/>
      <w:r>
        <w:t xml:space="preserve"> filings are public, MDAX/SDAX stocks have low analyst coverage, and the second-order supply-chain implications of insider signals require processing capacity that most market p</w:t>
      </w:r>
      <w:r>
        <w:t>articipants lack. Conrad and Kaul (1998) established that strategy profitability depends critically on holding horizon and cross-sectional variation in expected returns, making rigorous signal attribution a methodological requirement. More recently, Gu, Ke</w:t>
      </w:r>
      <w:r>
        <w:t xml:space="preserve">lly, and </w:t>
      </w:r>
      <w:proofErr w:type="spellStart"/>
      <w:r>
        <w:t>Xiu</w:t>
      </w:r>
      <w:proofErr w:type="spellEnd"/>
      <w:r>
        <w:t xml:space="preserve"> (2020) demonstrate that machine learning models trained on broad signal sets can generate economically significant out-of-sample alpha, with gradient boosted trees and neural networks outperforming classical factor models when signals interact</w:t>
      </w:r>
      <w:r>
        <w:t xml:space="preserve"> non-linearly.</w:t>
      </w:r>
    </w:p>
    <w:p w14:paraId="2FAB03D2" w14:textId="77777777" w:rsidR="007A6E21" w:rsidRDefault="007A6E21">
      <w:pPr>
        <w:spacing w:after="80"/>
      </w:pPr>
    </w:p>
    <w:p w14:paraId="4EBE490F" w14:textId="77777777" w:rsidR="007A6E21" w:rsidRDefault="006A708B">
      <w:r>
        <w:t xml:space="preserve">The German equity market remains substantially underexplored as a testing ground for signal-based strategies. This gap is consequential for three structural reasons. First, Germany’s ownership architecture—characterized by large </w:t>
      </w:r>
      <w:proofErr w:type="spellStart"/>
      <w:r>
        <w:t>blockholder</w:t>
      </w:r>
      <w:r>
        <w:t>s</w:t>
      </w:r>
      <w:proofErr w:type="spellEnd"/>
      <w:r>
        <w:t xml:space="preserve">, cross-shareholdings, and a historically dominant </w:t>
      </w:r>
      <w:proofErr w:type="spellStart"/>
      <w:r>
        <w:t>Hausbank</w:t>
      </w:r>
      <w:proofErr w:type="spellEnd"/>
      <w:r>
        <w:t xml:space="preserve"> system—creates information asymmetries that differ fundamentally from the dispersed-ownership US context, allowing </w:t>
      </w:r>
      <w:proofErr w:type="spellStart"/>
      <w:r>
        <w:t>mispricings</w:t>
      </w:r>
      <w:proofErr w:type="spellEnd"/>
      <w:r>
        <w:t xml:space="preserve"> to persist longer before arbitrage capital corrects them. Second, Ge</w:t>
      </w:r>
      <w:r>
        <w:t xml:space="preserve">rmany’s mandatory disclosure regime under the </w:t>
      </w:r>
      <w:proofErr w:type="spellStart"/>
      <w:r>
        <w:t>Wertpapierhandelsgesetz</w:t>
      </w:r>
      <w:proofErr w:type="spellEnd"/>
      <w:r>
        <w:t xml:space="preserve"> (</w:t>
      </w:r>
      <w:proofErr w:type="spellStart"/>
      <w:r>
        <w:t>WpHG</w:t>
      </w:r>
      <w:proofErr w:type="spellEnd"/>
      <w:r>
        <w:t>, subsequently superseded by EU MAR Article 19 in July 2016) requires directors and significant shareholders to report all transactions within strict filing windows, producing a leg</w:t>
      </w:r>
      <w:r>
        <w:t>ally structured and publicly available source of insider transaction data that has received remarkably little academic attention as a trading signal. Third, the MDAX and SDAX universe features substantially lower analyst coverage and institutional ownershi</w:t>
      </w:r>
      <w:r>
        <w:t>p than the DAX, conditions under which signal-based mispricing is theoretically expected to be larger and more durable (</w:t>
      </w:r>
      <w:proofErr w:type="spellStart"/>
      <w:r>
        <w:t>Mashruwala</w:t>
      </w:r>
      <w:proofErr w:type="spellEnd"/>
      <w:r>
        <w:t xml:space="preserve"> et al., 2006; Cohen &amp; </w:t>
      </w:r>
      <w:proofErr w:type="spellStart"/>
      <w:r>
        <w:t>Frazzini</w:t>
      </w:r>
      <w:proofErr w:type="spellEnd"/>
      <w:r>
        <w:t>, 2008).</w:t>
      </w:r>
    </w:p>
    <w:p w14:paraId="7505A002" w14:textId="77777777" w:rsidR="007A6E21" w:rsidRDefault="007A6E21">
      <w:pPr>
        <w:spacing w:after="80"/>
      </w:pPr>
    </w:p>
    <w:p w14:paraId="73D86B94" w14:textId="77777777" w:rsidR="007A6E21" w:rsidRDefault="006A708B">
      <w:r>
        <w:t>Furthermore, modern markets are defined by complex, interconnected supply chains wher</w:t>
      </w:r>
      <w:r>
        <w:t xml:space="preserve">e information does not diffuse instantaneously. Cohen &amp; </w:t>
      </w:r>
      <w:proofErr w:type="spellStart"/>
      <w:r>
        <w:t>Frazzini</w:t>
      </w:r>
      <w:proofErr w:type="spellEnd"/>
      <w:r>
        <w:t xml:space="preserve"> (2008) and </w:t>
      </w:r>
      <w:proofErr w:type="spellStart"/>
      <w:r>
        <w:t>Menzly</w:t>
      </w:r>
      <w:proofErr w:type="spellEnd"/>
      <w:r>
        <w:t xml:space="preserve"> &amp; </w:t>
      </w:r>
      <w:proofErr w:type="spellStart"/>
      <w:r>
        <w:t>Ozbas</w:t>
      </w:r>
      <w:proofErr w:type="spellEnd"/>
      <w:r>
        <w:t xml:space="preserve"> (2010) demonstrate that customer-supplier return predictability is a robust, documented phenomenon: when an anchor firm exhibits a strong information signal, this ac</w:t>
      </w:r>
      <w:r>
        <w:t>ts as a leading indicator for its economically concentrated network neighbors. The theoretical channel is information asymmetry compounded by network complexity: the market does not connect the dots instantly because supply-chain links are not salient to m</w:t>
      </w:r>
      <w:r>
        <w:t xml:space="preserve">ost investors and analyst coverage rarely spans both firms simultaneously. This thesis addresses the gap by applying machine learning not as a black box, but as an interpretable signal-weighting engine using SHAP values, and by mapping the German </w:t>
      </w:r>
      <w:r>
        <w:lastRenderedPageBreak/>
        <w:t>industria</w:t>
      </w:r>
      <w:r>
        <w:t>l sector as a network of nodes (firms) and edges (revenue relationships) to anticipate market shifts before they are reflected in traditional fundamental factors.</w:t>
      </w:r>
    </w:p>
    <w:p w14:paraId="50A3FA89" w14:textId="77777777" w:rsidR="007A6E21" w:rsidRDefault="007A6E21">
      <w:pPr>
        <w:spacing w:after="80"/>
      </w:pPr>
    </w:p>
    <w:p w14:paraId="3DCF37A8" w14:textId="77777777" w:rsidR="007A6E21" w:rsidRDefault="006A708B">
      <w:pPr>
        <w:pStyle w:val="Heading1"/>
      </w:pPr>
      <w:r>
        <w:t>3. Hypotheses</w:t>
      </w:r>
    </w:p>
    <w:p w14:paraId="5196F25C" w14:textId="77777777" w:rsidR="007A6E21" w:rsidRDefault="006A708B">
      <w:r>
        <w:t>The following hypotheses have been restructured to eliminate redundancy and en</w:t>
      </w:r>
      <w:r>
        <w:t>sure each is independently testable:</w:t>
      </w:r>
    </w:p>
    <w:p w14:paraId="26DC9475" w14:textId="77777777" w:rsidR="007A6E21" w:rsidRDefault="007A6E21">
      <w:pPr>
        <w:spacing w:after="80"/>
      </w:pPr>
    </w:p>
    <w:p w14:paraId="77380898" w14:textId="77777777" w:rsidR="007A6E21" w:rsidRDefault="006A708B">
      <w:r>
        <w:rPr>
          <w:b/>
          <w:bCs/>
        </w:rPr>
        <w:t>H1</w:t>
      </w:r>
      <w:proofErr w:type="gramStart"/>
      <w:r>
        <w:rPr>
          <w:b/>
          <w:bCs/>
        </w:rPr>
        <w:t>a</w:t>
      </w:r>
      <w:r>
        <w:t xml:space="preserve">  Analyst</w:t>
      </w:r>
      <w:proofErr w:type="gramEnd"/>
      <w:r>
        <w:t xml:space="preserve"> earnings revision momentum is positively associated with subsequent abnormal returns, with the effect amplified in MDAX/SDAX segments consistent with investor inattention in low-coverage markets.</w:t>
      </w:r>
    </w:p>
    <w:p w14:paraId="3BAEA2FC" w14:textId="77777777" w:rsidR="007A6E21" w:rsidRDefault="007A6E21">
      <w:pPr>
        <w:spacing w:after="80"/>
      </w:pPr>
    </w:p>
    <w:p w14:paraId="35AF6973" w14:textId="77777777" w:rsidR="007A6E21" w:rsidRDefault="006A708B">
      <w:r>
        <w:rPr>
          <w:b/>
          <w:bCs/>
        </w:rPr>
        <w:t>H1</w:t>
      </w:r>
      <w:proofErr w:type="gramStart"/>
      <w:r>
        <w:rPr>
          <w:b/>
          <w:bCs/>
        </w:rPr>
        <w:t>b</w:t>
      </w:r>
      <w:r>
        <w:t xml:space="preserve">  </w:t>
      </w:r>
      <w:proofErr w:type="spellStart"/>
      <w:r>
        <w:t>WpH</w:t>
      </w:r>
      <w:r>
        <w:t>G</w:t>
      </w:r>
      <w:proofErr w:type="spellEnd"/>
      <w:proofErr w:type="gramEnd"/>
      <w:r>
        <w:t>/MAR insider net purchases are positively associated with subsequent abnormal returns, with the effect amplified in MDAX/SDAX segments, consistent with the insider information advantage being larger in less-covered stocks.</w:t>
      </w:r>
    </w:p>
    <w:p w14:paraId="256D3AB1" w14:textId="77777777" w:rsidR="007A6E21" w:rsidRDefault="007A6E21">
      <w:pPr>
        <w:spacing w:after="80"/>
      </w:pPr>
    </w:p>
    <w:p w14:paraId="6A7170F0" w14:textId="77777777" w:rsidR="007A6E21" w:rsidRDefault="006A708B">
      <w:r>
        <w:rPr>
          <w:b/>
          <w:bCs/>
        </w:rPr>
        <w:t>H</w:t>
      </w:r>
      <w:proofErr w:type="gramStart"/>
      <w:r>
        <w:rPr>
          <w:b/>
          <w:bCs/>
        </w:rPr>
        <w:t>2</w:t>
      </w:r>
      <w:r>
        <w:t xml:space="preserve">  Elevated</w:t>
      </w:r>
      <w:proofErr w:type="gramEnd"/>
      <w:r>
        <w:t xml:space="preserve"> short interest rat</w:t>
      </w:r>
      <w:r>
        <w:t>ios are negatively associated with subsequent returns, reflecting informed short-seller activity.</w:t>
      </w:r>
    </w:p>
    <w:p w14:paraId="1D06A2D2" w14:textId="77777777" w:rsidR="007A6E21" w:rsidRDefault="007A6E21">
      <w:pPr>
        <w:spacing w:after="80"/>
      </w:pPr>
    </w:p>
    <w:p w14:paraId="22A120E4" w14:textId="77777777" w:rsidR="007A6E21" w:rsidRDefault="006A708B">
      <w:r>
        <w:rPr>
          <w:b/>
          <w:bCs/>
        </w:rPr>
        <w:t xml:space="preserve">H3a (Network </w:t>
      </w:r>
      <w:proofErr w:type="gramStart"/>
      <w:r>
        <w:rPr>
          <w:b/>
          <w:bCs/>
        </w:rPr>
        <w:t>Alpha)</w:t>
      </w:r>
      <w:r>
        <w:t xml:space="preserve">  Firms</w:t>
      </w:r>
      <w:proofErr w:type="gramEnd"/>
      <w:r>
        <w:t xml:space="preserve"> whose major customers or suppliers exhibit extreme positive alternative signals will experience delayed but statistically signific</w:t>
      </w:r>
      <w:r>
        <w:t>ant abnormal returns over a [1, 3]-month window, capturing information spillover before it is reflected in traditional factors.</w:t>
      </w:r>
    </w:p>
    <w:p w14:paraId="1A779310" w14:textId="77777777" w:rsidR="007A6E21" w:rsidRDefault="007A6E21">
      <w:pPr>
        <w:spacing w:after="80"/>
      </w:pPr>
    </w:p>
    <w:p w14:paraId="7851842E" w14:textId="77777777" w:rsidR="007A6E21" w:rsidRDefault="006A708B">
      <w:r>
        <w:rPr>
          <w:b/>
          <w:bCs/>
        </w:rPr>
        <w:t xml:space="preserve">H3b (Negative Network </w:t>
      </w:r>
      <w:proofErr w:type="gramStart"/>
      <w:r>
        <w:rPr>
          <w:b/>
          <w:bCs/>
        </w:rPr>
        <w:t>Alpha)</w:t>
      </w:r>
      <w:r>
        <w:t xml:space="preserve">  Extreme</w:t>
      </w:r>
      <w:proofErr w:type="gramEnd"/>
      <w:r>
        <w:t xml:space="preserve"> negative signals at network neighbors (high short interest, negative earnings surprises) </w:t>
      </w:r>
      <w:r>
        <w:t>predict delayed negative returns at the focal firm, supporting a symmetric long-short network strategy.</w:t>
      </w:r>
    </w:p>
    <w:p w14:paraId="6A48E1D4" w14:textId="77777777" w:rsidR="007A6E21" w:rsidRDefault="007A6E21">
      <w:pPr>
        <w:spacing w:after="80"/>
      </w:pPr>
    </w:p>
    <w:p w14:paraId="090C6B72" w14:textId="77777777" w:rsidR="007A6E21" w:rsidRDefault="006A708B">
      <w:r>
        <w:rPr>
          <w:b/>
          <w:bCs/>
        </w:rPr>
        <w:t xml:space="preserve">H4 (Model </w:t>
      </w:r>
      <w:proofErr w:type="gramStart"/>
      <w:r>
        <w:rPr>
          <w:b/>
          <w:bCs/>
        </w:rPr>
        <w:t>Superiority)</w:t>
      </w:r>
      <w:r>
        <w:t xml:space="preserve">  The</w:t>
      </w:r>
      <w:proofErr w:type="gramEnd"/>
      <w:r>
        <w:t xml:space="preserve"> composite ML signal portfolio generates a statistically significant (t &gt; 2.0) monthly </w:t>
      </w:r>
      <w:proofErr w:type="spellStart"/>
      <w:r>
        <w:t>Fama</w:t>
      </w:r>
      <w:proofErr w:type="spellEnd"/>
      <w:r>
        <w:t>-French five-factor alpha over the out-of-sample period 2019–2026, exceeding the best-performing univariate signal portfolio on a risk-adjusted basis.</w:t>
      </w:r>
    </w:p>
    <w:p w14:paraId="3C829755" w14:textId="77777777" w:rsidR="007A6E21" w:rsidRDefault="007A6E21">
      <w:pPr>
        <w:spacing w:after="80"/>
      </w:pPr>
    </w:p>
    <w:p w14:paraId="78F46414" w14:textId="77777777" w:rsidR="007A6E21" w:rsidRDefault="006A708B">
      <w:pPr>
        <w:pStyle w:val="Heading1"/>
      </w:pPr>
      <w:r>
        <w:t>4. Resea</w:t>
      </w:r>
      <w:r>
        <w:t>rch Objectives</w:t>
      </w:r>
    </w:p>
    <w:p w14:paraId="52B0490D" w14:textId="77777777" w:rsidR="007A6E21" w:rsidRDefault="006A708B">
      <w:pPr>
        <w:pStyle w:val="ListParagraph"/>
        <w:numPr>
          <w:ilvl w:val="0"/>
          <w:numId w:val="2"/>
        </w:numPr>
      </w:pPr>
      <w:r>
        <w:rPr>
          <w:b/>
          <w:bCs/>
        </w:rPr>
        <w:t>Construct and Validate Signals:</w:t>
      </w:r>
      <w:r>
        <w:t xml:space="preserve"> Build four alternative signals (analyst momentum, short interest, SUE, and </w:t>
      </w:r>
      <w:proofErr w:type="spellStart"/>
      <w:r>
        <w:t>WpHG</w:t>
      </w:r>
      <w:proofErr w:type="spellEnd"/>
      <w:r>
        <w:t>/MAR filings) for MDAX and SDAX equities using Bloomberg data (2012–2026), reflecting the improved short interest data quality und</w:t>
      </w:r>
      <w:r>
        <w:t>er the EU Short Selling Regulation (effective November 2012).</w:t>
      </w:r>
    </w:p>
    <w:p w14:paraId="4FEF663E" w14:textId="77777777" w:rsidR="007A6E21" w:rsidRDefault="006A708B">
      <w:pPr>
        <w:pStyle w:val="ListParagraph"/>
        <w:numPr>
          <w:ilvl w:val="0"/>
          <w:numId w:val="2"/>
        </w:numPr>
      </w:pPr>
      <w:r>
        <w:rPr>
          <w:b/>
          <w:bCs/>
        </w:rPr>
        <w:t>Univariate Testing:</w:t>
      </w:r>
      <w:r>
        <w:t xml:space="preserve"> Test each signal’s return predictability using </w:t>
      </w:r>
      <w:proofErr w:type="spellStart"/>
      <w:r>
        <w:t>Fama-MacBeth</w:t>
      </w:r>
      <w:proofErr w:type="spellEnd"/>
      <w:r>
        <w:t xml:space="preserve"> cross-sectional regressions, controlling for market beta, size, value, and momentum, with the </w:t>
      </w:r>
      <w:proofErr w:type="spellStart"/>
      <w:r>
        <w:t>Fama</w:t>
      </w:r>
      <w:proofErr w:type="spellEnd"/>
      <w:r>
        <w:t>-French five-fac</w:t>
      </w:r>
      <w:r>
        <w:t>tor model as the primary risk-adjustment framework.</w:t>
      </w:r>
    </w:p>
    <w:p w14:paraId="2E322F4B" w14:textId="77777777" w:rsidR="007A6E21" w:rsidRDefault="006A708B">
      <w:pPr>
        <w:pStyle w:val="ListParagraph"/>
        <w:numPr>
          <w:ilvl w:val="0"/>
          <w:numId w:val="2"/>
        </w:numPr>
      </w:pPr>
      <w:r>
        <w:rPr>
          <w:b/>
          <w:bCs/>
        </w:rPr>
        <w:t>Regime Analysis:</w:t>
      </w:r>
      <w:r>
        <w:t xml:space="preserve"> Conduct split-period analysis distinguishing the pre-MAR regime (2012–2016, governed by </w:t>
      </w:r>
      <w:proofErr w:type="spellStart"/>
      <w:r>
        <w:t>WpHG</w:t>
      </w:r>
      <w:proofErr w:type="spellEnd"/>
      <w:r>
        <w:t xml:space="preserve"> §15a) from the post-MAR regime (2017–2026, governed by EU MAR Article 19), with dummy variable</w:t>
      </w:r>
      <w:r>
        <w:t xml:space="preserve"> controls to account for the regulatory structural break in insider disclosure thresholds.</w:t>
      </w:r>
    </w:p>
    <w:p w14:paraId="564D10C2" w14:textId="77777777" w:rsidR="007A6E21" w:rsidRDefault="006A708B">
      <w:pPr>
        <w:pStyle w:val="ListParagraph"/>
        <w:numPr>
          <w:ilvl w:val="0"/>
          <w:numId w:val="2"/>
        </w:numPr>
      </w:pPr>
      <w:r>
        <w:rPr>
          <w:b/>
          <w:bCs/>
        </w:rPr>
        <w:t>Graph Construction:</w:t>
      </w:r>
      <w:r>
        <w:t xml:space="preserve"> Map the customer-supplier network of MDAX and SDAX constituents using revenue concentration and segment data (Bloomberg SPLC, supplemented by IFR</w:t>
      </w:r>
      <w:r>
        <w:t xml:space="preserve">S 8 segment disclosures and </w:t>
      </w:r>
      <w:proofErr w:type="spellStart"/>
      <w:r>
        <w:t>Destatis</w:t>
      </w:r>
      <w:proofErr w:type="spellEnd"/>
      <w:r>
        <w:t xml:space="preserve"> industry input-output tables) to identify relational dependencies.</w:t>
      </w:r>
    </w:p>
    <w:p w14:paraId="6588CB60" w14:textId="77777777" w:rsidR="007A6E21" w:rsidRDefault="006A708B">
      <w:pPr>
        <w:pStyle w:val="ListParagraph"/>
        <w:numPr>
          <w:ilvl w:val="0"/>
          <w:numId w:val="2"/>
        </w:numPr>
      </w:pPr>
      <w:r>
        <w:rPr>
          <w:b/>
          <w:bCs/>
        </w:rPr>
        <w:t>Relational Modeling:</w:t>
      </w:r>
      <w:r>
        <w:t xml:space="preserve"> Implement a Simplified Network Alpha as the baseline GNN approach: a 2-layer Graph Attention Network (GAT) used as a feature extrac</w:t>
      </w:r>
      <w:r>
        <w:t xml:space="preserve">tor, producing node embeddings that are concatenated with the four raw signals and fed into </w:t>
      </w:r>
      <w:proofErr w:type="spellStart"/>
      <w:r>
        <w:t>XGBoost</w:t>
      </w:r>
      <w:proofErr w:type="spellEnd"/>
      <w:r>
        <w:t>. Train on a rolling expanding window, with the initial training period 2012–2018 and out-of-sample evaluation 2019–2026.</w:t>
      </w:r>
    </w:p>
    <w:p w14:paraId="4BEF071A" w14:textId="77777777" w:rsidR="007A6E21" w:rsidRDefault="006A708B">
      <w:pPr>
        <w:pStyle w:val="ListParagraph"/>
        <w:numPr>
          <w:ilvl w:val="0"/>
          <w:numId w:val="2"/>
        </w:numPr>
      </w:pPr>
      <w:r>
        <w:rPr>
          <w:b/>
          <w:bCs/>
        </w:rPr>
        <w:lastRenderedPageBreak/>
        <w:t xml:space="preserve">Portfolio </w:t>
      </w:r>
      <w:proofErr w:type="spellStart"/>
      <w:r>
        <w:rPr>
          <w:b/>
          <w:bCs/>
        </w:rPr>
        <w:t>Backtest</w:t>
      </w:r>
      <w:proofErr w:type="spellEnd"/>
      <w:r>
        <w:rPr>
          <w:b/>
          <w:bCs/>
        </w:rPr>
        <w:t>:</w:t>
      </w:r>
      <w:r>
        <w:t xml:space="preserve"> Execute a long-</w:t>
      </w:r>
      <w:r>
        <w:t xml:space="preserve">short portfolio based on the composite ML signal, evaluating Sharpe ratio, </w:t>
      </w:r>
      <w:proofErr w:type="spellStart"/>
      <w:r>
        <w:t>Fama</w:t>
      </w:r>
      <w:proofErr w:type="spellEnd"/>
      <w:r>
        <w:t>-French five-factor alpha, and maximum drawdown, net of estimated transaction costs (MDAX: 20–30 bps round-trip; SDAX: 40–60 bps round-trip).</w:t>
      </w:r>
    </w:p>
    <w:p w14:paraId="2BF0597F" w14:textId="77777777" w:rsidR="007A6E21" w:rsidRDefault="007A6E21">
      <w:pPr>
        <w:spacing w:after="80"/>
      </w:pPr>
    </w:p>
    <w:p w14:paraId="3EA629F0" w14:textId="77777777" w:rsidR="007A6E21" w:rsidRDefault="006A708B">
      <w:pPr>
        <w:pStyle w:val="Heading1"/>
      </w:pPr>
      <w:r>
        <w:t>5. Methodology</w:t>
      </w:r>
    </w:p>
    <w:p w14:paraId="07A3BD00" w14:textId="77777777" w:rsidR="007A6E21" w:rsidRDefault="006A708B">
      <w:pPr>
        <w:pStyle w:val="Heading2"/>
      </w:pPr>
      <w:r>
        <w:t>5.1 Data &amp; Universe</w:t>
      </w:r>
    </w:p>
    <w:p w14:paraId="2F965030" w14:textId="77777777" w:rsidR="007A6E21" w:rsidRDefault="006A708B">
      <w:r>
        <w:t>The study applies an empirical quantitative design to the universe of MDAX and SDAX constituents over 2012–2026—a period that provides high-quality short interest data under the EU Short Selling Regulation (236/2012, effective November 2012), while also s</w:t>
      </w:r>
      <w:r>
        <w:t>panning the European debt crisis tail, the MAR regulatory transition (July 2016), and the COVID and energy-crisis regimes. The DAX is excluded from the primary analysis given its substantially higher analyst coverage and institutional ownership, which redu</w:t>
      </w:r>
      <w:r>
        <w:t>ces the information-asymmetry conditions central to this thesis’s theoretical framework; DAX data may be used solely as a benchmark. Point-in-time index constituents are reconstructed from Bloomberg’s historical constituent data (MEMB) to eliminate survivo</w:t>
      </w:r>
      <w:r>
        <w:t>rship and look-ahead bias.</w:t>
      </w:r>
    </w:p>
    <w:p w14:paraId="348F1B34" w14:textId="77777777" w:rsidR="007A6E21" w:rsidRDefault="007A6E21">
      <w:pPr>
        <w:spacing w:after="80"/>
      </w:pPr>
    </w:p>
    <w:p w14:paraId="71136497" w14:textId="77777777" w:rsidR="007A6E21" w:rsidRDefault="006A708B">
      <w:pPr>
        <w:pStyle w:val="Heading2"/>
      </w:pPr>
      <w:r>
        <w:t>5.2 Signal Construction</w:t>
      </w:r>
    </w:p>
    <w:p w14:paraId="1006F8BC" w14:textId="77777777" w:rsidR="007A6E21" w:rsidRDefault="006A708B">
      <w:r>
        <w:t>Analyst revision momentum is measured as the three-month net revision ratio (upgrades minus downgrades scaled by total active estimates). Short interest is defined as shares short divided by float, source</w:t>
      </w:r>
      <w:r>
        <w:t>d from Bloomberg’s short interest module; coverage is reliable from 2012 onwards under the EU Short Selling Regulation. Earnings surprise is computed as standardized unexpected earnings (SUE) following Foster et al. (1984). The insider signal is constructe</w:t>
      </w:r>
      <w:r>
        <w:t xml:space="preserve">d from </w:t>
      </w:r>
      <w:proofErr w:type="spellStart"/>
      <w:r>
        <w:t>WpHG</w:t>
      </w:r>
      <w:proofErr w:type="spellEnd"/>
      <w:r>
        <w:t xml:space="preserve">/MAR Article 19 filings, aggregating net purchase volume by insiders within a 30-day window prior to each portfolio formation date. All signals are lagged by one full month to eliminate look-ahead bias; a robustness check with a T+5 trading-day </w:t>
      </w:r>
      <w:r>
        <w:t>lag is conducted for the insider signal given its faster information decay.</w:t>
      </w:r>
    </w:p>
    <w:p w14:paraId="7680EBC8" w14:textId="77777777" w:rsidR="007A6E21" w:rsidRDefault="007A6E21">
      <w:pPr>
        <w:spacing w:after="80"/>
      </w:pPr>
    </w:p>
    <w:p w14:paraId="4AE24D4B" w14:textId="77777777" w:rsidR="007A6E21" w:rsidRDefault="006A708B">
      <w:pPr>
        <w:pStyle w:val="Heading2"/>
      </w:pPr>
      <w:r>
        <w:t>5.3 Regime Split: Pre-MAR vs. Post-MAR</w:t>
      </w:r>
    </w:p>
    <w:p w14:paraId="66BC16FA" w14:textId="77777777" w:rsidR="007A6E21" w:rsidRDefault="006A708B">
      <w:r>
        <w:t xml:space="preserve">The </w:t>
      </w:r>
      <w:proofErr w:type="spellStart"/>
      <w:r>
        <w:t>WpHG</w:t>
      </w:r>
      <w:proofErr w:type="spellEnd"/>
      <w:r>
        <w:t>-to-MAR transition in July 2016 constitutes a structural break in insider disclosure requirements: the annual threshold for mandator</w:t>
      </w:r>
      <w:r>
        <w:t xml:space="preserve">y disclosure was raised from approximately €5,000 to €20,000. Accordingly, all </w:t>
      </w:r>
      <w:proofErr w:type="spellStart"/>
      <w:r>
        <w:t>Fama-MacBeth</w:t>
      </w:r>
      <w:proofErr w:type="spellEnd"/>
      <w:r>
        <w:t xml:space="preserve"> regressions include a MAR-regime dummy variable, and subperiod analyses are conducted separately for 2012–2016 (</w:t>
      </w:r>
      <w:proofErr w:type="spellStart"/>
      <w:r>
        <w:t>WpHG</w:t>
      </w:r>
      <w:proofErr w:type="spellEnd"/>
      <w:r>
        <w:t xml:space="preserve"> §15a) and 2017–2026 (MAR Article 19). This spli</w:t>
      </w:r>
      <w:r>
        <w:t>t allows us to directly test whether the regulatory harmonization affected the predictive power of the insider signal.</w:t>
      </w:r>
    </w:p>
    <w:p w14:paraId="58CA61C4" w14:textId="77777777" w:rsidR="007A6E21" w:rsidRDefault="007A6E21">
      <w:pPr>
        <w:spacing w:after="80"/>
      </w:pPr>
    </w:p>
    <w:p w14:paraId="67157A16" w14:textId="77777777" w:rsidR="007A6E21" w:rsidRDefault="006A708B">
      <w:pPr>
        <w:pStyle w:val="Heading2"/>
      </w:pPr>
      <w:r>
        <w:t xml:space="preserve">5.4 Risk Adjustment: </w:t>
      </w:r>
      <w:proofErr w:type="spellStart"/>
      <w:r>
        <w:t>Fama</w:t>
      </w:r>
      <w:proofErr w:type="spellEnd"/>
      <w:r>
        <w:t>-French Five-Factor Model</w:t>
      </w:r>
    </w:p>
    <w:p w14:paraId="3DF98EAF" w14:textId="77777777" w:rsidR="007A6E21" w:rsidRDefault="006A708B">
      <w:r>
        <w:t xml:space="preserve">The primary risk-adjustment framework is the </w:t>
      </w:r>
      <w:proofErr w:type="spellStart"/>
      <w:r>
        <w:t>Fama</w:t>
      </w:r>
      <w:proofErr w:type="spellEnd"/>
      <w:r>
        <w:t>-French (2015) five-factor model, wh</w:t>
      </w:r>
      <w:r>
        <w:t>ich adds profitability (RMW) and investment (CMA) factors to the standard three-factor model. These factors are particularly relevant for industrial supply-chain firms in the MDAX/SDAX, where asset-heavy and capital-intensive business models make the inves</w:t>
      </w:r>
      <w:r>
        <w:t>tment factor economically meaningful. Factor returns are constructed from the German market following standard procedures. The Carhart (1997) four-factor model (which adds momentum to the three-factor model) is retained as a robustness check and for compar</w:t>
      </w:r>
      <w:r>
        <w:t>ability with prior German-market studies.</w:t>
      </w:r>
    </w:p>
    <w:p w14:paraId="29E3B09C" w14:textId="77777777" w:rsidR="007A6E21" w:rsidRDefault="007A6E21">
      <w:pPr>
        <w:spacing w:after="80"/>
      </w:pPr>
    </w:p>
    <w:p w14:paraId="1EFB0CC4" w14:textId="77777777" w:rsidR="007A6E21" w:rsidRDefault="006A708B">
      <w:pPr>
        <w:pStyle w:val="Heading2"/>
      </w:pPr>
      <w:r>
        <w:t>5.5 Simplified Network Alpha (Baseline GNN Approach)</w:t>
      </w:r>
    </w:p>
    <w:p w14:paraId="2025889B" w14:textId="77777777" w:rsidR="007A6E21" w:rsidRDefault="006A708B">
      <w:r>
        <w:t xml:space="preserve">The ML architecture follows a two-stage pipeline. First, a 2-layer Graph Attention Network (GAT; </w:t>
      </w:r>
      <w:proofErr w:type="spellStart"/>
      <w:r>
        <w:t>Veličković</w:t>
      </w:r>
      <w:proofErr w:type="spellEnd"/>
      <w:r>
        <w:t xml:space="preserve"> et al., 2018) is trained on the MDAX/SDAX supply-cha</w:t>
      </w:r>
      <w:r>
        <w:t>in graph. Each node is initialized with the four alternative signals; edges are weighted by revenue concentration. The GAT produces node embeddings that capture each firm’s supply-chain context, with attention weights learned to reflect which supplier/cust</w:t>
      </w:r>
      <w:r>
        <w:t>omer links carry the most predictive information. To prevent over-</w:t>
      </w:r>
      <w:r>
        <w:lastRenderedPageBreak/>
        <w:t xml:space="preserve">smoothing, the architecture is limited to two layers. Second, these node embeddings are concatenated with the four raw signals and fed into an </w:t>
      </w:r>
      <w:proofErr w:type="spellStart"/>
      <w:r>
        <w:t>XGBoost</w:t>
      </w:r>
      <w:proofErr w:type="spellEnd"/>
      <w:r>
        <w:t xml:space="preserve"> gradient-boosted tree model as the fina</w:t>
      </w:r>
      <w:r>
        <w:t>l predictor. This GNN-as-feature-extractor pipeline is interpretable (SHAP can decompose both raw signals and network features), avoids end-to-end training complexity, and aligns with the Gu et al. (2020) rolling expanding-window methodology (initial train</w:t>
      </w:r>
      <w:r>
        <w:t xml:space="preserve">ing 2012–2018, annual retraining thereafter). Regularization includes early stopping with a held-out validation window, tree depth limited to 4–6, GAT dropout on attention coefficients, and L2 weight decay. A parallel </w:t>
      </w:r>
      <w:proofErr w:type="spellStart"/>
      <w:r>
        <w:t>XGBoost</w:t>
      </w:r>
      <w:proofErr w:type="spellEnd"/>
      <w:r>
        <w:t>-only model (without GNN featur</w:t>
      </w:r>
      <w:r>
        <w:t>es) quantifies the marginal contribution of the network layer.</w:t>
      </w:r>
    </w:p>
    <w:p w14:paraId="5AF66E22" w14:textId="77777777" w:rsidR="007A6E21" w:rsidRDefault="007A6E21">
      <w:pPr>
        <w:spacing w:after="80"/>
      </w:pPr>
    </w:p>
    <w:p w14:paraId="3AEC07A9" w14:textId="77777777" w:rsidR="007A6E21" w:rsidRDefault="006A708B">
      <w:pPr>
        <w:pStyle w:val="Heading2"/>
      </w:pPr>
      <w:r>
        <w:t>5.6 Statistical Testing</w:t>
      </w:r>
    </w:p>
    <w:p w14:paraId="0BEEBB29" w14:textId="77777777" w:rsidR="007A6E21" w:rsidRDefault="006A708B">
      <w:r>
        <w:t xml:space="preserve">Univariate signal testing uses monthly </w:t>
      </w:r>
      <w:proofErr w:type="spellStart"/>
      <w:r>
        <w:t>Fama-MacBeth</w:t>
      </w:r>
      <w:proofErr w:type="spellEnd"/>
      <w:r>
        <w:t xml:space="preserve"> regressions with Newey-West standard errors (six lags). “Extreme positive signals” for network alpha tests are defin</w:t>
      </w:r>
      <w:r>
        <w:t xml:space="preserve">ed as observations in the top decile of the cross-sectional signal distribution; the delayed effect is measured over a [1, 3]-month event window following signal observation at the network neighbor. </w:t>
      </w:r>
      <w:proofErr w:type="spellStart"/>
      <w:r>
        <w:t>Fama-MacBeth</w:t>
      </w:r>
      <w:proofErr w:type="spellEnd"/>
      <w:r>
        <w:t xml:space="preserve"> results and ML results are interpreted joint</w:t>
      </w:r>
      <w:r>
        <w:t xml:space="preserve">ly: linear </w:t>
      </w:r>
      <w:proofErr w:type="spellStart"/>
      <w:r>
        <w:t>Fama-MacBeth</w:t>
      </w:r>
      <w:proofErr w:type="spellEnd"/>
      <w:r>
        <w:t xml:space="preserve"> tests establish unconditional predictability, while </w:t>
      </w:r>
      <w:proofErr w:type="spellStart"/>
      <w:r>
        <w:t>XGBoost</w:t>
      </w:r>
      <w:proofErr w:type="spellEnd"/>
      <w:r>
        <w:t>-SHAP captures conditional, non-linear alpha that may be insignificant in isolation but predictive in interaction.</w:t>
      </w:r>
    </w:p>
    <w:p w14:paraId="608EC26C" w14:textId="77777777" w:rsidR="007A6E21" w:rsidRDefault="007A6E21">
      <w:pPr>
        <w:spacing w:after="80"/>
      </w:pPr>
    </w:p>
    <w:p w14:paraId="5FC5A1B8" w14:textId="77777777" w:rsidR="007A6E21" w:rsidRDefault="006A708B">
      <w:pPr>
        <w:pStyle w:val="Heading1"/>
      </w:pPr>
      <w:r>
        <w:t>6. Scope &amp; Feasibility</w:t>
      </w:r>
    </w:p>
    <w:p w14:paraId="3BD9ECAE" w14:textId="77777777" w:rsidR="007A6E21" w:rsidRDefault="006A708B">
      <w:r>
        <w:t xml:space="preserve">The thesis defines a minimum viable thesis (MVT): signals + </w:t>
      </w:r>
      <w:proofErr w:type="spellStart"/>
      <w:r>
        <w:t>Fama-MacBeth</w:t>
      </w:r>
      <w:proofErr w:type="spellEnd"/>
      <w:r>
        <w:t xml:space="preserve"> regressions + </w:t>
      </w:r>
      <w:proofErr w:type="spellStart"/>
      <w:r>
        <w:t>XGBoost</w:t>
      </w:r>
      <w:proofErr w:type="spellEnd"/>
      <w:r>
        <w:t xml:space="preserve"> (without GNN) + long-short </w:t>
      </w:r>
      <w:proofErr w:type="spellStart"/>
      <w:r>
        <w:t>backtest</w:t>
      </w:r>
      <w:proofErr w:type="spellEnd"/>
      <w:r>
        <w:t xml:space="preserve"> with five-factor risk adjustment. The Simplified Network Alpha GNN component is the primary stretch goal. The work is divided</w:t>
      </w:r>
      <w:r>
        <w:t xml:space="preserve"> between two authors: Person A handles signal construction and </w:t>
      </w:r>
      <w:proofErr w:type="spellStart"/>
      <w:r>
        <w:t>Fama-MacBeth</w:t>
      </w:r>
      <w:proofErr w:type="spellEnd"/>
      <w:r>
        <w:t xml:space="preserve"> testing; Person B handles the ML pipeline and graph construction. Both collaborate on the </w:t>
      </w:r>
      <w:proofErr w:type="spellStart"/>
      <w:r>
        <w:t>backtest</w:t>
      </w:r>
      <w:proofErr w:type="spellEnd"/>
      <w:r>
        <w:t xml:space="preserve"> and writing, with weekly integration checkpoints. Bloomberg data extraction begin</w:t>
      </w:r>
      <w:r>
        <w:t>s in April 2026, prioritizing price data and analyst revisions before insider filings and short interest.</w:t>
      </w:r>
    </w:p>
    <w:p w14:paraId="3259AB13" w14:textId="77777777" w:rsidR="007A6E21" w:rsidRDefault="007A6E21">
      <w:pPr>
        <w:spacing w:after="80"/>
      </w:pPr>
    </w:p>
    <w:p w14:paraId="3504C5E7" w14:textId="77777777" w:rsidR="007A6E21" w:rsidRDefault="006A708B">
      <w:r>
        <w:br w:type="page"/>
      </w:r>
    </w:p>
    <w:p w14:paraId="13290C22" w14:textId="77777777" w:rsidR="007A6E21" w:rsidRDefault="006A708B">
      <w:pPr>
        <w:pStyle w:val="Heading1"/>
      </w:pPr>
      <w:r>
        <w:lastRenderedPageBreak/>
        <w:t>APPENDIX</w:t>
      </w:r>
    </w:p>
    <w:p w14:paraId="28C32655" w14:textId="77777777" w:rsidR="007A6E21" w:rsidRDefault="006A708B">
      <w:pPr>
        <w:pStyle w:val="Heading2"/>
      </w:pPr>
      <w:r>
        <w:t>Timeline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500"/>
        <w:gridCol w:w="1700"/>
      </w:tblGrid>
      <w:tr w:rsidR="007A6E21" w14:paraId="2C9D4B6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A24446" w14:textId="77777777" w:rsidR="007A6E21" w:rsidRDefault="006A708B">
            <w:r>
              <w:rPr>
                <w:b/>
                <w:bCs/>
                <w:color w:val="FFFFFF"/>
                <w:sz w:val="20"/>
                <w:szCs w:val="20"/>
              </w:rPr>
              <w:t>Phase</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221084" w14:textId="77777777" w:rsidR="007A6E21" w:rsidRDefault="006A708B">
            <w:r>
              <w:rPr>
                <w:b/>
                <w:bCs/>
                <w:color w:val="FFFFFF"/>
                <w:sz w:val="20"/>
                <w:szCs w:val="20"/>
              </w:rPr>
              <w:t>Task</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E05EB0" w14:textId="77777777" w:rsidR="007A6E21" w:rsidRDefault="006A708B">
            <w:r>
              <w:rPr>
                <w:b/>
                <w:bCs/>
                <w:color w:val="FFFFFF"/>
                <w:sz w:val="20"/>
                <w:szCs w:val="20"/>
              </w:rPr>
              <w:t>Timing</w:t>
            </w:r>
          </w:p>
        </w:tc>
      </w:tr>
      <w:tr w:rsidR="007A6E21" w14:paraId="57D3BC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624A25" w14:textId="77777777" w:rsidR="007A6E21" w:rsidRDefault="006A708B">
            <w:r>
              <w:rPr>
                <w:sz w:val="19"/>
                <w:szCs w:val="19"/>
              </w:rPr>
              <w:t>Phase 1</w:t>
            </w:r>
          </w:p>
        </w:tc>
        <w:tc>
          <w:tcPr>
            <w:tcW w:w="5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C328DC" w14:textId="77777777" w:rsidR="007A6E21" w:rsidRDefault="006A708B">
            <w:r>
              <w:rPr>
                <w:sz w:val="19"/>
                <w:szCs w:val="19"/>
              </w:rPr>
              <w:t>Data extraction and cleaning from Bloomberg Terminal (MDAX/SDAX, 2012–2026; point-in-time constituents</w:t>
            </w:r>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035B55" w14:textId="77777777" w:rsidR="007A6E21" w:rsidRDefault="006A708B">
            <w:r>
              <w:rPr>
                <w:sz w:val="19"/>
                <w:szCs w:val="19"/>
              </w:rPr>
              <w:t>April 2026</w:t>
            </w:r>
          </w:p>
        </w:tc>
      </w:tr>
      <w:tr w:rsidR="007A6E21" w14:paraId="4BA0CF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EADC1" w14:textId="77777777" w:rsidR="007A6E21" w:rsidRDefault="006A708B">
            <w:r>
              <w:rPr>
                <w:sz w:val="19"/>
                <w:szCs w:val="19"/>
              </w:rPr>
              <w:t>Phase 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CC889" w14:textId="77777777" w:rsidR="007A6E21" w:rsidRDefault="006A708B">
            <w:r>
              <w:rPr>
                <w:sz w:val="19"/>
                <w:szCs w:val="19"/>
              </w:rPr>
              <w:t xml:space="preserve">Signal construction, pre-MAR/post-MAR regime split, graph mapping, and univariate </w:t>
            </w:r>
            <w:proofErr w:type="spellStart"/>
            <w:r>
              <w:rPr>
                <w:sz w:val="19"/>
                <w:szCs w:val="19"/>
              </w:rPr>
              <w:t>Fama-MacBeth</w:t>
            </w:r>
            <w:proofErr w:type="spellEnd"/>
            <w:r>
              <w:rPr>
                <w:sz w:val="19"/>
                <w:szCs w:val="19"/>
              </w:rPr>
              <w:t xml:space="preserve"> tests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20B1" w14:textId="77777777" w:rsidR="007A6E21" w:rsidRDefault="006A708B">
            <w:r>
              <w:rPr>
                <w:sz w:val="19"/>
                <w:szCs w:val="19"/>
              </w:rPr>
              <w:t>May 2026</w:t>
            </w:r>
          </w:p>
        </w:tc>
      </w:tr>
      <w:tr w:rsidR="007A6E21" w14:paraId="5535A0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488A8D" w14:textId="77777777" w:rsidR="007A6E21" w:rsidRDefault="006A708B">
            <w:r>
              <w:rPr>
                <w:sz w:val="19"/>
                <w:szCs w:val="19"/>
              </w:rPr>
              <w:t>Phase 3</w:t>
            </w:r>
          </w:p>
        </w:tc>
        <w:tc>
          <w:tcPr>
            <w:tcW w:w="5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F833FD" w14:textId="77777777" w:rsidR="007A6E21" w:rsidRDefault="006A708B">
            <w:proofErr w:type="spellStart"/>
            <w:r>
              <w:rPr>
                <w:sz w:val="19"/>
                <w:szCs w:val="19"/>
              </w:rPr>
              <w:t>XGBoost</w:t>
            </w:r>
            <w:proofErr w:type="spellEnd"/>
            <w:r>
              <w:rPr>
                <w:sz w:val="19"/>
                <w:szCs w:val="19"/>
              </w:rPr>
              <w:t>-only model (MVT); Simplified Network Alpha GAT training and SHAP attribution if on track</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EF58FD" w14:textId="77777777" w:rsidR="007A6E21" w:rsidRDefault="006A708B">
            <w:r>
              <w:rPr>
                <w:sz w:val="19"/>
                <w:szCs w:val="19"/>
              </w:rPr>
              <w:t>June 2026</w:t>
            </w:r>
          </w:p>
        </w:tc>
      </w:tr>
      <w:tr w:rsidR="007A6E21" w14:paraId="5C2ED0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94DB" w14:textId="77777777" w:rsidR="007A6E21" w:rsidRDefault="006A708B">
            <w:r>
              <w:rPr>
                <w:sz w:val="19"/>
                <w:szCs w:val="19"/>
              </w:rPr>
              <w:t>Phase 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37E1" w14:textId="77777777" w:rsidR="007A6E21" w:rsidRDefault="006A708B">
            <w:r>
              <w:rPr>
                <w:sz w:val="19"/>
                <w:szCs w:val="19"/>
              </w:rPr>
              <w:t xml:space="preserve">Long-short portfolio </w:t>
            </w:r>
            <w:proofErr w:type="spellStart"/>
            <w:r>
              <w:rPr>
                <w:sz w:val="19"/>
                <w:szCs w:val="19"/>
              </w:rPr>
              <w:t>backtest</w:t>
            </w:r>
            <w:proofErr w:type="spellEnd"/>
            <w:r>
              <w:rPr>
                <w:sz w:val="19"/>
                <w:szCs w:val="19"/>
              </w:rPr>
              <w:t xml:space="preserve"> (five-factor risk adjustment) and robustness checks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6D8F" w14:textId="77777777" w:rsidR="007A6E21" w:rsidRDefault="006A708B">
            <w:r>
              <w:rPr>
                <w:sz w:val="19"/>
                <w:szCs w:val="19"/>
              </w:rPr>
              <w:t>June–July 2026</w:t>
            </w:r>
          </w:p>
        </w:tc>
      </w:tr>
      <w:tr w:rsidR="007A6E21" w14:paraId="36B996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13F259" w14:textId="77777777" w:rsidR="007A6E21" w:rsidRDefault="006A708B">
            <w:r>
              <w:rPr>
                <w:sz w:val="19"/>
                <w:szCs w:val="19"/>
              </w:rPr>
              <w:t>Phase 5</w:t>
            </w:r>
          </w:p>
        </w:tc>
        <w:tc>
          <w:tcPr>
            <w:tcW w:w="5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44E68C" w14:textId="77777777" w:rsidR="007A6E21" w:rsidRDefault="006A708B">
            <w:r>
              <w:rPr>
                <w:sz w:val="19"/>
                <w:szCs w:val="19"/>
              </w:rPr>
              <w:t>Writing, revisions, and finalization</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4D54C3" w14:textId="77777777" w:rsidR="007A6E21" w:rsidRDefault="006A708B">
            <w:r>
              <w:rPr>
                <w:sz w:val="19"/>
                <w:szCs w:val="19"/>
              </w:rPr>
              <w:t>July 2026</w:t>
            </w:r>
          </w:p>
        </w:tc>
      </w:tr>
      <w:tr w:rsidR="007A6E21" w14:paraId="7CD92C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42C2" w14:textId="77777777" w:rsidR="007A6E21" w:rsidRDefault="006A708B">
            <w:r>
              <w:rPr>
                <w:sz w:val="19"/>
                <w:szCs w:val="19"/>
              </w:rPr>
              <w:t>Submission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BB63" w14:textId="77777777" w:rsidR="007A6E21" w:rsidRDefault="006A708B">
            <w:r>
              <w:rPr>
                <w:sz w:val="19"/>
                <w:szCs w:val="19"/>
              </w:rPr>
              <w:t>Final thesis submitted to eLearning platform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B6D34" w14:textId="77777777" w:rsidR="007A6E21" w:rsidRDefault="006A708B">
            <w:r>
              <w:rPr>
                <w:sz w:val="19"/>
                <w:szCs w:val="19"/>
              </w:rPr>
              <w:t>July 29, 2026</w:t>
            </w:r>
          </w:p>
        </w:tc>
      </w:tr>
    </w:tbl>
    <w:p w14:paraId="327E7F00" w14:textId="77777777" w:rsidR="007A6E21" w:rsidRDefault="007A6E21">
      <w:pPr>
        <w:spacing w:after="80"/>
      </w:pPr>
    </w:p>
    <w:p w14:paraId="39DADF78" w14:textId="77777777" w:rsidR="007A6E21" w:rsidRDefault="006A708B">
      <w:pPr>
        <w:pStyle w:val="Heading2"/>
      </w:pPr>
      <w:r>
        <w:t>Resources</w:t>
      </w:r>
    </w:p>
    <w:p w14:paraId="1CBBC87A" w14:textId="77777777" w:rsidR="007A6E21" w:rsidRDefault="006A708B">
      <w:pPr>
        <w:pStyle w:val="ListParagraph"/>
        <w:numPr>
          <w:ilvl w:val="0"/>
          <w:numId w:val="2"/>
        </w:numPr>
      </w:pPr>
      <w:r>
        <w:t xml:space="preserve">Bloomberg Terminal (ESMT institutional access): pricing, fundamentals, analyst estimates, short interest, </w:t>
      </w:r>
      <w:proofErr w:type="spellStart"/>
      <w:r>
        <w:t>WpHG</w:t>
      </w:r>
      <w:proofErr w:type="spellEnd"/>
      <w:r>
        <w:t>/MAR insider filings, historical index constituents (MEMB), supply-chain data (SPLC)</w:t>
      </w:r>
    </w:p>
    <w:p w14:paraId="6B06A78A" w14:textId="77777777" w:rsidR="007A6E21" w:rsidRDefault="006A708B">
      <w:pPr>
        <w:pStyle w:val="ListParagraph"/>
        <w:numPr>
          <w:ilvl w:val="0"/>
          <w:numId w:val="2"/>
        </w:numPr>
      </w:pPr>
      <w:r>
        <w:t xml:space="preserve">Python environment: pandas, NumPy, scikit-learn, </w:t>
      </w:r>
      <w:proofErr w:type="spellStart"/>
      <w:r>
        <w:t>XGBoost</w:t>
      </w:r>
      <w:proofErr w:type="spellEnd"/>
      <w:r>
        <w:t>, SHA</w:t>
      </w:r>
      <w:r>
        <w:t xml:space="preserve">P, </w:t>
      </w:r>
      <w:proofErr w:type="spellStart"/>
      <w:r>
        <w:t>statsmodels</w:t>
      </w:r>
      <w:proofErr w:type="spellEnd"/>
      <w:r>
        <w:t xml:space="preserve">, </w:t>
      </w:r>
      <w:proofErr w:type="spellStart"/>
      <w:r>
        <w:t>PyTorch</w:t>
      </w:r>
      <w:proofErr w:type="spellEnd"/>
      <w:r>
        <w:t xml:space="preserve"> Geometric</w:t>
      </w:r>
    </w:p>
    <w:p w14:paraId="79565450" w14:textId="77777777" w:rsidR="007A6E21" w:rsidRDefault="006A708B">
      <w:pPr>
        <w:pStyle w:val="ListParagraph"/>
        <w:numPr>
          <w:ilvl w:val="0"/>
          <w:numId w:val="2"/>
        </w:numPr>
      </w:pPr>
      <w:r>
        <w:t xml:space="preserve">Supplementary data: </w:t>
      </w:r>
      <w:proofErr w:type="spellStart"/>
      <w:r>
        <w:t>Destatis</w:t>
      </w:r>
      <w:proofErr w:type="spellEnd"/>
      <w:r>
        <w:t xml:space="preserve"> industry input-output tables; IFRS 8 annual report segment disclosures</w:t>
      </w:r>
    </w:p>
    <w:p w14:paraId="7FED7293" w14:textId="77777777" w:rsidR="007A6E21" w:rsidRDefault="006A708B">
      <w:pPr>
        <w:pStyle w:val="ListParagraph"/>
        <w:numPr>
          <w:ilvl w:val="0"/>
          <w:numId w:val="2"/>
        </w:numPr>
      </w:pPr>
      <w:r>
        <w:t>Academic databases: JSTOR, SSRN, Oxford Academic, and ESMT Library access</w:t>
      </w:r>
    </w:p>
    <w:p w14:paraId="535178CC" w14:textId="77777777" w:rsidR="007A6E21" w:rsidRDefault="007A6E21">
      <w:pPr>
        <w:spacing w:after="80"/>
      </w:pPr>
    </w:p>
    <w:p w14:paraId="77940CA3" w14:textId="77777777" w:rsidR="007A6E21" w:rsidRDefault="006A708B">
      <w:pPr>
        <w:pStyle w:val="Heading2"/>
      </w:pP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A6E21" w14:paraId="730A3E9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B5C3F4" w14:textId="77777777" w:rsidR="007A6E21" w:rsidRDefault="006A708B">
            <w:r>
              <w:rPr>
                <w:b/>
                <w:bCs/>
                <w:color w:val="FFFFFF"/>
                <w:sz w:val="20"/>
                <w:szCs w:val="20"/>
              </w:rPr>
              <w:t>Author(s) and Year</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2B0923" w14:textId="77777777" w:rsidR="007A6E21" w:rsidRDefault="006A708B">
            <w:r>
              <w:rPr>
                <w:b/>
                <w:bCs/>
                <w:color w:val="FFFFFF"/>
                <w:sz w:val="20"/>
                <w:szCs w:val="20"/>
              </w:rPr>
              <w:t>Reference</w:t>
            </w:r>
          </w:p>
        </w:tc>
      </w:tr>
      <w:tr w:rsidR="007A6E21" w14:paraId="20677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10B7AB" w14:textId="77777777" w:rsidR="007A6E21" w:rsidRDefault="006A708B">
            <w:r>
              <w:rPr>
                <w:sz w:val="19"/>
                <w:szCs w:val="19"/>
              </w:rPr>
              <w:t>Carhart (1997)</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630298" w14:textId="77777777" w:rsidR="007A6E21" w:rsidRDefault="006A708B">
            <w:r>
              <w:rPr>
                <w:sz w:val="19"/>
                <w:szCs w:val="19"/>
              </w:rPr>
              <w:t>On Persistence in Mutual Fund Performance. Journal of Finance, 52(1), 57–82.</w:t>
            </w:r>
          </w:p>
        </w:tc>
      </w:tr>
      <w:tr w:rsidR="007A6E21" w14:paraId="7E591C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CA812" w14:textId="77777777" w:rsidR="007A6E21" w:rsidRDefault="006A708B">
            <w:r>
              <w:rPr>
                <w:sz w:val="19"/>
                <w:szCs w:val="19"/>
              </w:rPr>
              <w:t xml:space="preserve">Cohen, L. &amp; </w:t>
            </w:r>
            <w:proofErr w:type="spellStart"/>
            <w:r>
              <w:rPr>
                <w:sz w:val="19"/>
                <w:szCs w:val="19"/>
              </w:rPr>
              <w:t>Frazzini</w:t>
            </w:r>
            <w:proofErr w:type="spellEnd"/>
            <w:r>
              <w:rPr>
                <w:sz w:val="19"/>
                <w:szCs w:val="19"/>
              </w:rPr>
              <w:t>, A. (2008)</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8312" w14:textId="77777777" w:rsidR="007A6E21" w:rsidRDefault="006A708B">
            <w:r>
              <w:rPr>
                <w:sz w:val="19"/>
                <w:szCs w:val="19"/>
              </w:rPr>
              <w:t>Economic Links and Predictable Returns. Journal of Finance, 63(4), 1977–2011.</w:t>
            </w:r>
          </w:p>
        </w:tc>
      </w:tr>
      <w:tr w:rsidR="007A6E21" w14:paraId="044BE2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B21D4B" w14:textId="77777777" w:rsidR="007A6E21" w:rsidRDefault="006A708B">
            <w:r>
              <w:rPr>
                <w:sz w:val="19"/>
                <w:szCs w:val="19"/>
              </w:rPr>
              <w:t>Conrad and Kaul (1998)</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1A8ACE" w14:textId="77777777" w:rsidR="007A6E21" w:rsidRDefault="006A708B">
            <w:r>
              <w:rPr>
                <w:sz w:val="19"/>
                <w:szCs w:val="19"/>
              </w:rPr>
              <w:t>An Anatomy of Trading Strategies. Review of Financial Studies, 11(3), 489–519.</w:t>
            </w:r>
          </w:p>
        </w:tc>
      </w:tr>
      <w:tr w:rsidR="007A6E21" w14:paraId="5ACAED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90332" w14:textId="77777777" w:rsidR="007A6E21" w:rsidRDefault="006A708B">
            <w:proofErr w:type="spellStart"/>
            <w:r>
              <w:rPr>
                <w:sz w:val="19"/>
                <w:szCs w:val="19"/>
              </w:rPr>
              <w:t>Fama</w:t>
            </w:r>
            <w:proofErr w:type="spellEnd"/>
            <w:r>
              <w:rPr>
                <w:sz w:val="19"/>
                <w:szCs w:val="19"/>
              </w:rPr>
              <w:t>, E.F. (1970)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9272" w14:textId="77777777" w:rsidR="007A6E21" w:rsidRDefault="006A708B">
            <w:r>
              <w:rPr>
                <w:sz w:val="19"/>
                <w:szCs w:val="19"/>
              </w:rPr>
              <w:t>Efficient Capital Markets: A Review of Theory and Empirical Work. Journal of Finance, 25(2), 383–417.</w:t>
            </w:r>
          </w:p>
        </w:tc>
      </w:tr>
      <w:tr w:rsidR="007A6E21" w14:paraId="362243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1417F2" w14:textId="77777777" w:rsidR="007A6E21" w:rsidRDefault="006A708B">
            <w:proofErr w:type="spellStart"/>
            <w:r>
              <w:rPr>
                <w:sz w:val="19"/>
                <w:szCs w:val="19"/>
              </w:rPr>
              <w:t>Fama</w:t>
            </w:r>
            <w:proofErr w:type="spellEnd"/>
            <w:r>
              <w:rPr>
                <w:sz w:val="19"/>
                <w:szCs w:val="19"/>
              </w:rPr>
              <w:t>, E.F. &amp; French, K.R. (2015)</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E75E87" w14:textId="77777777" w:rsidR="007A6E21" w:rsidRDefault="006A708B">
            <w:r>
              <w:rPr>
                <w:sz w:val="19"/>
                <w:szCs w:val="19"/>
              </w:rPr>
              <w:t>A five-factor asset pricing model. Journal of Financial Economics, 116(1), 1–22.</w:t>
            </w:r>
          </w:p>
        </w:tc>
      </w:tr>
      <w:tr w:rsidR="007A6E21" w14:paraId="2A9D18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13AD" w14:textId="77777777" w:rsidR="007A6E21" w:rsidRDefault="006A708B">
            <w:proofErr w:type="spellStart"/>
            <w:r>
              <w:rPr>
                <w:sz w:val="19"/>
                <w:szCs w:val="19"/>
              </w:rPr>
              <w:t>Fama</w:t>
            </w:r>
            <w:proofErr w:type="spellEnd"/>
            <w:r>
              <w:rPr>
                <w:sz w:val="19"/>
                <w:szCs w:val="19"/>
              </w:rPr>
              <w:t xml:space="preserve"> and </w:t>
            </w:r>
            <w:proofErr w:type="spellStart"/>
            <w:r>
              <w:rPr>
                <w:sz w:val="19"/>
                <w:szCs w:val="19"/>
              </w:rPr>
              <w:t>MacBeth</w:t>
            </w:r>
            <w:proofErr w:type="spellEnd"/>
            <w:r>
              <w:rPr>
                <w:sz w:val="19"/>
                <w:szCs w:val="19"/>
              </w:rPr>
              <w:t xml:space="preserve"> (1973)</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B866" w14:textId="77777777" w:rsidR="007A6E21" w:rsidRDefault="006A708B">
            <w:r>
              <w:rPr>
                <w:sz w:val="19"/>
                <w:szCs w:val="19"/>
              </w:rPr>
              <w:t>Risk, Return, and Equilibrium. Journal of Political Economy, 81(3), 607–636.</w:t>
            </w:r>
          </w:p>
        </w:tc>
      </w:tr>
      <w:tr w:rsidR="007A6E21" w14:paraId="5C4239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B3026D" w14:textId="77777777" w:rsidR="007A6E21" w:rsidRDefault="006A708B">
            <w:r>
              <w:rPr>
                <w:sz w:val="19"/>
                <w:szCs w:val="19"/>
              </w:rPr>
              <w:t>Foster, Olsen, and Shevlin (1984)</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70ED08" w14:textId="77777777" w:rsidR="007A6E21" w:rsidRDefault="006A708B">
            <w:r>
              <w:rPr>
                <w:sz w:val="19"/>
                <w:szCs w:val="19"/>
              </w:rPr>
              <w:t>Earnings Releases, Anomalies, and the Behavior of Security Returns. The Accounting Review, 59(4), 574–603.</w:t>
            </w:r>
          </w:p>
        </w:tc>
      </w:tr>
      <w:tr w:rsidR="007A6E21" w14:paraId="379754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7608F" w14:textId="77777777" w:rsidR="007A6E21" w:rsidRDefault="006A708B">
            <w:r>
              <w:rPr>
                <w:sz w:val="19"/>
                <w:szCs w:val="19"/>
              </w:rPr>
              <w:t xml:space="preserve">Gu, Kelly, and </w:t>
            </w:r>
            <w:proofErr w:type="spellStart"/>
            <w:r>
              <w:rPr>
                <w:sz w:val="19"/>
                <w:szCs w:val="19"/>
              </w:rPr>
              <w:t>Xiu</w:t>
            </w:r>
            <w:proofErr w:type="spellEnd"/>
            <w:r>
              <w:rPr>
                <w:sz w:val="19"/>
                <w:szCs w:val="19"/>
              </w:rPr>
              <w:t xml:space="preserve"> (2020)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5486" w14:textId="77777777" w:rsidR="007A6E21" w:rsidRDefault="006A708B">
            <w:r>
              <w:rPr>
                <w:sz w:val="19"/>
                <w:szCs w:val="19"/>
              </w:rPr>
              <w:t>Empirical Asset Pricing via Machine Learning. Review of Financial Studies, 33(5), 2223–2273.</w:t>
            </w:r>
          </w:p>
        </w:tc>
      </w:tr>
      <w:tr w:rsidR="007A6E21" w14:paraId="432D4F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9EDD34" w14:textId="77777777" w:rsidR="007A6E21" w:rsidRDefault="006A708B">
            <w:proofErr w:type="spellStart"/>
            <w:r>
              <w:rPr>
                <w:sz w:val="19"/>
                <w:szCs w:val="19"/>
              </w:rPr>
              <w:t>Hirshleifer</w:t>
            </w:r>
            <w:proofErr w:type="spellEnd"/>
            <w:r>
              <w:rPr>
                <w:sz w:val="19"/>
                <w:szCs w:val="19"/>
              </w:rPr>
              <w:t>, D. &amp; Teoh, S.H. (2003)</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98DB99" w14:textId="77777777" w:rsidR="007A6E21" w:rsidRDefault="006A708B">
            <w:r>
              <w:rPr>
                <w:sz w:val="19"/>
                <w:szCs w:val="19"/>
              </w:rPr>
              <w:t>Limited Attention, Information Disclosure, and Financial Reporting. Journal of Accounting and Economics, 36(1–3), 337–386.</w:t>
            </w:r>
          </w:p>
        </w:tc>
      </w:tr>
      <w:tr w:rsidR="007A6E21" w14:paraId="3DA90A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2A28" w14:textId="77777777" w:rsidR="007A6E21" w:rsidRDefault="006A708B">
            <w:proofErr w:type="spellStart"/>
            <w:r>
              <w:rPr>
                <w:sz w:val="19"/>
                <w:szCs w:val="19"/>
              </w:rPr>
              <w:t>Jegadeesh</w:t>
            </w:r>
            <w:proofErr w:type="spellEnd"/>
            <w:r>
              <w:rPr>
                <w:sz w:val="19"/>
                <w:szCs w:val="19"/>
              </w:rPr>
              <w:t>, N. &amp; Titman, S. (1993)</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272F" w14:textId="77777777" w:rsidR="007A6E21" w:rsidRDefault="006A708B">
            <w:r>
              <w:rPr>
                <w:sz w:val="19"/>
                <w:szCs w:val="19"/>
              </w:rPr>
              <w:t>Returns to Buying Winners and Selling Losers. Journal of Finance, 48(1), 65–91.</w:t>
            </w:r>
          </w:p>
        </w:tc>
      </w:tr>
      <w:tr w:rsidR="007A6E21" w14:paraId="3386EB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41FC5" w14:textId="77777777" w:rsidR="007A6E21" w:rsidRDefault="006A708B">
            <w:proofErr w:type="spellStart"/>
            <w:r>
              <w:rPr>
                <w:sz w:val="19"/>
                <w:szCs w:val="19"/>
              </w:rPr>
              <w:lastRenderedPageBreak/>
              <w:t>Kosasih</w:t>
            </w:r>
            <w:proofErr w:type="spellEnd"/>
            <w:r>
              <w:rPr>
                <w:sz w:val="19"/>
                <w:szCs w:val="19"/>
              </w:rPr>
              <w:t>, E.E., et al. (2024)</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738A20" w14:textId="77777777" w:rsidR="007A6E21" w:rsidRDefault="006A708B">
            <w:r>
              <w:rPr>
                <w:sz w:val="19"/>
                <w:szCs w:val="19"/>
              </w:rPr>
              <w:t>Graph Neural Networks in Supply Chain Management: A Review of State-of-the-Art.</w:t>
            </w:r>
          </w:p>
        </w:tc>
      </w:tr>
      <w:tr w:rsidR="007A6E21" w14:paraId="4A832A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D3F4" w14:textId="77777777" w:rsidR="007A6E21" w:rsidRDefault="006A708B">
            <w:proofErr w:type="spellStart"/>
            <w:r>
              <w:rPr>
                <w:sz w:val="19"/>
                <w:szCs w:val="19"/>
              </w:rPr>
              <w:t>Lakonishok</w:t>
            </w:r>
            <w:proofErr w:type="spellEnd"/>
            <w:r>
              <w:rPr>
                <w:sz w:val="19"/>
                <w:szCs w:val="19"/>
              </w:rPr>
              <w:t>, J. &amp; Lee, I. (2001)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25EF" w14:textId="77777777" w:rsidR="007A6E21" w:rsidRDefault="006A708B">
            <w:r>
              <w:rPr>
                <w:sz w:val="19"/>
                <w:szCs w:val="19"/>
              </w:rPr>
              <w:t>Are Insider Trades Informative? Review of Financial Studies, 14(1), 79–111.</w:t>
            </w:r>
          </w:p>
        </w:tc>
      </w:tr>
      <w:tr w:rsidR="007A6E21" w14:paraId="76B3BC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1019A" w14:textId="77777777" w:rsidR="007A6E21" w:rsidRDefault="006A708B">
            <w:proofErr w:type="spellStart"/>
            <w:r>
              <w:rPr>
                <w:sz w:val="19"/>
                <w:szCs w:val="19"/>
              </w:rPr>
              <w:t>Mashruwala</w:t>
            </w:r>
            <w:proofErr w:type="spellEnd"/>
            <w:r>
              <w:rPr>
                <w:sz w:val="19"/>
                <w:szCs w:val="19"/>
              </w:rPr>
              <w:t xml:space="preserve">, </w:t>
            </w:r>
            <w:proofErr w:type="spellStart"/>
            <w:r>
              <w:rPr>
                <w:sz w:val="19"/>
                <w:szCs w:val="19"/>
              </w:rPr>
              <w:t>Rajgopal</w:t>
            </w:r>
            <w:proofErr w:type="spellEnd"/>
            <w:r>
              <w:rPr>
                <w:sz w:val="19"/>
                <w:szCs w:val="19"/>
              </w:rPr>
              <w:t>, and Shevlin (2006)</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D7325B" w14:textId="77777777" w:rsidR="007A6E21" w:rsidRDefault="006A708B">
            <w:r>
              <w:rPr>
                <w:sz w:val="19"/>
                <w:szCs w:val="19"/>
              </w:rPr>
              <w:t>Why is the Accrual Anomaly Not Arbitraged Away? Journal of Accounting and Economics, 42(1–2), 3–33.</w:t>
            </w:r>
          </w:p>
        </w:tc>
      </w:tr>
      <w:tr w:rsidR="007A6E21" w14:paraId="1FFFD9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0D155" w14:textId="77777777" w:rsidR="007A6E21" w:rsidRDefault="006A708B">
            <w:proofErr w:type="spellStart"/>
            <w:r>
              <w:rPr>
                <w:sz w:val="19"/>
                <w:szCs w:val="19"/>
              </w:rPr>
              <w:t>Menzly</w:t>
            </w:r>
            <w:proofErr w:type="spellEnd"/>
            <w:r>
              <w:rPr>
                <w:sz w:val="19"/>
                <w:szCs w:val="19"/>
              </w:rPr>
              <w:t xml:space="preserve">, L. &amp; </w:t>
            </w:r>
            <w:proofErr w:type="spellStart"/>
            <w:r>
              <w:rPr>
                <w:sz w:val="19"/>
                <w:szCs w:val="19"/>
              </w:rPr>
              <w:t>Ozbas</w:t>
            </w:r>
            <w:proofErr w:type="spellEnd"/>
            <w:r>
              <w:rPr>
                <w:sz w:val="19"/>
                <w:szCs w:val="19"/>
              </w:rPr>
              <w:t>, O. (2010)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977F" w14:textId="77777777" w:rsidR="007A6E21" w:rsidRDefault="006A708B">
            <w:r>
              <w:rPr>
                <w:sz w:val="19"/>
                <w:szCs w:val="19"/>
              </w:rPr>
              <w:t>Market Segmentation and Cross-Predictability of Returns. Journal of Finance, 65(4), 1555–1580.</w:t>
            </w:r>
          </w:p>
        </w:tc>
      </w:tr>
      <w:tr w:rsidR="007A6E21" w14:paraId="1DD7F9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43037B" w14:textId="77777777" w:rsidR="007A6E21" w:rsidRDefault="006A708B">
            <w:proofErr w:type="spellStart"/>
            <w:r>
              <w:rPr>
                <w:sz w:val="19"/>
                <w:szCs w:val="19"/>
              </w:rPr>
              <w:t>Novy</w:t>
            </w:r>
            <w:proofErr w:type="spellEnd"/>
            <w:r>
              <w:rPr>
                <w:sz w:val="19"/>
                <w:szCs w:val="19"/>
              </w:rPr>
              <w:t xml:space="preserve">-Marx, R. &amp; </w:t>
            </w:r>
            <w:proofErr w:type="spellStart"/>
            <w:r>
              <w:rPr>
                <w:sz w:val="19"/>
                <w:szCs w:val="19"/>
              </w:rPr>
              <w:t>Velikov</w:t>
            </w:r>
            <w:proofErr w:type="spellEnd"/>
            <w:r>
              <w:rPr>
                <w:sz w:val="19"/>
                <w:szCs w:val="19"/>
              </w:rPr>
              <w:t>, M. (2016)</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E943B9" w14:textId="77777777" w:rsidR="007A6E21" w:rsidRDefault="006A708B">
            <w:r>
              <w:rPr>
                <w:sz w:val="19"/>
                <w:szCs w:val="19"/>
              </w:rPr>
              <w:t>A Taxonomy of Anomalies and Their Trading Costs. Review of Financial Studies, 29(1), 104–147.</w:t>
            </w:r>
          </w:p>
        </w:tc>
      </w:tr>
      <w:tr w:rsidR="007A6E21" w14:paraId="32F217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05A7" w14:textId="77777777" w:rsidR="007A6E21" w:rsidRDefault="006A708B">
            <w:proofErr w:type="spellStart"/>
            <w:r>
              <w:rPr>
                <w:sz w:val="19"/>
                <w:szCs w:val="19"/>
              </w:rPr>
              <w:t>Seyhun</w:t>
            </w:r>
            <w:proofErr w:type="spellEnd"/>
            <w:r>
              <w:rPr>
                <w:sz w:val="19"/>
                <w:szCs w:val="19"/>
              </w:rPr>
              <w:t>, H.N. (1986)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8DFD" w14:textId="77777777" w:rsidR="007A6E21" w:rsidRDefault="006A708B">
            <w:r>
              <w:rPr>
                <w:sz w:val="19"/>
                <w:szCs w:val="19"/>
              </w:rPr>
              <w:t>Insiders’ Profits, Costs of Trading, and Market Efficiency. Journal of Financial Economics, 16(2), 189–212.</w:t>
            </w:r>
          </w:p>
        </w:tc>
      </w:tr>
      <w:tr w:rsidR="007A6E21" w14:paraId="28ED0C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70E13D" w14:textId="77777777" w:rsidR="007A6E21" w:rsidRDefault="006A708B">
            <w:r>
              <w:rPr>
                <w:sz w:val="19"/>
                <w:szCs w:val="19"/>
              </w:rPr>
              <w:t xml:space="preserve">Shleifer, A. &amp; </w:t>
            </w:r>
            <w:proofErr w:type="spellStart"/>
            <w:r>
              <w:rPr>
                <w:sz w:val="19"/>
                <w:szCs w:val="19"/>
              </w:rPr>
              <w:t>Vishny</w:t>
            </w:r>
            <w:proofErr w:type="spellEnd"/>
            <w:r>
              <w:rPr>
                <w:sz w:val="19"/>
                <w:szCs w:val="19"/>
              </w:rPr>
              <w:t>, R. (1997)</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7D8F3D" w14:textId="77777777" w:rsidR="007A6E21" w:rsidRDefault="006A708B">
            <w:r>
              <w:rPr>
                <w:sz w:val="19"/>
                <w:szCs w:val="19"/>
              </w:rPr>
              <w:t>The Limits of Arbitrage. Journal of Finance, 52(1), 35–55.</w:t>
            </w:r>
          </w:p>
        </w:tc>
      </w:tr>
      <w:tr w:rsidR="007A6E21" w14:paraId="0F4BAA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9CFBA" w14:textId="77777777" w:rsidR="007A6E21" w:rsidRDefault="006A708B">
            <w:r>
              <w:rPr>
                <w:sz w:val="19"/>
                <w:szCs w:val="19"/>
              </w:rPr>
              <w:t>Sloan (1996)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2EC30" w14:textId="77777777" w:rsidR="007A6E21" w:rsidRDefault="006A708B">
            <w:r>
              <w:rPr>
                <w:sz w:val="19"/>
                <w:szCs w:val="19"/>
              </w:rPr>
              <w:t>Do Stock Prices Fully Reflect Information in Accruals and Cash Flows? The Accounting Review, 71(3), 289–315.</w:t>
            </w:r>
          </w:p>
        </w:tc>
      </w:tr>
      <w:tr w:rsidR="007A6E21" w14:paraId="6A3309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CD72A4" w14:textId="77777777" w:rsidR="007A6E21" w:rsidRDefault="006A708B">
            <w:r>
              <w:rPr>
                <w:sz w:val="19"/>
                <w:szCs w:val="19"/>
              </w:rPr>
              <w:t>Uddin, M. &amp; Akhtar, S. (2025)</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B3F10B" w14:textId="77777777" w:rsidR="007A6E21" w:rsidRDefault="006A708B">
            <w:r>
              <w:rPr>
                <w:sz w:val="19"/>
                <w:szCs w:val="19"/>
              </w:rPr>
              <w:t>Causal Shock Networks: Propagating Fiscal Policy via GNNs.</w:t>
            </w:r>
          </w:p>
        </w:tc>
      </w:tr>
      <w:tr w:rsidR="007A6E21" w14:paraId="4C92F2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257E" w14:textId="77777777" w:rsidR="007A6E21" w:rsidRDefault="006A708B">
            <w:proofErr w:type="spellStart"/>
            <w:r>
              <w:rPr>
                <w:sz w:val="19"/>
                <w:szCs w:val="19"/>
              </w:rPr>
              <w:t>Veličković</w:t>
            </w:r>
            <w:proofErr w:type="spellEnd"/>
            <w:r>
              <w:rPr>
                <w:sz w:val="19"/>
                <w:szCs w:val="19"/>
              </w:rPr>
              <w:t>, P., et al. (2018)</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2E09" w14:textId="77777777" w:rsidR="007A6E21" w:rsidRDefault="006A708B">
            <w:r>
              <w:rPr>
                <w:sz w:val="19"/>
                <w:szCs w:val="19"/>
              </w:rPr>
              <w:t>Graph Attention Networks. International Conference on Learning Representations (ICLR).</w:t>
            </w:r>
          </w:p>
        </w:tc>
      </w:tr>
      <w:tr w:rsidR="007A6E21" w14:paraId="0DE24B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645924" w14:textId="77777777" w:rsidR="007A6E21" w:rsidRDefault="006A708B">
            <w:r>
              <w:rPr>
                <w:sz w:val="19"/>
                <w:szCs w:val="19"/>
              </w:rPr>
              <w:t>Bloomberg Intelligence (2025)</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BC9663" w14:textId="77777777" w:rsidR="007A6E21" w:rsidRDefault="006A708B">
            <w:r>
              <w:rPr>
                <w:sz w:val="19"/>
                <w:szCs w:val="19"/>
              </w:rPr>
              <w:t xml:space="preserve">SPLC </w:t>
            </w:r>
            <w:proofErr w:type="spellStart"/>
            <w:r>
              <w:rPr>
                <w:sz w:val="19"/>
                <w:szCs w:val="19"/>
              </w:rPr>
              <w:t>GeoRiskFactors</w:t>
            </w:r>
            <w:proofErr w:type="spellEnd"/>
            <w:r>
              <w:rPr>
                <w:sz w:val="19"/>
                <w:szCs w:val="19"/>
              </w:rPr>
              <w:t xml:space="preserve">: Revenue Concentration as a Systematic Factor. [Supporting motivation; see Cohen &amp; </w:t>
            </w:r>
            <w:proofErr w:type="spellStart"/>
            <w:r>
              <w:rPr>
                <w:sz w:val="19"/>
                <w:szCs w:val="19"/>
              </w:rPr>
              <w:t>Frazzini</w:t>
            </w:r>
            <w:proofErr w:type="spellEnd"/>
            <w:r>
              <w:rPr>
                <w:sz w:val="19"/>
                <w:szCs w:val="19"/>
              </w:rPr>
              <w:t xml:space="preserve"> (2008) for academic foundation.]</w:t>
            </w:r>
          </w:p>
        </w:tc>
      </w:tr>
      <w:tr w:rsidR="007A6E21" w14:paraId="4DAECB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D5DA" w14:textId="77777777" w:rsidR="007A6E21" w:rsidRDefault="006A708B">
            <w:r>
              <w:rPr>
                <w:sz w:val="19"/>
                <w:szCs w:val="19"/>
              </w:rPr>
              <w:t>Zhou, J., et al. (2024)</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EDC1" w14:textId="77777777" w:rsidR="007A6E21" w:rsidRDefault="006A708B">
            <w:r>
              <w:rPr>
                <w:sz w:val="19"/>
                <w:szCs w:val="19"/>
              </w:rPr>
              <w:t>Graph Convolutional Networks for Stock Price Prediction with Multi-graph Fusion.</w:t>
            </w:r>
          </w:p>
        </w:tc>
      </w:tr>
    </w:tbl>
    <w:p w14:paraId="45C669AE" w14:textId="77777777" w:rsidR="006A708B" w:rsidRDefault="006A708B"/>
    <w:sectPr w:rsidR="006A708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28DBDA" w14:textId="77777777" w:rsidR="006A708B" w:rsidRDefault="006A708B">
      <w:r>
        <w:separator/>
      </w:r>
    </w:p>
  </w:endnote>
  <w:endnote w:type="continuationSeparator" w:id="0">
    <w:p w14:paraId="4E42B387" w14:textId="77777777" w:rsidR="006A708B" w:rsidRDefault="006A7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4101C" w14:textId="77777777" w:rsidR="007A6E21" w:rsidRDefault="006A708B">
    <w:pPr>
      <w:pBdr>
        <w:top w:val="single" w:sz="3" w:space="1" w:color="CCCCCC"/>
      </w:pBdr>
      <w:tabs>
        <w:tab w:val="right" w:pos="9026"/>
      </w:tabs>
    </w:pPr>
    <w:proofErr w:type="spellStart"/>
    <w:r>
      <w:rPr>
        <w:color w:val="808080"/>
        <w:sz w:val="16"/>
        <w:szCs w:val="16"/>
      </w:rPr>
      <w:t>Scheider</w:t>
    </w:r>
    <w:proofErr w:type="spellEnd"/>
    <w:r>
      <w:rPr>
        <w:color w:val="808080"/>
        <w:sz w:val="16"/>
        <w:szCs w:val="16"/>
      </w:rPr>
      <w:t xml:space="preserve"> &amp; </w:t>
    </w:r>
    <w:proofErr w:type="gramStart"/>
    <w:r>
      <w:rPr>
        <w:color w:val="808080"/>
        <w:sz w:val="16"/>
        <w:szCs w:val="16"/>
      </w:rPr>
      <w:t>Chahal  |</w:t>
    </w:r>
    <w:proofErr w:type="gramEnd"/>
    <w:r>
      <w:rPr>
        <w:color w:val="808080"/>
        <w:sz w:val="16"/>
        <w:szCs w:val="16"/>
      </w:rPr>
      <w:t xml:space="preserve">  Trading on Information  |  ESMT Berlin 2026</w:t>
    </w:r>
    <w:r>
      <w:rPr>
        <w:color w:val="80808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94093F" w14:textId="77777777" w:rsidR="006A708B" w:rsidRDefault="006A708B">
      <w:r>
        <w:separator/>
      </w:r>
    </w:p>
  </w:footnote>
  <w:footnote w:type="continuationSeparator" w:id="0">
    <w:p w14:paraId="2B34A336" w14:textId="77777777" w:rsidR="006A708B" w:rsidRDefault="006A7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1EA556" w14:textId="77777777" w:rsidR="007A6E21" w:rsidRDefault="006A708B">
    <w:pPr>
      <w:pBdr>
        <w:bottom w:val="single" w:sz="3" w:space="1" w:color="CCCCCC"/>
      </w:pBdr>
    </w:pPr>
    <w:r>
      <w:rPr>
        <w:color w:val="808080"/>
        <w:sz w:val="16"/>
        <w:szCs w:val="16"/>
      </w:rPr>
      <w:t xml:space="preserve">ESMT </w:t>
    </w:r>
    <w:proofErr w:type="gramStart"/>
    <w:r>
      <w:rPr>
        <w:color w:val="808080"/>
        <w:sz w:val="16"/>
        <w:szCs w:val="16"/>
      </w:rPr>
      <w:t>Berlin  |</w:t>
    </w:r>
    <w:proofErr w:type="gramEnd"/>
    <w:r>
      <w:rPr>
        <w:color w:val="808080"/>
        <w:sz w:val="16"/>
        <w:szCs w:val="16"/>
      </w:rPr>
      <w:t xml:space="preserve">  MSc Analytics &amp; Artificial Intelligence  |  Master’s Thesis Proposal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2B5482"/>
    <w:multiLevelType w:val="hybridMultilevel"/>
    <w:tmpl w:val="AFA012F4"/>
    <w:lvl w:ilvl="0" w:tplc="7E02AD80">
      <w:start w:val="1"/>
      <w:numFmt w:val="bullet"/>
      <w:lvlText w:val="●"/>
      <w:lvlJc w:val="left"/>
      <w:pPr>
        <w:ind w:left="720" w:hanging="360"/>
      </w:pPr>
    </w:lvl>
    <w:lvl w:ilvl="1" w:tplc="8EA25542">
      <w:start w:val="1"/>
      <w:numFmt w:val="bullet"/>
      <w:lvlText w:val="○"/>
      <w:lvlJc w:val="left"/>
      <w:pPr>
        <w:ind w:left="1440" w:hanging="360"/>
      </w:pPr>
    </w:lvl>
    <w:lvl w:ilvl="2" w:tplc="45B6ACCC">
      <w:start w:val="1"/>
      <w:numFmt w:val="bullet"/>
      <w:lvlText w:val="■"/>
      <w:lvlJc w:val="left"/>
      <w:pPr>
        <w:ind w:left="2160" w:hanging="360"/>
      </w:pPr>
    </w:lvl>
    <w:lvl w:ilvl="3" w:tplc="98266CBC">
      <w:start w:val="1"/>
      <w:numFmt w:val="bullet"/>
      <w:lvlText w:val="●"/>
      <w:lvlJc w:val="left"/>
      <w:pPr>
        <w:ind w:left="2880" w:hanging="360"/>
      </w:pPr>
    </w:lvl>
    <w:lvl w:ilvl="4" w:tplc="F7D435B4">
      <w:start w:val="1"/>
      <w:numFmt w:val="bullet"/>
      <w:lvlText w:val="○"/>
      <w:lvlJc w:val="left"/>
      <w:pPr>
        <w:ind w:left="3600" w:hanging="360"/>
      </w:pPr>
    </w:lvl>
    <w:lvl w:ilvl="5" w:tplc="8F203D2E">
      <w:start w:val="1"/>
      <w:numFmt w:val="bullet"/>
      <w:lvlText w:val="■"/>
      <w:lvlJc w:val="left"/>
      <w:pPr>
        <w:ind w:left="4320" w:hanging="360"/>
      </w:pPr>
    </w:lvl>
    <w:lvl w:ilvl="6" w:tplc="989ADE16">
      <w:start w:val="1"/>
      <w:numFmt w:val="bullet"/>
      <w:lvlText w:val="●"/>
      <w:lvlJc w:val="left"/>
      <w:pPr>
        <w:ind w:left="5040" w:hanging="360"/>
      </w:pPr>
    </w:lvl>
    <w:lvl w:ilvl="7" w:tplc="B3569F46">
      <w:start w:val="1"/>
      <w:numFmt w:val="bullet"/>
      <w:lvlText w:val="●"/>
      <w:lvlJc w:val="left"/>
      <w:pPr>
        <w:ind w:left="5760" w:hanging="360"/>
      </w:pPr>
    </w:lvl>
    <w:lvl w:ilvl="8" w:tplc="F0C094C2">
      <w:start w:val="1"/>
      <w:numFmt w:val="bullet"/>
      <w:lvlText w:val="●"/>
      <w:lvlJc w:val="left"/>
      <w:pPr>
        <w:ind w:left="6480" w:hanging="360"/>
      </w:pPr>
    </w:lvl>
  </w:abstractNum>
  <w:abstractNum w:abstractNumId="1" w15:restartNumberingAfterBreak="0">
    <w:nsid w:val="32AD4332"/>
    <w:multiLevelType w:val="hybridMultilevel"/>
    <w:tmpl w:val="47FAD412"/>
    <w:lvl w:ilvl="0" w:tplc="355E9F6E">
      <w:start w:val="1"/>
      <w:numFmt w:val="bullet"/>
      <w:lvlText w:val="•"/>
      <w:lvlJc w:val="left"/>
      <w:pPr>
        <w:ind w:left="720" w:hanging="360"/>
      </w:pPr>
      <w:rPr>
        <w:rFonts w:ascii="Arial" w:eastAsia="Arial" w:hAnsi="Arial" w:cs="Arial"/>
      </w:rPr>
    </w:lvl>
    <w:lvl w:ilvl="1" w:tplc="E17E1A80">
      <w:start w:val="1"/>
      <w:numFmt w:val="bullet"/>
      <w:lvlText w:val="◦"/>
      <w:lvlJc w:val="left"/>
      <w:pPr>
        <w:ind w:left="1080" w:hanging="360"/>
      </w:pPr>
      <w:rPr>
        <w:rFonts w:ascii="Arial" w:eastAsia="Arial" w:hAnsi="Arial" w:cs="Arial"/>
      </w:rPr>
    </w:lvl>
    <w:lvl w:ilvl="2" w:tplc="E6862A0E">
      <w:numFmt w:val="decimal"/>
      <w:lvlText w:val=""/>
      <w:lvlJc w:val="left"/>
    </w:lvl>
    <w:lvl w:ilvl="3" w:tplc="A0FECE36">
      <w:numFmt w:val="decimal"/>
      <w:lvlText w:val=""/>
      <w:lvlJc w:val="left"/>
    </w:lvl>
    <w:lvl w:ilvl="4" w:tplc="773807C0">
      <w:numFmt w:val="decimal"/>
      <w:lvlText w:val=""/>
      <w:lvlJc w:val="left"/>
    </w:lvl>
    <w:lvl w:ilvl="5" w:tplc="9D58D2A4">
      <w:numFmt w:val="decimal"/>
      <w:lvlText w:val=""/>
      <w:lvlJc w:val="left"/>
    </w:lvl>
    <w:lvl w:ilvl="6" w:tplc="7238683C">
      <w:numFmt w:val="decimal"/>
      <w:lvlText w:val=""/>
      <w:lvlJc w:val="left"/>
    </w:lvl>
    <w:lvl w:ilvl="7" w:tplc="3D02C95C">
      <w:numFmt w:val="decimal"/>
      <w:lvlText w:val=""/>
      <w:lvlJc w:val="left"/>
    </w:lvl>
    <w:lvl w:ilvl="8" w:tplc="51825762">
      <w:numFmt w:val="decimal"/>
      <w:lvlText w:val=""/>
      <w:lvlJc w:val="left"/>
    </w:lvl>
  </w:abstractNum>
  <w:abstractNum w:abstractNumId="2" w15:restartNumberingAfterBreak="0">
    <w:nsid w:val="58307CEF"/>
    <w:multiLevelType w:val="hybridMultilevel"/>
    <w:tmpl w:val="404AC9DE"/>
    <w:lvl w:ilvl="0" w:tplc="02C46142">
      <w:start w:val="1"/>
      <w:numFmt w:val="decimal"/>
      <w:lvlText w:val="%1."/>
      <w:lvlJc w:val="left"/>
      <w:pPr>
        <w:ind w:left="720" w:hanging="360"/>
      </w:pPr>
      <w:rPr>
        <w:rFonts w:ascii="Arial" w:eastAsia="Arial" w:hAnsi="Arial" w:cs="Arial"/>
      </w:rPr>
    </w:lvl>
    <w:lvl w:ilvl="1" w:tplc="AEB862FC">
      <w:numFmt w:val="decimal"/>
      <w:lvlText w:val=""/>
      <w:lvlJc w:val="left"/>
    </w:lvl>
    <w:lvl w:ilvl="2" w:tplc="D250C1E0">
      <w:numFmt w:val="decimal"/>
      <w:lvlText w:val=""/>
      <w:lvlJc w:val="left"/>
    </w:lvl>
    <w:lvl w:ilvl="3" w:tplc="697AC92C">
      <w:numFmt w:val="decimal"/>
      <w:lvlText w:val=""/>
      <w:lvlJc w:val="left"/>
    </w:lvl>
    <w:lvl w:ilvl="4" w:tplc="2334E246">
      <w:numFmt w:val="decimal"/>
      <w:lvlText w:val=""/>
      <w:lvlJc w:val="left"/>
    </w:lvl>
    <w:lvl w:ilvl="5" w:tplc="16C6FD10">
      <w:numFmt w:val="decimal"/>
      <w:lvlText w:val=""/>
      <w:lvlJc w:val="left"/>
    </w:lvl>
    <w:lvl w:ilvl="6" w:tplc="15140230">
      <w:numFmt w:val="decimal"/>
      <w:lvlText w:val=""/>
      <w:lvlJc w:val="left"/>
    </w:lvl>
    <w:lvl w:ilvl="7" w:tplc="44E80B2C">
      <w:numFmt w:val="decimal"/>
      <w:lvlText w:val=""/>
      <w:lvlJc w:val="left"/>
    </w:lvl>
    <w:lvl w:ilvl="8" w:tplc="D26E539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E21"/>
    <w:rsid w:val="000943A5"/>
    <w:rsid w:val="006A708B"/>
    <w:rsid w:val="007A6E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F005C60"/>
  <w15:docId w15:val="{E47D0488-3573-CC45-B42A-00512B627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2494</Words>
  <Characters>14216</Characters>
  <Application>Microsoft Office Word</Application>
  <DocSecurity>0</DocSecurity>
  <Lines>118</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achahal9@student.ubc.ca</cp:lastModifiedBy>
  <cp:revision>2</cp:revision>
  <dcterms:created xsi:type="dcterms:W3CDTF">2026-03-26T13:04:00Z</dcterms:created>
  <dcterms:modified xsi:type="dcterms:W3CDTF">2026-03-26T13:04:00Z</dcterms:modified>
</cp:coreProperties>
</file>