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0F3440D7" wp14:textId="77777777">
      <w:pPr>
        <w:spacing w:before="0" w:after="80"/>
      </w:pPr>
      <w:r>
        <w:rPr>
          <w:rFonts w:ascii="Times New Roman" w:hAnsi="Times New Roman" w:eastAsia="Times New Roman" w:cs="Times New Roman"/>
          <w:b/>
          <w:bCs/>
          <w:color w:val="1F3864"/>
          <w:sz w:val="36"/>
          <w:szCs w:val="36"/>
        </w:rPr>
        <w:t xml:space="preserve">METHODS</w:t>
      </w:r>
    </w:p>
    <w:p xmlns:wp14="http://schemas.microsoft.com/office/word/2010/wordml" w14:paraId="0636EC22" wp14:textId="77777777">
      <w:pPr>
        <w:pBdr>
          <w:bottom w:val="single" w:color="1F3864" w:sz="8" w:space="1"/>
        </w:pBdr>
        <w:spacing w:before="0" w:after="40"/>
      </w:pPr>
      <w:r>
        <w:rPr>
          <w:rFonts w:ascii="Times New Roman" w:hAnsi="Times New Roman" w:eastAsia="Times New Roman" w:cs="Times New Roman"/>
          <w:i/>
          <w:iCs/>
          <w:color w:val="444444"/>
          <w:sz w:val="22"/>
          <w:szCs w:val="22"/>
        </w:rPr>
        <w:t xml:space="preserve">Macrophage Transcriptomics: HIV, Cannabinoids &amp; Inflammation</w:t>
      </w:r>
    </w:p>
    <w:p xmlns:wp14="http://schemas.microsoft.com/office/word/2010/wordml" w14:paraId="672A6659" wp14:textId="77777777">
      <w:pPr>
        <w:spacing w:before="40" w:after="240"/>
      </w:pPr>
    </w:p>
    <w:p xmlns:wp14="http://schemas.microsoft.com/office/word/2010/wordml" w14:paraId="1181E7D7" wp14:textId="77777777">
      <w:pPr>
        <w:pStyle w:val="Heading1"/>
        <w:spacing w:before="360" w:after="120"/>
      </w:pPr>
      <w:r>
        <w:rPr>
          <w:rFonts w:ascii="Times New Roman" w:hAnsi="Times New Roman" w:eastAsia="Times New Roman" w:cs="Times New Roman"/>
          <w:b/>
          <w:bCs/>
          <w:color w:val="1F3864"/>
          <w:sz w:val="28"/>
          <w:szCs w:val="28"/>
        </w:rPr>
        <w:t xml:space="preserve">1. Study Design and Participants</w:t>
      </w:r>
    </w:p>
    <w:p xmlns:wp14="http://schemas.microsoft.com/office/word/2010/wordml" w14:paraId="62E8EEED" wp14:textId="77777777">
      <w:pPr>
        <w:spacing w:before="0" w:after="160"/>
        <w:jc w:val="both"/>
      </w:pPr>
      <w:r>
        <w:rPr>
          <w:rFonts w:ascii="Times New Roman" w:hAnsi="Times New Roman" w:eastAsia="Times New Roman" w:cs="Times New Roman"/>
          <w:sz w:val="24"/>
          <w:szCs w:val="24"/>
        </w:rPr>
        <w:t xml:space="preserve">Monocyte-derived macrophages (MDMs) were obtained from </w:t>
      </w:r>
      <w:r>
        <w:rPr>
          <w:rFonts w:ascii="Times New Roman" w:hAnsi="Times New Roman" w:eastAsia="Times New Roman" w:cs="Times New Roman"/>
          <w:b/>
          <w:bCs/>
          <w:sz w:val="24"/>
          <w:szCs w:val="24"/>
        </w:rPr>
        <w:t xml:space="preserve">30 participants</w:t>
      </w:r>
      <w:r>
        <w:rPr>
          <w:rFonts w:ascii="Times New Roman" w:hAnsi="Times New Roman" w:eastAsia="Times New Roman" w:cs="Times New Roman"/>
          <w:sz w:val="24"/>
          <w:szCs w:val="24"/>
        </w:rPr>
        <w:t xml:space="preserve"> stratified by two between-subject factors: HIV serostatus (HIV−, n = 15; HIV+, n = 15) and self-reported cannabis use history (cannabis-naïve, n = 10; moderate use, n = 10; daily use, n = 10). The resulting 2 × 3 factorial between-subject design yielded five participants per HIV × cannabis cell, for a total of 30 independent donors.</w:t>
      </w:r>
    </w:p>
    <w:p xmlns:wp14="http://schemas.microsoft.com/office/word/2010/wordml" w14:paraId="35009815" wp14:textId="77777777">
      <w:pPr>
        <w:spacing w:before="0" w:after="160"/>
        <w:jc w:val="both"/>
      </w:pPr>
      <w:r w:rsidRPr="656E598F" w:rsidR="656E598F">
        <w:rPr>
          <w:rFonts w:ascii="Times New Roman" w:hAnsi="Times New Roman" w:eastAsia="Times New Roman" w:cs="Times New Roman"/>
          <w:sz w:val="24"/>
          <w:szCs w:val="24"/>
          <w:lang w:val="en-US"/>
        </w:rPr>
        <w:t xml:space="preserve">Each donor’s MDMs were exposed to </w:t>
      </w:r>
      <w:r w:rsidRPr="656E598F" w:rsidR="656E598F">
        <w:rPr>
          <w:rFonts w:ascii="Times New Roman" w:hAnsi="Times New Roman" w:eastAsia="Times New Roman" w:cs="Times New Roman"/>
          <w:b w:val="1"/>
          <w:bCs w:val="1"/>
          <w:sz w:val="24"/>
          <w:szCs w:val="24"/>
          <w:lang w:val="en-US"/>
        </w:rPr>
        <w:t>six treatment conditions</w:t>
      </w:r>
      <w:r w:rsidRPr="656E598F" w:rsidR="656E598F">
        <w:rPr>
          <w:rFonts w:ascii="Times New Roman" w:hAnsi="Times New Roman" w:eastAsia="Times New Roman" w:cs="Times New Roman"/>
          <w:sz w:val="24"/>
          <w:szCs w:val="24"/>
          <w:lang w:val="en-US"/>
        </w:rPr>
        <w:t xml:space="preserve"> in a fully within-subject repeated-measures design: </w:t>
      </w:r>
      <w:r w:rsidRPr="656E598F" w:rsidR="656E598F">
        <w:rPr>
          <w:rFonts w:ascii="Times New Roman" w:hAnsi="Times New Roman" w:eastAsia="Times New Roman" w:cs="Times New Roman"/>
          <w:i w:val="1"/>
          <w:iCs w:val="1"/>
          <w:sz w:val="24"/>
          <w:szCs w:val="24"/>
          <w:lang w:val="en-US"/>
        </w:rPr>
        <w:t>Vehicle</w:t>
      </w:r>
      <w:r w:rsidRPr="656E598F" w:rsidR="656E598F">
        <w:rPr>
          <w:rFonts w:ascii="Times New Roman" w:hAnsi="Times New Roman" w:eastAsia="Times New Roman" w:cs="Times New Roman"/>
          <w:sz w:val="24"/>
          <w:szCs w:val="24"/>
          <w:lang w:val="en-US"/>
        </w:rPr>
        <w:t xml:space="preserve"> (DMSO/ethanol carrier; biological baseline), </w:t>
      </w:r>
      <w:r w:rsidRPr="656E598F" w:rsidR="656E598F">
        <w:rPr>
          <w:rFonts w:ascii="Times New Roman" w:hAnsi="Times New Roman" w:eastAsia="Times New Roman" w:cs="Times New Roman"/>
          <w:i w:val="1"/>
          <w:iCs w:val="1"/>
          <w:sz w:val="24"/>
          <w:szCs w:val="24"/>
          <w:lang w:val="en-US"/>
        </w:rPr>
        <w:t>IL-1β</w:t>
      </w:r>
      <w:r w:rsidRPr="656E598F" w:rsidR="656E598F">
        <w:rPr>
          <w:rFonts w:ascii="Times New Roman" w:hAnsi="Times New Roman" w:eastAsia="Times New Roman" w:cs="Times New Roman"/>
          <w:sz w:val="24"/>
          <w:szCs w:val="24"/>
          <w:lang w:val="en-US"/>
        </w:rPr>
        <w:t xml:space="preserve"> (10 ng/mL; inflammatory stimulus), </w:t>
      </w:r>
      <w:r w:rsidRPr="656E598F" w:rsidR="656E598F">
        <w:rPr>
          <w:rFonts w:ascii="Times New Roman" w:hAnsi="Times New Roman" w:eastAsia="Times New Roman" w:cs="Times New Roman"/>
          <w:i w:val="1"/>
          <w:iCs w:val="1"/>
          <w:sz w:val="24"/>
          <w:szCs w:val="24"/>
          <w:lang w:val="en-US"/>
        </w:rPr>
        <w:t>THC</w:t>
      </w:r>
      <w:r w:rsidRPr="656E598F" w:rsidR="656E598F">
        <w:rPr>
          <w:rFonts w:ascii="Times New Roman" w:hAnsi="Times New Roman" w:eastAsia="Times New Roman" w:cs="Times New Roman"/>
          <w:sz w:val="24"/>
          <w:szCs w:val="24"/>
          <w:lang w:val="en-US"/>
        </w:rPr>
        <w:t xml:space="preserve"> (Δ12-tetrahydrocannabinol, 1 μM), </w:t>
      </w:r>
      <w:r w:rsidRPr="656E598F" w:rsidR="656E598F">
        <w:rPr>
          <w:rFonts w:ascii="Times New Roman" w:hAnsi="Times New Roman" w:eastAsia="Times New Roman" w:cs="Times New Roman"/>
          <w:i w:val="1"/>
          <w:iCs w:val="1"/>
          <w:sz w:val="24"/>
          <w:szCs w:val="24"/>
          <w:lang w:val="en-US"/>
        </w:rPr>
        <w:t>THC + IL-1β</w:t>
      </w:r>
      <w:r w:rsidRPr="656E598F" w:rsidR="656E598F">
        <w:rPr>
          <w:rFonts w:ascii="Times New Roman" w:hAnsi="Times New Roman" w:eastAsia="Times New Roman" w:cs="Times New Roman"/>
          <w:sz w:val="24"/>
          <w:szCs w:val="24"/>
          <w:lang w:val="en-US"/>
        </w:rPr>
        <w:t xml:space="preserve">, </w:t>
      </w:r>
      <w:r w:rsidRPr="656E598F" w:rsidR="656E598F">
        <w:rPr>
          <w:rFonts w:ascii="Times New Roman" w:hAnsi="Times New Roman" w:eastAsia="Times New Roman" w:cs="Times New Roman"/>
          <w:i w:val="1"/>
          <w:iCs w:val="1"/>
          <w:sz w:val="24"/>
          <w:szCs w:val="24"/>
          <w:lang w:val="en-US"/>
        </w:rPr>
        <w:t>CBD</w:t>
      </w:r>
      <w:r w:rsidRPr="656E598F" w:rsidR="656E598F">
        <w:rPr>
          <w:rFonts w:ascii="Times New Roman" w:hAnsi="Times New Roman" w:eastAsia="Times New Roman" w:cs="Times New Roman"/>
          <w:sz w:val="24"/>
          <w:szCs w:val="24"/>
          <w:lang w:val="en-US"/>
        </w:rPr>
        <w:t xml:space="preserve"> (cannabidiol, 1 μM), and </w:t>
      </w:r>
      <w:r w:rsidRPr="656E598F" w:rsidR="656E598F">
        <w:rPr>
          <w:rFonts w:ascii="Times New Roman" w:hAnsi="Times New Roman" w:eastAsia="Times New Roman" w:cs="Times New Roman"/>
          <w:i w:val="1"/>
          <w:iCs w:val="1"/>
          <w:sz w:val="24"/>
          <w:szCs w:val="24"/>
          <w:lang w:val="en-US"/>
        </w:rPr>
        <w:t>CBD + IL-1β</w:t>
      </w:r>
      <w:r w:rsidRPr="656E598F" w:rsidR="656E598F">
        <w:rPr>
          <w:rFonts w:ascii="Times New Roman" w:hAnsi="Times New Roman" w:eastAsia="Times New Roman" w:cs="Times New Roman"/>
          <w:sz w:val="24"/>
          <w:szCs w:val="24"/>
          <w:lang w:val="en-US"/>
        </w:rPr>
        <w:t xml:space="preserve">. </w:t>
      </w:r>
      <w:r w:rsidRPr="656E598F" w:rsidR="656E598F">
        <w:rPr>
          <w:rFonts w:ascii="Times New Roman" w:hAnsi="Times New Roman" w:eastAsia="Times New Roman" w:cs="Times New Roman"/>
          <w:sz w:val="24"/>
          <w:szCs w:val="24"/>
          <w:lang w:val="en-US"/>
        </w:rPr>
        <w:t>Vehicle-treated MDMs represent the real-life baseline condition and serve as the reference level for all treatment comparisons. The study therefore comprises 180 samples in total (30 donors × 6 treatments).</w:t>
      </w:r>
    </w:p>
    <w:p xmlns:wp14="http://schemas.microsoft.com/office/word/2010/wordml" w14:paraId="55654EC3" wp14:textId="77777777">
      <w:pPr>
        <w:pStyle w:val="Heading1"/>
        <w:spacing w:before="360" w:after="120"/>
      </w:pPr>
      <w:r>
        <w:rPr>
          <w:rFonts w:ascii="Times New Roman" w:hAnsi="Times New Roman" w:eastAsia="Times New Roman" w:cs="Times New Roman"/>
          <w:b/>
          <w:bCs/>
          <w:color w:val="1F3864"/>
          <w:sz w:val="28"/>
          <w:szCs w:val="28"/>
        </w:rPr>
        <w:t xml:space="preserve">2. Monocyte Isolation and MDM Differentiation</w:t>
      </w:r>
    </w:p>
    <w:p xmlns:wp14="http://schemas.microsoft.com/office/word/2010/wordml" w14:paraId="3796B340" wp14:textId="77777777">
      <w:pPr>
        <w:spacing w:before="0" w:after="160"/>
        <w:jc w:val="both"/>
      </w:pPr>
      <w:r w:rsidRPr="656E598F" w:rsidR="656E598F">
        <w:rPr>
          <w:rFonts w:ascii="Times New Roman" w:hAnsi="Times New Roman" w:eastAsia="Times New Roman" w:cs="Times New Roman"/>
          <w:sz w:val="24"/>
          <w:szCs w:val="24"/>
          <w:lang w:val="en-US"/>
        </w:rPr>
        <w:t>Peripheral blood mononuclear cells (PBMCs) were isolated from whole blood by density-gradient centrifugation over Ficoll-Paque (GE Healthcare). Monocytes were enriched by plastic adherence for 1 h at 37 °C in RPMI-1640 supplemented with 10% heat-inactivated fetal bovine serum (FBS) and 1% penicillin-streptomycin. Non-adherent cells were removed by washing, and monocytes were differentiated into MDMs over 7 days in RPMI-1640 containing M-CSF (50 ng/mL; PeproTech). At day 7, MDMs were treated as described in Section 1 for 24 h prior to RNA extraction.</w:t>
      </w:r>
    </w:p>
    <w:p xmlns:wp14="http://schemas.microsoft.com/office/word/2010/wordml" w14:paraId="479502AF" wp14:textId="77777777">
      <w:pPr>
        <w:pStyle w:val="Heading1"/>
        <w:spacing w:before="360" w:after="120"/>
      </w:pPr>
      <w:r>
        <w:rPr>
          <w:rFonts w:ascii="Times New Roman" w:hAnsi="Times New Roman" w:eastAsia="Times New Roman" w:cs="Times New Roman"/>
          <w:b/>
          <w:bCs/>
          <w:color w:val="1F3864"/>
          <w:sz w:val="28"/>
          <w:szCs w:val="28"/>
        </w:rPr>
        <w:t xml:space="preserve">3. RNA Extraction, Library Preparation, and Sequencing</w:t>
      </w:r>
    </w:p>
    <w:p xmlns:wp14="http://schemas.microsoft.com/office/word/2010/wordml" w14:paraId="0ABCB660" wp14:textId="77777777">
      <w:pPr>
        <w:spacing w:before="0" w:after="160"/>
        <w:jc w:val="both"/>
      </w:pPr>
      <w:r w:rsidRPr="656E598F" w:rsidR="656E598F">
        <w:rPr>
          <w:rFonts w:ascii="Times New Roman" w:hAnsi="Times New Roman" w:eastAsia="Times New Roman" w:cs="Times New Roman"/>
          <w:sz w:val="24"/>
          <w:szCs w:val="24"/>
          <w:lang w:val="en-US"/>
        </w:rPr>
        <w:t>Total RNA was extracted using the RNeasy Mini Kit (Qiagen) according to the manufacturer’s protocol, including an on-column DNase I digestion step to remove residual genomic DNA. RNA integrity was assessed using an Agilent 2100 Bioanalyzer; samples with RNA Integrity Number (RIN) ≥ 8 were accepted for library preparation.</w:t>
      </w:r>
    </w:p>
    <w:p xmlns:wp14="http://schemas.microsoft.com/office/word/2010/wordml" w14:paraId="2E14B22B" wp14:textId="77777777">
      <w:pPr>
        <w:spacing w:before="0" w:after="160"/>
        <w:jc w:val="both"/>
      </w:pPr>
      <w:r w:rsidRPr="656E598F" w:rsidR="656E598F">
        <w:rPr>
          <w:rFonts w:ascii="Times New Roman" w:hAnsi="Times New Roman" w:eastAsia="Times New Roman" w:cs="Times New Roman"/>
          <w:sz w:val="24"/>
          <w:szCs w:val="24"/>
          <w:lang w:val="en-US"/>
        </w:rPr>
        <w:t>Strand-specific, poly(A)-selected RNA-seq libraries were constructed using the TruSeq Stranded mRNA Library Prep Kit (Illumina) following the manufacturer’s instructions. Libraries were quantified by Qubit fluorometry and fragment size verified on a Bioanalyzer High Sensitivity DNA chip. Multiplexed libraries were sequenced on an Illumina NovaSeq 6000 platform in 2 × 50 bp paired-end mode, targeting ≥30 million paired reads per sample.</w:t>
      </w:r>
    </w:p>
    <w:p xmlns:wp14="http://schemas.microsoft.com/office/word/2010/wordml" w14:paraId="076C2237" wp14:textId="77777777">
      <w:pPr>
        <w:pStyle w:val="Heading1"/>
        <w:spacing w:before="360" w:after="120"/>
      </w:pPr>
      <w:r>
        <w:rPr>
          <w:rFonts w:ascii="Times New Roman" w:hAnsi="Times New Roman" w:eastAsia="Times New Roman" w:cs="Times New Roman"/>
          <w:b/>
          <w:bCs/>
          <w:color w:val="1F3864"/>
          <w:sz w:val="28"/>
          <w:szCs w:val="28"/>
        </w:rPr>
        <w:t xml:space="preserve">4. Read Alignment and Transcript Quantification</w:t>
      </w:r>
    </w:p>
    <w:p xmlns:wp14="http://schemas.microsoft.com/office/word/2010/wordml" w14:paraId="68C6C003" wp14:textId="77777777">
      <w:pPr>
        <w:spacing w:before="0" w:after="160"/>
        <w:jc w:val="both"/>
      </w:pPr>
      <w:r w:rsidRPr="656E598F" w:rsidR="656E598F">
        <w:rPr>
          <w:rFonts w:ascii="Times New Roman" w:hAnsi="Times New Roman" w:eastAsia="Times New Roman" w:cs="Times New Roman"/>
          <w:sz w:val="24"/>
          <w:szCs w:val="24"/>
          <w:lang w:val="en-US"/>
        </w:rPr>
        <w:t xml:space="preserve">Raw FASTQ files were quality-assessed with FastQC (v0.11.9). Transcript-level abundance estimation was performed with </w:t>
      </w:r>
      <w:r w:rsidRPr="656E598F" w:rsidR="656E598F">
        <w:rPr>
          <w:rFonts w:ascii="Times New Roman" w:hAnsi="Times New Roman" w:eastAsia="Times New Roman" w:cs="Times New Roman"/>
          <w:b w:val="1"/>
          <w:bCs w:val="1"/>
          <w:sz w:val="24"/>
          <w:szCs w:val="24"/>
          <w:lang w:val="en-US"/>
        </w:rPr>
        <w:t>Salmon</w:t>
      </w:r>
      <w:r w:rsidRPr="656E598F" w:rsidR="656E598F">
        <w:rPr>
          <w:rFonts w:ascii="Times New Roman" w:hAnsi="Times New Roman" w:eastAsia="Times New Roman" w:cs="Times New Roman"/>
          <w:sz w:val="24"/>
          <w:szCs w:val="24"/>
          <w:lang w:val="en-US"/>
        </w:rPr>
        <w:t xml:space="preserve"> (v1.10; Patro et al., 2017) in quasi-mapping mode, using a decoy-aware index constructed against the human reference transcriptome (GENCODE v44, GRCh38.p14). Salmon was run with the flags </w:t>
      </w:r>
      <w:r w:rsidRPr="656E598F" w:rsidR="656E598F">
        <w:rPr>
          <w:rFonts w:ascii="Times New Roman" w:hAnsi="Times New Roman" w:eastAsia="Times New Roman" w:cs="Times New Roman"/>
          <w:i w:val="1"/>
          <w:iCs w:val="1"/>
          <w:sz w:val="24"/>
          <w:szCs w:val="24"/>
          <w:lang w:val="en-US"/>
        </w:rPr>
        <w:t>--gcBias</w:t>
      </w:r>
      <w:r w:rsidRPr="656E598F" w:rsidR="656E598F">
        <w:rPr>
          <w:rFonts w:ascii="Times New Roman" w:hAnsi="Times New Roman" w:eastAsia="Times New Roman" w:cs="Times New Roman"/>
          <w:sz w:val="24"/>
          <w:szCs w:val="24"/>
          <w:lang w:val="en-US"/>
        </w:rPr>
        <w:t xml:space="preserve"> and </w:t>
      </w:r>
      <w:r w:rsidRPr="656E598F" w:rsidR="656E598F">
        <w:rPr>
          <w:rFonts w:ascii="Times New Roman" w:hAnsi="Times New Roman" w:eastAsia="Times New Roman" w:cs="Times New Roman"/>
          <w:i w:val="1"/>
          <w:iCs w:val="1"/>
          <w:sz w:val="24"/>
          <w:szCs w:val="24"/>
          <w:lang w:val="en-US"/>
        </w:rPr>
        <w:t>--validateMappings</w:t>
      </w:r>
      <w:r w:rsidRPr="656E598F" w:rsidR="656E598F">
        <w:rPr>
          <w:rFonts w:ascii="Times New Roman" w:hAnsi="Times New Roman" w:eastAsia="Times New Roman" w:cs="Times New Roman"/>
          <w:sz w:val="24"/>
          <w:szCs w:val="24"/>
          <w:lang w:val="en-US"/>
        </w:rPr>
        <w:t xml:space="preserve"> to correct for GC content bias and improve mapping accuracy. Per-transcript quantification files (</w:t>
      </w:r>
      <w:r w:rsidRPr="656E598F" w:rsidR="656E598F">
        <w:rPr>
          <w:rFonts w:ascii="Times New Roman" w:hAnsi="Times New Roman" w:eastAsia="Times New Roman" w:cs="Times New Roman"/>
          <w:i w:val="1"/>
          <w:iCs w:val="1"/>
          <w:sz w:val="24"/>
          <w:szCs w:val="24"/>
          <w:lang w:val="en-US"/>
        </w:rPr>
        <w:t>quant.sf</w:t>
      </w:r>
      <w:r w:rsidRPr="656E598F" w:rsidR="656E598F">
        <w:rPr>
          <w:rFonts w:ascii="Times New Roman" w:hAnsi="Times New Roman" w:eastAsia="Times New Roman" w:cs="Times New Roman"/>
          <w:sz w:val="24"/>
          <w:szCs w:val="24"/>
          <w:lang w:val="en-US"/>
        </w:rPr>
        <w:t>) were retained for downstream import.</w:t>
      </w:r>
    </w:p>
    <w:p xmlns:wp14="http://schemas.microsoft.com/office/word/2010/wordml" w14:paraId="32C890A2" wp14:textId="77777777">
      <w:pPr>
        <w:pStyle w:val="Heading1"/>
        <w:spacing w:before="360" w:after="120"/>
      </w:pPr>
      <w:r>
        <w:rPr>
          <w:rFonts w:ascii="Times New Roman" w:hAnsi="Times New Roman" w:eastAsia="Times New Roman" w:cs="Times New Roman"/>
          <w:b/>
          <w:bCs/>
          <w:color w:val="1F3864"/>
          <w:sz w:val="28"/>
          <w:szCs w:val="28"/>
        </w:rPr>
        <w:t xml:space="preserve">5. Data Import and Count Matrix Assembly</w:t>
      </w:r>
    </w:p>
    <w:p xmlns:wp14="http://schemas.microsoft.com/office/word/2010/wordml" w14:paraId="729DE630" wp14:textId="77777777">
      <w:pPr>
        <w:spacing w:before="0" w:after="160"/>
        <w:jc w:val="both"/>
      </w:pPr>
      <w:r w:rsidRPr="656E598F" w:rsidR="656E598F">
        <w:rPr>
          <w:rFonts w:ascii="Times New Roman" w:hAnsi="Times New Roman" w:eastAsia="Times New Roman" w:cs="Times New Roman"/>
          <w:sz w:val="24"/>
          <w:szCs w:val="24"/>
          <w:lang w:val="en-US"/>
        </w:rPr>
        <w:t xml:space="preserve">Salmon output was imported into R (v4.3) using the </w:t>
      </w:r>
      <w:r w:rsidRPr="656E598F" w:rsidR="656E598F">
        <w:rPr>
          <w:rFonts w:ascii="Times New Roman" w:hAnsi="Times New Roman" w:eastAsia="Times New Roman" w:cs="Times New Roman"/>
          <w:b w:val="1"/>
          <w:bCs w:val="1"/>
          <w:sz w:val="24"/>
          <w:szCs w:val="24"/>
          <w:lang w:val="en-US"/>
        </w:rPr>
        <w:t>tximport</w:t>
      </w:r>
      <w:r w:rsidRPr="656E598F" w:rsidR="656E598F">
        <w:rPr>
          <w:rFonts w:ascii="Times New Roman" w:hAnsi="Times New Roman" w:eastAsia="Times New Roman" w:cs="Times New Roman"/>
          <w:sz w:val="24"/>
          <w:szCs w:val="24"/>
          <w:lang w:val="en-US"/>
        </w:rPr>
        <w:t xml:space="preserve"> package (v1.30; Soneson et al., 2015). Transcript-to-gene mapping was performed using the corresponding GENCODE v44 annotation (</w:t>
      </w:r>
      <w:r w:rsidRPr="656E598F" w:rsidR="656E598F">
        <w:rPr>
          <w:rFonts w:ascii="Times New Roman" w:hAnsi="Times New Roman" w:eastAsia="Times New Roman" w:cs="Times New Roman"/>
          <w:i w:val="1"/>
          <w:iCs w:val="1"/>
          <w:sz w:val="24"/>
          <w:szCs w:val="24"/>
          <w:lang w:val="en-US"/>
        </w:rPr>
        <w:t>tx2gene</w:t>
      </w:r>
      <w:r w:rsidRPr="656E598F" w:rsidR="656E598F">
        <w:rPr>
          <w:rFonts w:ascii="Times New Roman" w:hAnsi="Times New Roman" w:eastAsia="Times New Roman" w:cs="Times New Roman"/>
          <w:sz w:val="24"/>
          <w:szCs w:val="24"/>
          <w:lang w:val="en-US"/>
        </w:rPr>
        <w:t xml:space="preserve"> table). Counts were summarised at the gene level using the </w:t>
      </w:r>
      <w:r w:rsidRPr="656E598F" w:rsidR="656E598F">
        <w:rPr>
          <w:rFonts w:ascii="Times New Roman" w:hAnsi="Times New Roman" w:eastAsia="Times New Roman" w:cs="Times New Roman"/>
          <w:i w:val="1"/>
          <w:iCs w:val="1"/>
          <w:sz w:val="24"/>
          <w:szCs w:val="24"/>
          <w:lang w:val="en-US"/>
        </w:rPr>
        <w:t>lengthScaledTPM</w:t>
      </w:r>
      <w:r w:rsidRPr="656E598F" w:rsidR="656E598F">
        <w:rPr>
          <w:rFonts w:ascii="Times New Roman" w:hAnsi="Times New Roman" w:eastAsia="Times New Roman" w:cs="Times New Roman"/>
          <w:sz w:val="24"/>
          <w:szCs w:val="24"/>
          <w:lang w:val="en-US"/>
        </w:rPr>
        <w:t xml:space="preserve"> method, which accounts for differences in transcript length across samples and conditions. The resulting gene-level count matrix (counts, abundance, and length) was stored in a </w:t>
      </w:r>
      <w:r w:rsidRPr="656E598F" w:rsidR="656E598F">
        <w:rPr>
          <w:rFonts w:ascii="Times New Roman" w:hAnsi="Times New Roman" w:eastAsia="Times New Roman" w:cs="Times New Roman"/>
          <w:i w:val="1"/>
          <w:iCs w:val="1"/>
          <w:sz w:val="24"/>
          <w:szCs w:val="24"/>
          <w:lang w:val="en-US"/>
        </w:rPr>
        <w:t>tximport</w:t>
      </w:r>
      <w:r w:rsidRPr="656E598F" w:rsidR="656E598F">
        <w:rPr>
          <w:rFonts w:ascii="Times New Roman" w:hAnsi="Times New Roman" w:eastAsia="Times New Roman" w:cs="Times New Roman"/>
          <w:sz w:val="24"/>
          <w:szCs w:val="24"/>
          <w:lang w:val="en-US"/>
        </w:rPr>
        <w:t xml:space="preserve"> object.</w:t>
      </w:r>
    </w:p>
    <w:p xmlns:wp14="http://schemas.microsoft.com/office/word/2010/wordml" w14:paraId="29EBE927" wp14:textId="77777777">
      <w:pPr>
        <w:pStyle w:val="Heading1"/>
        <w:spacing w:before="360" w:after="120"/>
      </w:pPr>
      <w:r>
        <w:rPr>
          <w:rFonts w:ascii="Times New Roman" w:hAnsi="Times New Roman" w:eastAsia="Times New Roman" w:cs="Times New Roman"/>
          <w:b/>
          <w:bCs/>
          <w:color w:val="1F3864"/>
          <w:sz w:val="28"/>
          <w:szCs w:val="28"/>
        </w:rPr>
        <w:t xml:space="preserve">6. Quality Control and Pre-filtering</w:t>
      </w:r>
    </w:p>
    <w:p xmlns:wp14="http://schemas.microsoft.com/office/word/2010/wordml" w14:paraId="7A32506F" wp14:textId="77777777">
      <w:pPr>
        <w:spacing w:before="0" w:after="160"/>
        <w:jc w:val="both"/>
      </w:pPr>
      <w:r w:rsidRPr="656E598F" w:rsidR="656E598F">
        <w:rPr>
          <w:rFonts w:ascii="Times New Roman" w:hAnsi="Times New Roman" w:eastAsia="Times New Roman" w:cs="Times New Roman"/>
          <w:sz w:val="24"/>
          <w:szCs w:val="24"/>
          <w:lang w:val="en-US"/>
        </w:rPr>
        <w:t xml:space="preserve">Sample-level quality control was performed after importing into a </w:t>
      </w:r>
      <w:r w:rsidRPr="656E598F" w:rsidR="656E598F">
        <w:rPr>
          <w:rFonts w:ascii="Times New Roman" w:hAnsi="Times New Roman" w:eastAsia="Times New Roman" w:cs="Times New Roman"/>
          <w:b w:val="1"/>
          <w:bCs w:val="1"/>
          <w:sz w:val="24"/>
          <w:szCs w:val="24"/>
          <w:lang w:val="en-US"/>
        </w:rPr>
        <w:t>DESeqDataSet</w:t>
      </w:r>
      <w:r w:rsidRPr="656E598F" w:rsidR="656E598F">
        <w:rPr>
          <w:rFonts w:ascii="Times New Roman" w:hAnsi="Times New Roman" w:eastAsia="Times New Roman" w:cs="Times New Roman"/>
          <w:sz w:val="24"/>
          <w:szCs w:val="24"/>
          <w:lang w:val="en-US"/>
        </w:rPr>
        <w:t xml:space="preserve"> object. A variance-stabilising transformation (VST; blind = TRUE) was applied to the count matrix, and sample-to-sample Euclidean distances were computed on the 500 most variable genes. Principal component analysis (PCA) was used to detect outlier samples and to visualise the principal sources of transcriptional variation.</w:t>
      </w:r>
    </w:p>
    <w:p xmlns:wp14="http://schemas.microsoft.com/office/word/2010/wordml" w14:paraId="4C2684BD" wp14:textId="77777777">
      <w:pPr>
        <w:spacing w:before="0" w:after="160"/>
        <w:jc w:val="both"/>
      </w:pPr>
      <w:r w:rsidRPr="656E598F" w:rsidR="656E598F">
        <w:rPr>
          <w:rFonts w:ascii="Times New Roman" w:hAnsi="Times New Roman" w:eastAsia="Times New Roman" w:cs="Times New Roman"/>
          <w:sz w:val="24"/>
          <w:szCs w:val="24"/>
          <w:lang w:val="en-US"/>
        </w:rPr>
        <w:t>Prior to differential expression testing, low-abundance genes were removed: only genes with ≥10 counts in at least 10% of samples (i.e., ≥18 samples) were retained. For analyses restricted to subsets of samples (e.g., Vehicle-only, HIV-stratified), the filter threshold was adjusted proportionally (minimum 3 samples for n = 30 subsets; minimum 5 samples for n = 90 subsets).</w:t>
      </w:r>
    </w:p>
    <w:p xmlns:wp14="http://schemas.microsoft.com/office/word/2010/wordml" w14:paraId="6783D89B" wp14:textId="77777777">
      <w:pPr>
        <w:pStyle w:val="Heading1"/>
        <w:spacing w:before="360" w:after="120"/>
      </w:pPr>
      <w:r>
        <w:rPr>
          <w:rFonts w:ascii="Times New Roman" w:hAnsi="Times New Roman" w:eastAsia="Times New Roman" w:cs="Times New Roman"/>
          <w:b/>
          <w:bCs/>
          <w:color w:val="1F3864"/>
          <w:sz w:val="28"/>
          <w:szCs w:val="28"/>
        </w:rPr>
        <w:t xml:space="preserve">7. Differential Expression Analysis</w:t>
      </w:r>
    </w:p>
    <w:p xmlns:wp14="http://schemas.microsoft.com/office/word/2010/wordml" w14:paraId="3AF3DD2C" wp14:textId="77777777">
      <w:pPr>
        <w:pStyle w:val="Heading2"/>
        <w:spacing w:before="240" w:after="80"/>
      </w:pPr>
      <w:r>
        <w:rPr>
          <w:rFonts w:ascii="Times New Roman" w:hAnsi="Times New Roman" w:eastAsia="Times New Roman" w:cs="Times New Roman"/>
          <w:b/>
          <w:bCs/>
          <w:color w:val="2E4057"/>
          <w:sz w:val="26"/>
          <w:szCs w:val="26"/>
        </w:rPr>
        <w:t xml:space="preserve">7.1 Statistical Framework</w:t>
      </w:r>
    </w:p>
    <w:p xmlns:wp14="http://schemas.microsoft.com/office/word/2010/wordml" w14:paraId="477D9E0A" wp14:textId="77777777">
      <w:pPr>
        <w:spacing w:before="0" w:after="160"/>
        <w:jc w:val="both"/>
      </w:pPr>
      <w:r w:rsidRPr="656E598F" w:rsidR="656E598F">
        <w:rPr>
          <w:rFonts w:ascii="Times New Roman" w:hAnsi="Times New Roman" w:eastAsia="Times New Roman" w:cs="Times New Roman"/>
          <w:sz w:val="24"/>
          <w:szCs w:val="24"/>
          <w:lang w:val="en-US"/>
        </w:rPr>
        <w:t xml:space="preserve">Differential expression (DE) analysis was performed with </w:t>
      </w:r>
      <w:r w:rsidRPr="656E598F" w:rsidR="656E598F">
        <w:rPr>
          <w:rFonts w:ascii="Times New Roman" w:hAnsi="Times New Roman" w:eastAsia="Times New Roman" w:cs="Times New Roman"/>
          <w:b w:val="1"/>
          <w:bCs w:val="1"/>
          <w:sz w:val="24"/>
          <w:szCs w:val="24"/>
          <w:lang w:val="en-US"/>
        </w:rPr>
        <w:t>DESeq2</w:t>
      </w:r>
      <w:r w:rsidRPr="656E598F" w:rsidR="656E598F">
        <w:rPr>
          <w:rFonts w:ascii="Times New Roman" w:hAnsi="Times New Roman" w:eastAsia="Times New Roman" w:cs="Times New Roman"/>
          <w:sz w:val="24"/>
          <w:szCs w:val="24"/>
          <w:lang w:val="en-US"/>
        </w:rPr>
        <w:t xml:space="preserve"> (v1.42; Love et al., 2014) using a negative binomial generalised linear model. Normalisation for sequencing depth was achieved by DESeq2’s median-of-ratios method. Dispersion was estimated using the default parametric mean-dispersion trend. Significance was assessed by the Wald test, and p-values were adjusted for multiple testing by the Benjamini-Hochberg (BH) procedure.</w:t>
      </w:r>
    </w:p>
    <w:p xmlns:wp14="http://schemas.microsoft.com/office/word/2010/wordml" w14:paraId="08FF9140" wp14:textId="77777777">
      <w:pPr>
        <w:spacing w:before="0" w:after="160"/>
        <w:jc w:val="both"/>
      </w:pPr>
      <w:r w:rsidRPr="656E598F" w:rsidR="656E598F">
        <w:rPr>
          <w:rFonts w:ascii="Times New Roman" w:hAnsi="Times New Roman" w:eastAsia="Times New Roman" w:cs="Times New Roman"/>
          <w:sz w:val="24"/>
          <w:szCs w:val="24"/>
          <w:lang w:val="en-US"/>
        </w:rPr>
        <w:t xml:space="preserve">Log2 fold change (LFC) estimates were subsequently shrunk using either the </w:t>
      </w:r>
      <w:r w:rsidRPr="656E598F" w:rsidR="656E598F">
        <w:rPr>
          <w:rFonts w:ascii="Times New Roman" w:hAnsi="Times New Roman" w:eastAsia="Times New Roman" w:cs="Times New Roman"/>
          <w:b w:val="1"/>
          <w:bCs w:val="1"/>
          <w:sz w:val="24"/>
          <w:szCs w:val="24"/>
          <w:lang w:val="en-US"/>
        </w:rPr>
        <w:t>apeglm</w:t>
      </w:r>
      <w:r w:rsidRPr="656E598F" w:rsidR="656E598F">
        <w:rPr>
          <w:rFonts w:ascii="Times New Roman" w:hAnsi="Times New Roman" w:eastAsia="Times New Roman" w:cs="Times New Roman"/>
          <w:sz w:val="24"/>
          <w:szCs w:val="24"/>
          <w:lang w:val="en-US"/>
        </w:rPr>
        <w:t xml:space="preserve"> (Zhu et al., 2019) or </w:t>
      </w:r>
      <w:r w:rsidRPr="656E598F" w:rsidR="656E598F">
        <w:rPr>
          <w:rFonts w:ascii="Times New Roman" w:hAnsi="Times New Roman" w:eastAsia="Times New Roman" w:cs="Times New Roman"/>
          <w:b w:val="1"/>
          <w:bCs w:val="1"/>
          <w:sz w:val="24"/>
          <w:szCs w:val="24"/>
          <w:lang w:val="en-US"/>
        </w:rPr>
        <w:t>ashr</w:t>
      </w:r>
      <w:r w:rsidRPr="656E598F" w:rsidR="656E598F">
        <w:rPr>
          <w:rFonts w:ascii="Times New Roman" w:hAnsi="Times New Roman" w:eastAsia="Times New Roman" w:cs="Times New Roman"/>
          <w:sz w:val="24"/>
          <w:szCs w:val="24"/>
          <w:lang w:val="en-US"/>
        </w:rPr>
        <w:t xml:space="preserve"> (Stephens, 2017) method, as implemented in </w:t>
      </w:r>
      <w:r w:rsidRPr="656E598F" w:rsidR="656E598F">
        <w:rPr>
          <w:rFonts w:ascii="Times New Roman" w:hAnsi="Times New Roman" w:eastAsia="Times New Roman" w:cs="Times New Roman"/>
          <w:i w:val="1"/>
          <w:iCs w:val="1"/>
          <w:sz w:val="24"/>
          <w:szCs w:val="24"/>
          <w:lang w:val="en-US"/>
        </w:rPr>
        <w:t>DESeq2::lfcShrink()</w:t>
      </w:r>
      <w:r w:rsidRPr="656E598F" w:rsidR="656E598F">
        <w:rPr>
          <w:rFonts w:ascii="Times New Roman" w:hAnsi="Times New Roman" w:eastAsia="Times New Roman" w:cs="Times New Roman"/>
          <w:sz w:val="24"/>
          <w:szCs w:val="24"/>
          <w:lang w:val="en-US"/>
        </w:rPr>
        <w:t>. Specifically, apeglm was used for comparisons with a named model coefficient (direct coef argument), and ashr was used for arbitrary contrasts. Shrunken LFC estimates were used for all visualisation and for reporting fold-change magnitudes; unshrunken Wald statistics were retained for GSEA ranking (see Section 8).</w:t>
      </w:r>
    </w:p>
    <w:p xmlns:wp14="http://schemas.microsoft.com/office/word/2010/wordml" w14:paraId="5BA05358" wp14:textId="77777777">
      <w:pPr>
        <w:pStyle w:val="Heading2"/>
        <w:spacing w:before="240" w:after="80"/>
      </w:pPr>
      <w:r>
        <w:rPr>
          <w:rFonts w:ascii="Times New Roman" w:hAnsi="Times New Roman" w:eastAsia="Times New Roman" w:cs="Times New Roman"/>
          <w:b/>
          <w:bCs/>
          <w:color w:val="2E4057"/>
          <w:sz w:val="26"/>
          <w:szCs w:val="26"/>
        </w:rPr>
        <w:t xml:space="preserve">7.2 Experimental Design and Blocking</w:t>
      </w:r>
    </w:p>
    <w:p xmlns:wp14="http://schemas.microsoft.com/office/word/2010/wordml" w14:paraId="06DB9A81" wp14:textId="77777777">
      <w:pPr>
        <w:spacing w:before="0" w:after="160"/>
        <w:jc w:val="both"/>
      </w:pPr>
      <w:r>
        <w:rPr>
          <w:rFonts w:ascii="Times New Roman" w:hAnsi="Times New Roman" w:eastAsia="Times New Roman" w:cs="Times New Roman"/>
          <w:sz w:val="24"/>
          <w:szCs w:val="24"/>
        </w:rPr>
        <w:t xml:space="preserve">Because each donor contributed samples under all six treatment conditions, the study has an inherent </w:t>
      </w:r>
      <w:r>
        <w:rPr>
          <w:rFonts w:ascii="Times New Roman" w:hAnsi="Times New Roman" w:eastAsia="Times New Roman" w:cs="Times New Roman"/>
          <w:b/>
          <w:bCs/>
          <w:sz w:val="24"/>
          <w:szCs w:val="24"/>
        </w:rPr>
        <w:t xml:space="preserve">repeated-measures (paired) structure</w:t>
      </w:r>
      <w:r>
        <w:rPr>
          <w:rFonts w:ascii="Times New Roman" w:hAnsi="Times New Roman" w:eastAsia="Times New Roman" w:cs="Times New Roman"/>
          <w:sz w:val="24"/>
          <w:szCs w:val="24"/>
        </w:rPr>
        <w:t xml:space="preserve">. Donor identity is a between-subject factor, collinear with HIV serostatus and cannabis use history; therefore, no single model can jointly estimate all four sources of variation. We addressed this by fitting distinct models for within- and between-subject comparisons:</w:t>
      </w:r>
    </w:p>
    <w:p xmlns:wp14="http://schemas.microsoft.com/office/word/2010/wordml" w14:paraId="56E8D97B" wp14:textId="77777777">
      <w:pPr>
        <w:pStyle w:val="ListParagraph"/>
        <w:numPr>
          <w:ilvl w:val="0"/>
          <w:numId w:val="2"/>
        </w:numPr>
        <w:spacing w:before="40" w:after="40"/>
        <w:rPr/>
      </w:pPr>
      <w:r w:rsidRPr="656E598F" w:rsidR="656E598F">
        <w:rPr>
          <w:rFonts w:ascii="Times New Roman" w:hAnsi="Times New Roman" w:eastAsia="Times New Roman" w:cs="Times New Roman"/>
          <w:b w:val="1"/>
          <w:bCs w:val="1"/>
          <w:sz w:val="24"/>
          <w:szCs w:val="24"/>
          <w:lang w:val="en-US"/>
        </w:rPr>
        <w:t xml:space="preserve">Within-subject comparisons (treatment effects): </w:t>
      </w:r>
      <w:r w:rsidRPr="656E598F" w:rsidR="656E598F">
        <w:rPr>
          <w:rFonts w:ascii="Times New Roman" w:hAnsi="Times New Roman" w:eastAsia="Times New Roman" w:cs="Times New Roman"/>
          <w:sz w:val="24"/>
          <w:szCs w:val="24"/>
          <w:lang w:val="en-US"/>
        </w:rPr>
        <w:t xml:space="preserve">All 180 samples were analysed with the design </w:t>
      </w:r>
      <w:r w:rsidRPr="656E598F" w:rsidR="656E598F">
        <w:rPr>
          <w:rFonts w:ascii="Times New Roman" w:hAnsi="Times New Roman" w:eastAsia="Times New Roman" w:cs="Times New Roman"/>
          <w:i w:val="1"/>
          <w:iCs w:val="1"/>
          <w:sz w:val="24"/>
          <w:szCs w:val="24"/>
          <w:lang w:val="en-US"/>
        </w:rPr>
        <w:t>~ pid + treatment</w:t>
      </w:r>
      <w:r w:rsidRPr="656E598F" w:rsidR="656E598F">
        <w:rPr>
          <w:rFonts w:ascii="Times New Roman" w:hAnsi="Times New Roman" w:eastAsia="Times New Roman" w:cs="Times New Roman"/>
          <w:sz w:val="24"/>
          <w:szCs w:val="24"/>
          <w:lang w:val="en-US"/>
        </w:rPr>
        <w:t xml:space="preserve">, where </w:t>
      </w:r>
      <w:r w:rsidRPr="656E598F" w:rsidR="656E598F">
        <w:rPr>
          <w:rFonts w:ascii="Times New Roman" w:hAnsi="Times New Roman" w:eastAsia="Times New Roman" w:cs="Times New Roman"/>
          <w:i w:val="1"/>
          <w:iCs w:val="1"/>
          <w:sz w:val="24"/>
          <w:szCs w:val="24"/>
          <w:lang w:val="en-US"/>
        </w:rPr>
        <w:t>pid</w:t>
      </w:r>
      <w:r w:rsidRPr="656E598F" w:rsidR="656E598F">
        <w:rPr>
          <w:rFonts w:ascii="Times New Roman" w:hAnsi="Times New Roman" w:eastAsia="Times New Roman" w:cs="Times New Roman"/>
          <w:sz w:val="24"/>
          <w:szCs w:val="24"/>
          <w:lang w:val="en-US"/>
        </w:rPr>
        <w:t xml:space="preserve"> (patient identifier, 30 levels) serves as a blocking factor, removing between-donor variability and maximising power for treatment contrasts. Vehicle was set as the reference level.</w:t>
      </w:r>
    </w:p>
    <w:p xmlns:wp14="http://schemas.microsoft.com/office/word/2010/wordml" w14:paraId="200C0162" wp14:textId="77777777">
      <w:pPr>
        <w:pStyle w:val="ListParagraph"/>
        <w:numPr>
          <w:ilvl w:val="0"/>
          <w:numId w:val="2"/>
        </w:numPr>
        <w:spacing w:before="40" w:after="40"/>
        <w:rPr/>
      </w:pPr>
      <w:r w:rsidRPr="656E598F" w:rsidR="656E598F">
        <w:rPr>
          <w:rFonts w:ascii="Times New Roman" w:hAnsi="Times New Roman" w:eastAsia="Times New Roman" w:cs="Times New Roman"/>
          <w:b w:val="1"/>
          <w:bCs w:val="1"/>
          <w:sz w:val="24"/>
          <w:szCs w:val="24"/>
          <w:lang w:val="en-US"/>
        </w:rPr>
        <w:t xml:space="preserve">Between-subject comparisons (HIV status, cannabis use): </w:t>
      </w:r>
      <w:r w:rsidRPr="656E598F" w:rsidR="656E598F">
        <w:rPr>
          <w:rFonts w:ascii="Times New Roman" w:hAnsi="Times New Roman" w:eastAsia="Times New Roman" w:cs="Times New Roman"/>
          <w:sz w:val="24"/>
          <w:szCs w:val="24"/>
          <w:lang w:val="en-US"/>
        </w:rPr>
        <w:t xml:space="preserve">Analyses were restricted to Vehicle-treated samples (one observation per donor, n = 30), with the design </w:t>
      </w:r>
      <w:r w:rsidRPr="656E598F" w:rsidR="656E598F">
        <w:rPr>
          <w:rFonts w:ascii="Times New Roman" w:hAnsi="Times New Roman" w:eastAsia="Times New Roman" w:cs="Times New Roman"/>
          <w:i w:val="1"/>
          <w:iCs w:val="1"/>
          <w:sz w:val="24"/>
          <w:szCs w:val="24"/>
          <w:lang w:val="en-US"/>
        </w:rPr>
        <w:t>~ cannabis + hiv_status</w:t>
      </w:r>
      <w:r w:rsidRPr="656E598F" w:rsidR="656E598F">
        <w:rPr>
          <w:rFonts w:ascii="Times New Roman" w:hAnsi="Times New Roman" w:eastAsia="Times New Roman" w:cs="Times New Roman"/>
          <w:sz w:val="24"/>
          <w:szCs w:val="24"/>
          <w:lang w:val="en-US"/>
        </w:rPr>
        <w:t xml:space="preserve"> or </w:t>
      </w:r>
      <w:r w:rsidRPr="656E598F" w:rsidR="656E598F">
        <w:rPr>
          <w:rFonts w:ascii="Times New Roman" w:hAnsi="Times New Roman" w:eastAsia="Times New Roman" w:cs="Times New Roman"/>
          <w:i w:val="1"/>
          <w:iCs w:val="1"/>
          <w:sz w:val="24"/>
          <w:szCs w:val="24"/>
          <w:lang w:val="en-US"/>
        </w:rPr>
        <w:t>~ hiv_status + cannabis</w:t>
      </w:r>
      <w:r w:rsidRPr="656E598F" w:rsidR="656E598F">
        <w:rPr>
          <w:rFonts w:ascii="Times New Roman" w:hAnsi="Times New Roman" w:eastAsia="Times New Roman" w:cs="Times New Roman"/>
          <w:sz w:val="24"/>
          <w:szCs w:val="24"/>
          <w:lang w:val="en-US"/>
        </w:rPr>
        <w:t xml:space="preserve"> depending on the primary factor of interest. HIV− (HIVn) and cannabis-naïve were reference levels.</w:t>
      </w:r>
    </w:p>
    <w:p xmlns:wp14="http://schemas.microsoft.com/office/word/2010/wordml" w14:paraId="3577DD13" wp14:textId="77777777">
      <w:pPr>
        <w:pStyle w:val="ListParagraph"/>
        <w:numPr>
          <w:ilvl w:val="0"/>
          <w:numId w:val="2"/>
        </w:numPr>
        <w:spacing w:before="40" w:after="40"/>
        <w:rPr/>
      </w:pPr>
      <w:r w:rsidRPr="656E598F" w:rsidR="656E598F">
        <w:rPr>
          <w:rFonts w:ascii="Times New Roman" w:hAnsi="Times New Roman" w:eastAsia="Times New Roman" w:cs="Times New Roman"/>
          <w:b w:val="1"/>
          <w:bCs w:val="1"/>
          <w:sz w:val="24"/>
          <w:szCs w:val="24"/>
          <w:lang w:val="en-US"/>
        </w:rPr>
        <w:t xml:space="preserve">HIV-stratified treatment analyses: </w:t>
      </w:r>
      <w:r w:rsidRPr="656E598F" w:rsidR="656E598F">
        <w:rPr>
          <w:rFonts w:ascii="Times New Roman" w:hAnsi="Times New Roman" w:eastAsia="Times New Roman" w:cs="Times New Roman"/>
          <w:sz w:val="24"/>
          <w:szCs w:val="24"/>
          <w:lang w:val="en-US"/>
        </w:rPr>
        <w:t xml:space="preserve">To characterise HIV × treatment interactions, the 180-sample dataset was split by HIV serostatus (n = 90 per group) and the paired model </w:t>
      </w:r>
      <w:r w:rsidRPr="656E598F" w:rsidR="656E598F">
        <w:rPr>
          <w:rFonts w:ascii="Times New Roman" w:hAnsi="Times New Roman" w:eastAsia="Times New Roman" w:cs="Times New Roman"/>
          <w:i w:val="1"/>
          <w:iCs w:val="1"/>
          <w:sz w:val="24"/>
          <w:szCs w:val="24"/>
          <w:lang w:val="en-US"/>
        </w:rPr>
        <w:t>~ pid + treatment</w:t>
      </w:r>
      <w:r w:rsidRPr="656E598F" w:rsidR="656E598F">
        <w:rPr>
          <w:rFonts w:ascii="Times New Roman" w:hAnsi="Times New Roman" w:eastAsia="Times New Roman" w:cs="Times New Roman"/>
          <w:sz w:val="24"/>
          <w:szCs w:val="24"/>
          <w:lang w:val="en-US"/>
        </w:rPr>
        <w:t xml:space="preserve"> was fitted independently within each stratum.</w:t>
      </w:r>
    </w:p>
    <w:p xmlns:wp14="http://schemas.microsoft.com/office/word/2010/wordml" w14:paraId="0A37501D" wp14:textId="77777777">
      <w:pPr>
        <w:spacing w:before="0" w:after="80"/>
      </w:pPr>
    </w:p>
    <w:p xmlns:wp14="http://schemas.microsoft.com/office/word/2010/wordml" w14:paraId="7B841052" wp14:textId="77777777">
      <w:pPr>
        <w:spacing w:before="0" w:after="160"/>
        <w:jc w:val="both"/>
      </w:pPr>
      <w:r w:rsidRPr="656E598F" w:rsidR="656E598F">
        <w:rPr>
          <w:rFonts w:ascii="Times New Roman" w:hAnsi="Times New Roman" w:eastAsia="Times New Roman" w:cs="Times New Roman"/>
          <w:sz w:val="24"/>
          <w:szCs w:val="24"/>
          <w:lang w:val="en-US"/>
        </w:rPr>
        <w:t>HIV serostatus and cannabis use levels were encoded without special characters to comply with R formula syntax (HIV− → HIVn; HIV+ → HIVp; CBD+IL-1β → CBDpIL1B; THC+IL-1β → THCpIL1B).</w:t>
      </w:r>
    </w:p>
    <w:p xmlns:wp14="http://schemas.microsoft.com/office/word/2010/wordml" w14:paraId="42E65C66" wp14:textId="77777777">
      <w:pPr>
        <w:pStyle w:val="Heading2"/>
        <w:spacing w:before="240" w:after="80"/>
      </w:pPr>
      <w:r>
        <w:rPr>
          <w:rFonts w:ascii="Times New Roman" w:hAnsi="Times New Roman" w:eastAsia="Times New Roman" w:cs="Times New Roman"/>
          <w:b/>
          <w:bCs/>
          <w:color w:val="2E4057"/>
          <w:sz w:val="26"/>
          <w:szCs w:val="26"/>
        </w:rPr>
        <w:t xml:space="preserve">7.3 Contrast Specification</w:t>
      </w:r>
    </w:p>
    <w:p xmlns:wp14="http://schemas.microsoft.com/office/word/2010/wordml" w14:paraId="3F018AEF" wp14:textId="77777777">
      <w:pPr>
        <w:spacing w:before="0" w:after="160"/>
        <w:jc w:val="both"/>
      </w:pPr>
      <w:r>
        <w:rPr>
          <w:rFonts w:ascii="Times New Roman" w:hAnsi="Times New Roman" w:eastAsia="Times New Roman" w:cs="Times New Roman"/>
          <w:sz w:val="24"/>
          <w:szCs w:val="24"/>
        </w:rPr>
        <w:t xml:space="preserve">The following contrasts were extracted from the fitted models: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xmlns:wp14="http://schemas.microsoft.com/office/word/2010/wordml" w:rsidTr="656E598F" w14:paraId="2A47F794" wp14:textId="77777777">
        <w:trPr>
          <w:tblHeader/>
        </w:trPr>
        <w:tc>
          <w:tcPr>
            <w:tcW w:w="1800" w:type="dxa"/>
            <w:tcBorders>
              <w:top w:val="single" w:color="AAAAAA" w:sz="4"/>
              <w:left w:val="single" w:color="AAAAAA" w:sz="4"/>
              <w:bottom w:val="single" w:color="AAAAAA" w:sz="4"/>
              <w:right w:val="single" w:color="AAAAAA" w:sz="4"/>
            </w:tcBorders>
            <w:shd w:val="clear" w:color="auto" w:fill="F2F2F2"/>
            <w:tcMar>
              <w:top w:w="80" w:type="dxa"/>
              <w:left w:w="120" w:type="dxa"/>
              <w:bottom w:w="80" w:type="dxa"/>
              <w:right w:w="120" w:type="dxa"/>
            </w:tcMar>
          </w:tcPr>
          <w:p w14:paraId="7243A01F" wp14:textId="77777777">
            <w:r>
              <w:rPr>
                <w:rFonts w:ascii="Times New Roman" w:hAnsi="Times New Roman" w:eastAsia="Times New Roman" w:cs="Times New Roman"/>
                <w:b/>
                <w:bCs/>
                <w:sz w:val="20"/>
                <w:szCs w:val="20"/>
              </w:rPr>
              <w:t xml:space="preserve">Hypothesis</w:t>
            </w:r>
          </w:p>
        </w:tc>
        <w:tc>
          <w:tcPr>
            <w:tcW w:w="2800" w:type="dxa"/>
            <w:tcBorders>
              <w:top w:val="single" w:color="AAAAAA" w:sz="4"/>
              <w:left w:val="single" w:color="AAAAAA" w:sz="4"/>
              <w:bottom w:val="single" w:color="AAAAAA" w:sz="4"/>
              <w:right w:val="single" w:color="AAAAAA" w:sz="4"/>
            </w:tcBorders>
            <w:shd w:val="clear" w:color="auto" w:fill="F2F2F2"/>
            <w:tcMar>
              <w:top w:w="80" w:type="dxa"/>
              <w:left w:w="120" w:type="dxa"/>
              <w:bottom w:w="80" w:type="dxa"/>
              <w:right w:w="120" w:type="dxa"/>
            </w:tcMar>
          </w:tcPr>
          <w:p w14:paraId="27984714" wp14:textId="77777777">
            <w:r>
              <w:rPr>
                <w:rFonts w:ascii="Times New Roman" w:hAnsi="Times New Roman" w:eastAsia="Times New Roman" w:cs="Times New Roman"/>
                <w:b/>
                <w:bCs/>
                <w:sz w:val="20"/>
                <w:szCs w:val="20"/>
              </w:rPr>
              <w:t xml:space="preserve">Contrast</w:t>
            </w:r>
          </w:p>
        </w:tc>
        <w:tc>
          <w:tcPr>
            <w:tcW w:w="4760" w:type="dxa"/>
            <w:tcBorders>
              <w:top w:val="single" w:color="AAAAAA" w:sz="4"/>
              <w:left w:val="single" w:color="AAAAAA" w:sz="4"/>
              <w:bottom w:val="single" w:color="AAAAAA" w:sz="4"/>
              <w:right w:val="single" w:color="AAAAAA" w:sz="4"/>
            </w:tcBorders>
            <w:shd w:val="clear" w:color="auto" w:fill="F2F2F2"/>
            <w:tcMar>
              <w:top w:w="80" w:type="dxa"/>
              <w:left w:w="120" w:type="dxa"/>
              <w:bottom w:w="80" w:type="dxa"/>
              <w:right w:w="120" w:type="dxa"/>
            </w:tcMar>
          </w:tcPr>
          <w:p w14:paraId="4F2BBB04" wp14:textId="77777777">
            <w:r>
              <w:rPr>
                <w:rFonts w:ascii="Times New Roman" w:hAnsi="Times New Roman" w:eastAsia="Times New Roman" w:cs="Times New Roman"/>
                <w:b/>
                <w:bCs/>
                <w:sz w:val="20"/>
                <w:szCs w:val="20"/>
              </w:rPr>
              <w:t xml:space="preserve">Interpretation</w:t>
            </w:r>
          </w:p>
        </w:tc>
      </w:tr>
      <w:tr xmlns:wp14="http://schemas.microsoft.com/office/word/2010/wordml" w:rsidTr="656E598F" w14:paraId="2F0D3211" wp14:textId="77777777">
        <w:trPr>
          <w:tblHeader w:val="false"/>
        </w:trPr>
        <w:tc>
          <w:tcPr>
            <w:tcW w:w="1800" w:type="dxa"/>
            <w:tcBorders>
              <w:top w:val="single" w:color="AAAAAA" w:sz="4"/>
              <w:left w:val="single" w:color="AAAAAA" w:sz="4"/>
              <w:bottom w:val="single" w:color="AAAAAA" w:sz="4"/>
              <w:right w:val="single" w:color="AAAAAA" w:sz="4"/>
            </w:tcBorders>
            <w:shd w:val="clear" w:color="auto" w:fill="FFFFFF"/>
            <w:tcMar>
              <w:top w:w="80" w:type="dxa"/>
              <w:left w:w="120" w:type="dxa"/>
              <w:bottom w:w="80" w:type="dxa"/>
              <w:right w:w="120" w:type="dxa"/>
            </w:tcMar>
          </w:tcPr>
          <w:p w14:paraId="5E7026C5" wp14:textId="77777777">
            <w:r>
              <w:rPr>
                <w:rFonts w:ascii="Times New Roman" w:hAnsi="Times New Roman" w:eastAsia="Times New Roman" w:cs="Times New Roman"/>
                <w:sz w:val="20"/>
                <w:szCs w:val="20"/>
              </w:rPr>
              <w:t xml:space="preserve">H1</w:t>
            </w:r>
          </w:p>
        </w:tc>
        <w:tc>
          <w:tcPr>
            <w:tcW w:w="2800" w:type="dxa"/>
            <w:tcBorders>
              <w:top w:val="single" w:color="AAAAAA" w:sz="4"/>
              <w:left w:val="single" w:color="AAAAAA" w:sz="4"/>
              <w:bottom w:val="single" w:color="AAAAAA" w:sz="4"/>
              <w:right w:val="single" w:color="AAAAAA" w:sz="4"/>
            </w:tcBorders>
            <w:shd w:val="clear" w:color="auto" w:fill="FFFFFF"/>
            <w:tcMar>
              <w:top w:w="80" w:type="dxa"/>
              <w:left w:w="120" w:type="dxa"/>
              <w:bottom w:w="80" w:type="dxa"/>
              <w:right w:w="120" w:type="dxa"/>
            </w:tcMar>
          </w:tcPr>
          <w:p w14:paraId="6059AA0C" wp14:textId="77777777">
            <w:r>
              <w:rPr>
                <w:rFonts w:ascii="Times New Roman" w:hAnsi="Times New Roman" w:eastAsia="Times New Roman" w:cs="Times New Roman"/>
                <w:sz w:val="20"/>
                <w:szCs w:val="20"/>
              </w:rPr>
              <w:t xml:space="preserve">HIV+ vs HIV− (Vehicle)</w:t>
            </w:r>
          </w:p>
        </w:tc>
        <w:tc>
          <w:tcPr>
            <w:tcW w:w="4760" w:type="dxa"/>
            <w:tcBorders>
              <w:top w:val="single" w:color="AAAAAA" w:sz="4"/>
              <w:left w:val="single" w:color="AAAAAA" w:sz="4"/>
              <w:bottom w:val="single" w:color="AAAAAA" w:sz="4"/>
              <w:right w:val="single" w:color="AAAAAA" w:sz="4"/>
            </w:tcBorders>
            <w:shd w:val="clear" w:color="auto" w:fill="FFFFFF"/>
            <w:tcMar>
              <w:top w:w="80" w:type="dxa"/>
              <w:left w:w="120" w:type="dxa"/>
              <w:bottom w:w="80" w:type="dxa"/>
              <w:right w:w="120" w:type="dxa"/>
            </w:tcMar>
          </w:tcPr>
          <w:p w14:paraId="1EF5DA0C" wp14:textId="77777777">
            <w:r>
              <w:rPr>
                <w:rFonts w:ascii="Times New Roman" w:hAnsi="Times New Roman" w:eastAsia="Times New Roman" w:cs="Times New Roman"/>
                <w:sz w:val="20"/>
                <w:szCs w:val="20"/>
              </w:rPr>
              <w:t xml:space="preserve">Basal transcriptional differences between HIV+ and HIV− MDMs</w:t>
            </w:r>
          </w:p>
        </w:tc>
      </w:tr>
      <w:tr xmlns:wp14="http://schemas.microsoft.com/office/word/2010/wordml" w:rsidTr="656E598F" w14:paraId="66BD3EED" wp14:textId="77777777">
        <w:trPr>
          <w:tblHeader w:val="false"/>
        </w:trPr>
        <w:tc>
          <w:tcPr>
            <w:tcW w:w="1800" w:type="dxa"/>
            <w:tcBorders>
              <w:top w:val="single" w:color="AAAAAA" w:sz="4"/>
              <w:left w:val="single" w:color="AAAAAA" w:sz="4"/>
              <w:bottom w:val="single" w:color="AAAAAA" w:sz="4"/>
              <w:right w:val="single" w:color="AAAAAA" w:sz="4"/>
            </w:tcBorders>
            <w:shd w:val="clear" w:color="auto" w:fill="FFFFFF"/>
            <w:tcMar>
              <w:top w:w="80" w:type="dxa"/>
              <w:left w:w="120" w:type="dxa"/>
              <w:bottom w:w="80" w:type="dxa"/>
              <w:right w:w="120" w:type="dxa"/>
            </w:tcMar>
          </w:tcPr>
          <w:p w14:paraId="41DAFC6D" wp14:textId="77777777">
            <w:r>
              <w:rPr>
                <w:rFonts w:ascii="Times New Roman" w:hAnsi="Times New Roman" w:eastAsia="Times New Roman" w:cs="Times New Roman"/>
                <w:sz w:val="20"/>
                <w:szCs w:val="20"/>
              </w:rPr>
              <w:t xml:space="preserve">H1</w:t>
            </w:r>
          </w:p>
        </w:tc>
        <w:tc>
          <w:tcPr>
            <w:tcW w:w="2800" w:type="dxa"/>
            <w:tcBorders>
              <w:top w:val="single" w:color="AAAAAA" w:sz="4"/>
              <w:left w:val="single" w:color="AAAAAA" w:sz="4"/>
              <w:bottom w:val="single" w:color="AAAAAA" w:sz="4"/>
              <w:right w:val="single" w:color="AAAAAA" w:sz="4"/>
            </w:tcBorders>
            <w:shd w:val="clear" w:color="auto" w:fill="FFFFFF"/>
            <w:tcMar>
              <w:top w:w="80" w:type="dxa"/>
              <w:left w:w="120" w:type="dxa"/>
              <w:bottom w:w="80" w:type="dxa"/>
              <w:right w:w="120" w:type="dxa"/>
            </w:tcMar>
          </w:tcPr>
          <w:p w14:paraId="68CCEDA2" wp14:textId="77777777">
            <w:r>
              <w:rPr>
                <w:rFonts w:ascii="Times New Roman" w:hAnsi="Times New Roman" w:eastAsia="Times New Roman" w:cs="Times New Roman"/>
                <w:sz w:val="20"/>
                <w:szCs w:val="20"/>
              </w:rPr>
              <w:t xml:space="preserve">IL-1β vs Vehicle (per HIV group)</w:t>
            </w:r>
          </w:p>
        </w:tc>
        <w:tc>
          <w:tcPr>
            <w:tcW w:w="4760" w:type="dxa"/>
            <w:tcBorders>
              <w:top w:val="single" w:color="AAAAAA" w:sz="4"/>
              <w:left w:val="single" w:color="AAAAAA" w:sz="4"/>
              <w:bottom w:val="single" w:color="AAAAAA" w:sz="4"/>
              <w:right w:val="single" w:color="AAAAAA" w:sz="4"/>
            </w:tcBorders>
            <w:shd w:val="clear" w:color="auto" w:fill="FFFFFF"/>
            <w:tcMar>
              <w:top w:w="80" w:type="dxa"/>
              <w:left w:w="120" w:type="dxa"/>
              <w:bottom w:w="80" w:type="dxa"/>
              <w:right w:w="120" w:type="dxa"/>
            </w:tcMar>
          </w:tcPr>
          <w:p w14:paraId="6347F41F" wp14:textId="77777777">
            <w:r w:rsidRPr="656E598F" w:rsidR="656E598F">
              <w:rPr>
                <w:rFonts w:ascii="Times New Roman" w:hAnsi="Times New Roman" w:eastAsia="Times New Roman" w:cs="Times New Roman"/>
                <w:sz w:val="20"/>
                <w:szCs w:val="20"/>
                <w:lang w:val="en-US"/>
              </w:rPr>
              <w:t>IL-1β responsiveness; compared across HIV groups to identify amplification</w:t>
            </w:r>
          </w:p>
        </w:tc>
      </w:tr>
      <w:tr xmlns:wp14="http://schemas.microsoft.com/office/word/2010/wordml" w:rsidTr="656E598F" w14:paraId="54E100AA" wp14:textId="77777777">
        <w:trPr>
          <w:tblHeader w:val="false"/>
        </w:trPr>
        <w:tc>
          <w:tcPr>
            <w:tcW w:w="1800" w:type="dxa"/>
            <w:tcBorders>
              <w:top w:val="single" w:color="AAAAAA" w:sz="4"/>
              <w:left w:val="single" w:color="AAAAAA" w:sz="4"/>
              <w:bottom w:val="single" w:color="AAAAAA" w:sz="4"/>
              <w:right w:val="single" w:color="AAAAAA" w:sz="4"/>
            </w:tcBorders>
            <w:shd w:val="clear" w:color="auto" w:fill="FFFFFF"/>
            <w:tcMar>
              <w:top w:w="80" w:type="dxa"/>
              <w:left w:w="120" w:type="dxa"/>
              <w:bottom w:w="80" w:type="dxa"/>
              <w:right w:w="120" w:type="dxa"/>
            </w:tcMar>
          </w:tcPr>
          <w:p w14:paraId="42D10F29" wp14:textId="77777777">
            <w:r>
              <w:rPr>
                <w:rFonts w:ascii="Times New Roman" w:hAnsi="Times New Roman" w:eastAsia="Times New Roman" w:cs="Times New Roman"/>
                <w:sz w:val="20"/>
                <w:szCs w:val="20"/>
              </w:rPr>
              <w:t xml:space="preserve">H2</w:t>
            </w:r>
          </w:p>
        </w:tc>
        <w:tc>
          <w:tcPr>
            <w:tcW w:w="2800" w:type="dxa"/>
            <w:tcBorders>
              <w:top w:val="single" w:color="AAAAAA" w:sz="4"/>
              <w:left w:val="single" w:color="AAAAAA" w:sz="4"/>
              <w:bottom w:val="single" w:color="AAAAAA" w:sz="4"/>
              <w:right w:val="single" w:color="AAAAAA" w:sz="4"/>
            </w:tcBorders>
            <w:shd w:val="clear" w:color="auto" w:fill="FFFFFF"/>
            <w:tcMar>
              <w:top w:w="80" w:type="dxa"/>
              <w:left w:w="120" w:type="dxa"/>
              <w:bottom w:w="80" w:type="dxa"/>
              <w:right w:w="120" w:type="dxa"/>
            </w:tcMar>
          </w:tcPr>
          <w:p w14:paraId="76DEF9BE" wp14:textId="77777777">
            <w:r>
              <w:rPr>
                <w:rFonts w:ascii="Times New Roman" w:hAnsi="Times New Roman" w:eastAsia="Times New Roman" w:cs="Times New Roman"/>
                <w:sz w:val="20"/>
                <w:szCs w:val="20"/>
              </w:rPr>
              <w:t xml:space="preserve">THC+IL-1β vs IL-1β</w:t>
            </w:r>
          </w:p>
        </w:tc>
        <w:tc>
          <w:tcPr>
            <w:tcW w:w="4760" w:type="dxa"/>
            <w:tcBorders>
              <w:top w:val="single" w:color="AAAAAA" w:sz="4"/>
              <w:left w:val="single" w:color="AAAAAA" w:sz="4"/>
              <w:bottom w:val="single" w:color="AAAAAA" w:sz="4"/>
              <w:right w:val="single" w:color="AAAAAA" w:sz="4"/>
            </w:tcBorders>
            <w:shd w:val="clear" w:color="auto" w:fill="FFFFFF"/>
            <w:tcMar>
              <w:top w:w="80" w:type="dxa"/>
              <w:left w:w="120" w:type="dxa"/>
              <w:bottom w:w="80" w:type="dxa"/>
              <w:right w:w="120" w:type="dxa"/>
            </w:tcMar>
          </w:tcPr>
          <w:p w14:paraId="7DC9934A" wp14:textId="77777777">
            <w:r w:rsidRPr="656E598F" w:rsidR="656E598F">
              <w:rPr>
                <w:rFonts w:ascii="Times New Roman" w:hAnsi="Times New Roman" w:eastAsia="Times New Roman" w:cs="Times New Roman"/>
                <w:sz w:val="20"/>
                <w:szCs w:val="20"/>
                <w:lang w:val="en-US"/>
              </w:rPr>
              <w:t>THC-specific suppression of the IL-1β transcriptional programme</w:t>
            </w:r>
          </w:p>
        </w:tc>
      </w:tr>
      <w:tr xmlns:wp14="http://schemas.microsoft.com/office/word/2010/wordml" w:rsidTr="656E598F" w14:paraId="2A917BC6" wp14:textId="77777777">
        <w:trPr>
          <w:tblHeader w:val="false"/>
        </w:trPr>
        <w:tc>
          <w:tcPr>
            <w:tcW w:w="1800" w:type="dxa"/>
            <w:tcBorders>
              <w:top w:val="single" w:color="AAAAAA" w:sz="4"/>
              <w:left w:val="single" w:color="AAAAAA" w:sz="4"/>
              <w:bottom w:val="single" w:color="AAAAAA" w:sz="4"/>
              <w:right w:val="single" w:color="AAAAAA" w:sz="4"/>
            </w:tcBorders>
            <w:shd w:val="clear" w:color="auto" w:fill="FFFFFF"/>
            <w:tcMar>
              <w:top w:w="80" w:type="dxa"/>
              <w:left w:w="120" w:type="dxa"/>
              <w:bottom w:w="80" w:type="dxa"/>
              <w:right w:w="120" w:type="dxa"/>
            </w:tcMar>
          </w:tcPr>
          <w:p w14:paraId="7A8A1849" wp14:textId="77777777">
            <w:r>
              <w:rPr>
                <w:rFonts w:ascii="Times New Roman" w:hAnsi="Times New Roman" w:eastAsia="Times New Roman" w:cs="Times New Roman"/>
                <w:sz w:val="20"/>
                <w:szCs w:val="20"/>
              </w:rPr>
              <w:t xml:space="preserve">H2</w:t>
            </w:r>
          </w:p>
        </w:tc>
        <w:tc>
          <w:tcPr>
            <w:tcW w:w="2800" w:type="dxa"/>
            <w:tcBorders>
              <w:top w:val="single" w:color="AAAAAA" w:sz="4"/>
              <w:left w:val="single" w:color="AAAAAA" w:sz="4"/>
              <w:bottom w:val="single" w:color="AAAAAA" w:sz="4"/>
              <w:right w:val="single" w:color="AAAAAA" w:sz="4"/>
            </w:tcBorders>
            <w:shd w:val="clear" w:color="auto" w:fill="FFFFFF"/>
            <w:tcMar>
              <w:top w:w="80" w:type="dxa"/>
              <w:left w:w="120" w:type="dxa"/>
              <w:bottom w:w="80" w:type="dxa"/>
              <w:right w:w="120" w:type="dxa"/>
            </w:tcMar>
          </w:tcPr>
          <w:p w14:paraId="17B263D0" wp14:textId="77777777">
            <w:r>
              <w:rPr>
                <w:rFonts w:ascii="Times New Roman" w:hAnsi="Times New Roman" w:eastAsia="Times New Roman" w:cs="Times New Roman"/>
                <w:sz w:val="20"/>
                <w:szCs w:val="20"/>
              </w:rPr>
              <w:t xml:space="preserve">CBD+IL-1β vs IL-1β</w:t>
            </w:r>
          </w:p>
        </w:tc>
        <w:tc>
          <w:tcPr>
            <w:tcW w:w="4760" w:type="dxa"/>
            <w:tcBorders>
              <w:top w:val="single" w:color="AAAAAA" w:sz="4"/>
              <w:left w:val="single" w:color="AAAAAA" w:sz="4"/>
              <w:bottom w:val="single" w:color="AAAAAA" w:sz="4"/>
              <w:right w:val="single" w:color="AAAAAA" w:sz="4"/>
            </w:tcBorders>
            <w:shd w:val="clear" w:color="auto" w:fill="FFFFFF"/>
            <w:tcMar>
              <w:top w:w="80" w:type="dxa"/>
              <w:left w:w="120" w:type="dxa"/>
              <w:bottom w:w="80" w:type="dxa"/>
              <w:right w:w="120" w:type="dxa"/>
            </w:tcMar>
          </w:tcPr>
          <w:p w14:paraId="45382432" wp14:textId="77777777">
            <w:r w:rsidRPr="656E598F" w:rsidR="656E598F">
              <w:rPr>
                <w:rFonts w:ascii="Times New Roman" w:hAnsi="Times New Roman" w:eastAsia="Times New Roman" w:cs="Times New Roman"/>
                <w:sz w:val="20"/>
                <w:szCs w:val="20"/>
                <w:lang w:val="en-US"/>
              </w:rPr>
              <w:t>CBD-specific suppression of the IL-1β transcriptional programme</w:t>
            </w:r>
          </w:p>
        </w:tc>
      </w:tr>
      <w:tr xmlns:wp14="http://schemas.microsoft.com/office/word/2010/wordml" w:rsidTr="656E598F" w14:paraId="5CAE4A29" wp14:textId="77777777">
        <w:trPr>
          <w:tblHeader w:val="false"/>
        </w:trPr>
        <w:tc>
          <w:tcPr>
            <w:tcW w:w="1800" w:type="dxa"/>
            <w:tcBorders>
              <w:top w:val="single" w:color="AAAAAA" w:sz="4"/>
              <w:left w:val="single" w:color="AAAAAA" w:sz="4"/>
              <w:bottom w:val="single" w:color="AAAAAA" w:sz="4"/>
              <w:right w:val="single" w:color="AAAAAA" w:sz="4"/>
            </w:tcBorders>
            <w:shd w:val="clear" w:color="auto" w:fill="FFFFFF"/>
            <w:tcMar>
              <w:top w:w="80" w:type="dxa"/>
              <w:left w:w="120" w:type="dxa"/>
              <w:bottom w:w="80" w:type="dxa"/>
              <w:right w:w="120" w:type="dxa"/>
            </w:tcMar>
          </w:tcPr>
          <w:p w14:paraId="16B8FA33" wp14:textId="77777777">
            <w:r>
              <w:rPr>
                <w:rFonts w:ascii="Times New Roman" w:hAnsi="Times New Roman" w:eastAsia="Times New Roman" w:cs="Times New Roman"/>
                <w:sz w:val="20"/>
                <w:szCs w:val="20"/>
              </w:rPr>
              <w:t xml:space="preserve">H2</w:t>
            </w:r>
          </w:p>
        </w:tc>
        <w:tc>
          <w:tcPr>
            <w:tcW w:w="2800" w:type="dxa"/>
            <w:tcBorders>
              <w:top w:val="single" w:color="AAAAAA" w:sz="4"/>
              <w:left w:val="single" w:color="AAAAAA" w:sz="4"/>
              <w:bottom w:val="single" w:color="AAAAAA" w:sz="4"/>
              <w:right w:val="single" w:color="AAAAAA" w:sz="4"/>
            </w:tcBorders>
            <w:shd w:val="clear" w:color="auto" w:fill="FFFFFF"/>
            <w:tcMar>
              <w:top w:w="80" w:type="dxa"/>
              <w:left w:w="120" w:type="dxa"/>
              <w:bottom w:w="80" w:type="dxa"/>
              <w:right w:w="120" w:type="dxa"/>
            </w:tcMar>
          </w:tcPr>
          <w:p w14:paraId="006E69F7" wp14:textId="77777777">
            <w:r>
              <w:rPr>
                <w:rFonts w:ascii="Times New Roman" w:hAnsi="Times New Roman" w:eastAsia="Times New Roman" w:cs="Times New Roman"/>
                <w:sz w:val="20"/>
                <w:szCs w:val="20"/>
              </w:rPr>
              <w:t xml:space="preserve">THC vs Vehicle; CBD vs Vehicle</w:t>
            </w:r>
          </w:p>
        </w:tc>
        <w:tc>
          <w:tcPr>
            <w:tcW w:w="4760" w:type="dxa"/>
            <w:tcBorders>
              <w:top w:val="single" w:color="AAAAAA" w:sz="4"/>
              <w:left w:val="single" w:color="AAAAAA" w:sz="4"/>
              <w:bottom w:val="single" w:color="AAAAAA" w:sz="4"/>
              <w:right w:val="single" w:color="AAAAAA" w:sz="4"/>
            </w:tcBorders>
            <w:shd w:val="clear" w:color="auto" w:fill="FFFFFF"/>
            <w:tcMar>
              <w:top w:w="80" w:type="dxa"/>
              <w:left w:w="120" w:type="dxa"/>
              <w:bottom w:w="80" w:type="dxa"/>
              <w:right w:w="120" w:type="dxa"/>
            </w:tcMar>
          </w:tcPr>
          <w:p w14:paraId="47EC47E7" wp14:textId="77777777">
            <w:r>
              <w:rPr>
                <w:rFonts w:ascii="Times New Roman" w:hAnsi="Times New Roman" w:eastAsia="Times New Roman" w:cs="Times New Roman"/>
                <w:sz w:val="20"/>
                <w:szCs w:val="20"/>
              </w:rPr>
              <w:t xml:space="preserve">Intrinsic cannabinoid effect on resting MDMs</w:t>
            </w:r>
          </w:p>
        </w:tc>
      </w:tr>
      <w:tr xmlns:wp14="http://schemas.microsoft.com/office/word/2010/wordml" w:rsidTr="656E598F" w14:paraId="48851A13" wp14:textId="77777777">
        <w:trPr>
          <w:tblHeader w:val="false"/>
        </w:trPr>
        <w:tc>
          <w:tcPr>
            <w:tcW w:w="1800" w:type="dxa"/>
            <w:tcBorders>
              <w:top w:val="single" w:color="AAAAAA" w:sz="4"/>
              <w:left w:val="single" w:color="AAAAAA" w:sz="4"/>
              <w:bottom w:val="single" w:color="AAAAAA" w:sz="4"/>
              <w:right w:val="single" w:color="AAAAAA" w:sz="4"/>
            </w:tcBorders>
            <w:shd w:val="clear" w:color="auto" w:fill="FFFFFF"/>
            <w:tcMar>
              <w:top w:w="80" w:type="dxa"/>
              <w:left w:w="120" w:type="dxa"/>
              <w:bottom w:w="80" w:type="dxa"/>
              <w:right w:w="120" w:type="dxa"/>
            </w:tcMar>
          </w:tcPr>
          <w:p w14:paraId="7BF9C965" wp14:textId="77777777">
            <w:r>
              <w:rPr>
                <w:rFonts w:ascii="Times New Roman" w:hAnsi="Times New Roman" w:eastAsia="Times New Roman" w:cs="Times New Roman"/>
                <w:sz w:val="20"/>
                <w:szCs w:val="20"/>
              </w:rPr>
              <w:t xml:space="preserve">H3</w:t>
            </w:r>
          </w:p>
        </w:tc>
        <w:tc>
          <w:tcPr>
            <w:tcW w:w="2800" w:type="dxa"/>
            <w:tcBorders>
              <w:top w:val="single" w:color="AAAAAA" w:sz="4"/>
              <w:left w:val="single" w:color="AAAAAA" w:sz="4"/>
              <w:bottom w:val="single" w:color="AAAAAA" w:sz="4"/>
              <w:right w:val="single" w:color="AAAAAA" w:sz="4"/>
            </w:tcBorders>
            <w:shd w:val="clear" w:color="auto" w:fill="FFFFFF"/>
            <w:tcMar>
              <w:top w:w="80" w:type="dxa"/>
              <w:left w:w="120" w:type="dxa"/>
              <w:bottom w:w="80" w:type="dxa"/>
              <w:right w:w="120" w:type="dxa"/>
            </w:tcMar>
          </w:tcPr>
          <w:p w14:paraId="59306228" wp14:textId="77777777">
            <w:r>
              <w:rPr>
                <w:rFonts w:ascii="Times New Roman" w:hAnsi="Times New Roman" w:eastAsia="Times New Roman" w:cs="Times New Roman"/>
                <w:sz w:val="20"/>
                <w:szCs w:val="20"/>
              </w:rPr>
              <w:t xml:space="preserve">Daily vs Naïve; Moderate vs Naïve (Vehicle)</w:t>
            </w:r>
          </w:p>
        </w:tc>
        <w:tc>
          <w:tcPr>
            <w:tcW w:w="4760" w:type="dxa"/>
            <w:tcBorders>
              <w:top w:val="single" w:color="AAAAAA" w:sz="4"/>
              <w:left w:val="single" w:color="AAAAAA" w:sz="4"/>
              <w:bottom w:val="single" w:color="AAAAAA" w:sz="4"/>
              <w:right w:val="single" w:color="AAAAAA" w:sz="4"/>
            </w:tcBorders>
            <w:shd w:val="clear" w:color="auto" w:fill="FFFFFF"/>
            <w:tcMar>
              <w:top w:w="80" w:type="dxa"/>
              <w:left w:w="120" w:type="dxa"/>
              <w:bottom w:w="80" w:type="dxa"/>
              <w:right w:w="120" w:type="dxa"/>
            </w:tcMar>
          </w:tcPr>
          <w:p w14:paraId="5C25F6B5" wp14:textId="77777777">
            <w:r>
              <w:rPr>
                <w:rFonts w:ascii="Times New Roman" w:hAnsi="Times New Roman" w:eastAsia="Times New Roman" w:cs="Times New Roman"/>
                <w:sz w:val="20"/>
                <w:szCs w:val="20"/>
              </w:rPr>
              <w:t xml:space="preserve">Effect of in vivo cannabis exposure history on MDM baseline state</w:t>
            </w:r>
          </w:p>
        </w:tc>
      </w:tr>
      <w:tr xmlns:wp14="http://schemas.microsoft.com/office/word/2010/wordml" w:rsidTr="656E598F" w14:paraId="6B3C4A49" wp14:textId="77777777">
        <w:trPr>
          <w:tblHeader w:val="false"/>
        </w:trPr>
        <w:tc>
          <w:tcPr>
            <w:tcW w:w="1800" w:type="dxa"/>
            <w:tcBorders>
              <w:top w:val="single" w:color="AAAAAA" w:sz="4"/>
              <w:left w:val="single" w:color="AAAAAA" w:sz="4"/>
              <w:bottom w:val="single" w:color="AAAAAA" w:sz="4"/>
              <w:right w:val="single" w:color="AAAAAA" w:sz="4"/>
            </w:tcBorders>
            <w:shd w:val="clear" w:color="auto" w:fill="FFFFFF"/>
            <w:tcMar>
              <w:top w:w="80" w:type="dxa"/>
              <w:left w:w="120" w:type="dxa"/>
              <w:bottom w:w="80" w:type="dxa"/>
              <w:right w:w="120" w:type="dxa"/>
            </w:tcMar>
          </w:tcPr>
          <w:p w14:paraId="44845024" wp14:textId="77777777">
            <w:r>
              <w:rPr>
                <w:rFonts w:ascii="Times New Roman" w:hAnsi="Times New Roman" w:eastAsia="Times New Roman" w:cs="Times New Roman"/>
                <w:sz w:val="20"/>
                <w:szCs w:val="20"/>
              </w:rPr>
              <w:t xml:space="preserve">H3</w:t>
            </w:r>
          </w:p>
        </w:tc>
        <w:tc>
          <w:tcPr>
            <w:tcW w:w="2800" w:type="dxa"/>
            <w:tcBorders>
              <w:top w:val="single" w:color="AAAAAA" w:sz="4"/>
              <w:left w:val="single" w:color="AAAAAA" w:sz="4"/>
              <w:bottom w:val="single" w:color="AAAAAA" w:sz="4"/>
              <w:right w:val="single" w:color="AAAAAA" w:sz="4"/>
            </w:tcBorders>
            <w:shd w:val="clear" w:color="auto" w:fill="FFFFFF"/>
            <w:tcMar>
              <w:top w:w="80" w:type="dxa"/>
              <w:left w:w="120" w:type="dxa"/>
              <w:bottom w:w="80" w:type="dxa"/>
              <w:right w:w="120" w:type="dxa"/>
            </w:tcMar>
          </w:tcPr>
          <w:p w14:paraId="04142BA4" wp14:textId="77777777">
            <w:r>
              <w:rPr>
                <w:rFonts w:ascii="Times New Roman" w:hAnsi="Times New Roman" w:eastAsia="Times New Roman" w:cs="Times New Roman"/>
                <w:sz w:val="20"/>
                <w:szCs w:val="20"/>
              </w:rPr>
              <w:t xml:space="preserve">IL-1β vs Vehicle (per cannabis group)</w:t>
            </w:r>
          </w:p>
        </w:tc>
        <w:tc>
          <w:tcPr>
            <w:tcW w:w="4760" w:type="dxa"/>
            <w:tcBorders>
              <w:top w:val="single" w:color="AAAAAA" w:sz="4"/>
              <w:left w:val="single" w:color="AAAAAA" w:sz="4"/>
              <w:bottom w:val="single" w:color="AAAAAA" w:sz="4"/>
              <w:right w:val="single" w:color="AAAAAA" w:sz="4"/>
            </w:tcBorders>
            <w:shd w:val="clear" w:color="auto" w:fill="FFFFFF"/>
            <w:tcMar>
              <w:top w:w="80" w:type="dxa"/>
              <w:left w:w="120" w:type="dxa"/>
              <w:bottom w:w="80" w:type="dxa"/>
              <w:right w:w="120" w:type="dxa"/>
            </w:tcMar>
          </w:tcPr>
          <w:p w14:paraId="5ADE3516" wp14:textId="77777777">
            <w:r>
              <w:rPr>
                <w:rFonts w:ascii="Times New Roman" w:hAnsi="Times New Roman" w:eastAsia="Times New Roman" w:cs="Times New Roman"/>
                <w:sz w:val="20"/>
                <w:szCs w:val="20"/>
              </w:rPr>
              <w:t xml:space="preserve">IL-1β responsiveness stratified by cannabis use history</w:t>
            </w:r>
          </w:p>
        </w:tc>
      </w:tr>
      <w:tr xmlns:wp14="http://schemas.microsoft.com/office/word/2010/wordml" w:rsidTr="656E598F" w14:paraId="3D63E84A" wp14:textId="77777777">
        <w:trPr>
          <w:tblHeader w:val="false"/>
        </w:trPr>
        <w:tc>
          <w:tcPr>
            <w:tcW w:w="1800" w:type="dxa"/>
            <w:tcBorders>
              <w:top w:val="single" w:color="AAAAAA" w:sz="4"/>
              <w:left w:val="single" w:color="AAAAAA" w:sz="4"/>
              <w:bottom w:val="single" w:color="AAAAAA" w:sz="4"/>
              <w:right w:val="single" w:color="AAAAAA" w:sz="4"/>
            </w:tcBorders>
            <w:shd w:val="clear" w:color="auto" w:fill="FFFFFF"/>
            <w:tcMar>
              <w:top w:w="80" w:type="dxa"/>
              <w:left w:w="120" w:type="dxa"/>
              <w:bottom w:w="80" w:type="dxa"/>
              <w:right w:w="120" w:type="dxa"/>
            </w:tcMar>
          </w:tcPr>
          <w:p w14:paraId="5DD67DB1" wp14:textId="77777777">
            <w:r>
              <w:rPr>
                <w:rFonts w:ascii="Times New Roman" w:hAnsi="Times New Roman" w:eastAsia="Times New Roman" w:cs="Times New Roman"/>
                <w:sz w:val="20"/>
                <w:szCs w:val="20"/>
              </w:rPr>
              <w:t xml:space="preserve">H4</w:t>
            </w:r>
          </w:p>
        </w:tc>
        <w:tc>
          <w:tcPr>
            <w:tcW w:w="2800" w:type="dxa"/>
            <w:tcBorders>
              <w:top w:val="single" w:color="AAAAAA" w:sz="4"/>
              <w:left w:val="single" w:color="AAAAAA" w:sz="4"/>
              <w:bottom w:val="single" w:color="AAAAAA" w:sz="4"/>
              <w:right w:val="single" w:color="AAAAAA" w:sz="4"/>
            </w:tcBorders>
            <w:shd w:val="clear" w:color="auto" w:fill="FFFFFF"/>
            <w:tcMar>
              <w:top w:w="80" w:type="dxa"/>
              <w:left w:w="120" w:type="dxa"/>
              <w:bottom w:w="80" w:type="dxa"/>
              <w:right w:w="120" w:type="dxa"/>
            </w:tcMar>
          </w:tcPr>
          <w:p w14:paraId="47CE8C98" wp14:textId="77777777">
            <w:r>
              <w:rPr>
                <w:rFonts w:ascii="Times New Roman" w:hAnsi="Times New Roman" w:eastAsia="Times New Roman" w:cs="Times New Roman"/>
                <w:sz w:val="20"/>
                <w:szCs w:val="20"/>
              </w:rPr>
              <w:t xml:space="preserve">CBD vs THC; CBD+IL-1β vs THC+IL-1β</w:t>
            </w:r>
          </w:p>
        </w:tc>
        <w:tc>
          <w:tcPr>
            <w:tcW w:w="4760" w:type="dxa"/>
            <w:tcBorders>
              <w:top w:val="single" w:color="AAAAAA" w:sz="4"/>
              <w:left w:val="single" w:color="AAAAAA" w:sz="4"/>
              <w:bottom w:val="single" w:color="AAAAAA" w:sz="4"/>
              <w:right w:val="single" w:color="AAAAAA" w:sz="4"/>
            </w:tcBorders>
            <w:shd w:val="clear" w:color="auto" w:fill="FFFFFF"/>
            <w:tcMar>
              <w:top w:w="80" w:type="dxa"/>
              <w:left w:w="120" w:type="dxa"/>
              <w:bottom w:w="80" w:type="dxa"/>
              <w:right w:w="120" w:type="dxa"/>
            </w:tcMar>
          </w:tcPr>
          <w:p w14:paraId="60ABDE64" wp14:textId="77777777">
            <w:r>
              <w:rPr>
                <w:rFonts w:ascii="Times New Roman" w:hAnsi="Times New Roman" w:eastAsia="Times New Roman" w:cs="Times New Roman"/>
                <w:sz w:val="20"/>
                <w:szCs w:val="20"/>
              </w:rPr>
              <w:t xml:space="preserve">Direct comparison of cannabinoid-specific transcriptional signatures</w:t>
            </w:r>
          </w:p>
        </w:tc>
      </w:tr>
    </w:tbl>
    <w:p xmlns:wp14="http://schemas.microsoft.com/office/word/2010/wordml" w14:paraId="5DAB6C7B" wp14:textId="77777777">
      <w:pPr>
        <w:spacing w:before="0" w:after="160"/>
      </w:pPr>
    </w:p>
    <w:p xmlns:wp14="http://schemas.microsoft.com/office/word/2010/wordml" w14:paraId="7D1916AF" wp14:textId="77777777">
      <w:pPr>
        <w:pStyle w:val="Heading2"/>
        <w:spacing w:before="240" w:after="80"/>
      </w:pPr>
      <w:r>
        <w:rPr>
          <w:rFonts w:ascii="Times New Roman" w:hAnsi="Times New Roman" w:eastAsia="Times New Roman" w:cs="Times New Roman"/>
          <w:b/>
          <w:bCs/>
          <w:color w:val="2E4057"/>
          <w:sz w:val="26"/>
          <w:szCs w:val="26"/>
        </w:rPr>
        <w:t xml:space="preserve">7.4 HIV-Amplified Inflammatory Signature</w:t>
      </w:r>
    </w:p>
    <w:p xmlns:wp14="http://schemas.microsoft.com/office/word/2010/wordml" w14:paraId="4993B10B" wp14:textId="77777777">
      <w:pPr>
        <w:spacing w:before="0" w:after="160"/>
        <w:jc w:val="both"/>
      </w:pPr>
      <w:r>
        <w:rPr>
          <w:rFonts w:ascii="Times New Roman" w:hAnsi="Times New Roman" w:eastAsia="Times New Roman" w:cs="Times New Roman"/>
          <w:sz w:val="24"/>
          <w:szCs w:val="24"/>
        </w:rPr>
        <w:t xml:space="preserve">Genes constituting the HIV-amplified inflammatory signature were defined as those satisfying all of the following criteria in the HIV+ stratum: (1) significantly up-regulated by IL-1β relative to Vehicle (BH-adjusted p &lt; 0.05 and log2FC &gt; 0.585); and (2) log2FC in HIV+ exceeded log2FC in HIV− by ≥0.5 log2 units, indicating HIV-specific amplification of the inflammatory response. Conversely, ‘reversal’ by a cannabinoid was defined as a significant suppression of an amplified gene (BH-adjusted p &lt; 0.05 and log2FC &lt; −0.585 in the cannabinoid + IL-1β vs IL-1β comparison, within the HIV+ stratum).</w:t>
      </w:r>
    </w:p>
    <w:p xmlns:wp14="http://schemas.microsoft.com/office/word/2010/wordml" w14:paraId="0730AC90" wp14:textId="77777777">
      <w:pPr>
        <w:pStyle w:val="Heading2"/>
        <w:spacing w:before="240" w:after="80"/>
      </w:pPr>
      <w:r>
        <w:rPr>
          <w:rFonts w:ascii="Times New Roman" w:hAnsi="Times New Roman" w:eastAsia="Times New Roman" w:cs="Times New Roman"/>
          <w:b/>
          <w:bCs/>
          <w:color w:val="2E4057"/>
          <w:sz w:val="26"/>
          <w:szCs w:val="26"/>
        </w:rPr>
        <w:t xml:space="preserve">7.5 Statistical Thresholds</w:t>
      </w:r>
    </w:p>
    <w:p xmlns:wp14="http://schemas.microsoft.com/office/word/2010/wordml" w14:paraId="08EC8005" wp14:textId="77777777">
      <w:pPr>
        <w:spacing w:before="0" w:after="160"/>
        <w:jc w:val="both"/>
      </w:pPr>
      <w:r>
        <w:rPr>
          <w:rFonts w:ascii="Times New Roman" w:hAnsi="Times New Roman" w:eastAsia="Times New Roman" w:cs="Times New Roman"/>
          <w:sz w:val="24"/>
          <w:szCs w:val="24"/>
        </w:rPr>
        <w:t xml:space="preserve">Genes were called differentially expressed if the BH-adjusted p-value was &lt; 0.05 and the absolute shrunken log2 fold change exceeded 0.585 (corresponding to a ≈1.5-fold change). These thresholds were applied uniformly across all comparisons.</w:t>
      </w:r>
    </w:p>
    <w:p xmlns:wp14="http://schemas.microsoft.com/office/word/2010/wordml" w14:paraId="4C7B3A8F" wp14:textId="77777777">
      <w:pPr>
        <w:pStyle w:val="Heading1"/>
        <w:spacing w:before="360" w:after="120"/>
      </w:pPr>
      <w:r>
        <w:rPr>
          <w:rFonts w:ascii="Times New Roman" w:hAnsi="Times New Roman" w:eastAsia="Times New Roman" w:cs="Times New Roman"/>
          <w:b/>
          <w:bCs/>
          <w:color w:val="1F3864"/>
          <w:sz w:val="28"/>
          <w:szCs w:val="28"/>
        </w:rPr>
        <w:t xml:space="preserve">8. Gene Set Enrichment Analysis</w:t>
      </w:r>
    </w:p>
    <w:p xmlns:wp14="http://schemas.microsoft.com/office/word/2010/wordml" w14:paraId="69CA993D" wp14:textId="77777777">
      <w:pPr>
        <w:spacing w:before="0" w:after="160"/>
        <w:jc w:val="both"/>
      </w:pPr>
      <w:r w:rsidRPr="656E598F" w:rsidR="656E598F">
        <w:rPr>
          <w:rFonts w:ascii="Times New Roman" w:hAnsi="Times New Roman" w:eastAsia="Times New Roman" w:cs="Times New Roman"/>
          <w:sz w:val="24"/>
          <w:szCs w:val="24"/>
          <w:lang w:val="en-US"/>
        </w:rPr>
        <w:t xml:space="preserve">Pre-ranked gene set enrichment analysis was performed using the </w:t>
      </w:r>
      <w:r w:rsidRPr="656E598F" w:rsidR="656E598F">
        <w:rPr>
          <w:rFonts w:ascii="Times New Roman" w:hAnsi="Times New Roman" w:eastAsia="Times New Roman" w:cs="Times New Roman"/>
          <w:b w:val="1"/>
          <w:bCs w:val="1"/>
          <w:sz w:val="24"/>
          <w:szCs w:val="24"/>
          <w:lang w:val="en-US"/>
        </w:rPr>
        <w:t>fgsea</w:t>
      </w:r>
      <w:r w:rsidRPr="656E598F" w:rsidR="656E598F">
        <w:rPr>
          <w:rFonts w:ascii="Times New Roman" w:hAnsi="Times New Roman" w:eastAsia="Times New Roman" w:cs="Times New Roman"/>
          <w:sz w:val="24"/>
          <w:szCs w:val="24"/>
          <w:lang w:val="en-US"/>
        </w:rPr>
        <w:t xml:space="preserve"> package (v1.28; Korotkevich et al., 2021) with 10,000 permutations per comparison (nPermSimple = 10,000). Each gene was ranked by its </w:t>
      </w:r>
      <w:r w:rsidRPr="656E598F" w:rsidR="656E598F">
        <w:rPr>
          <w:rFonts w:ascii="Times New Roman" w:hAnsi="Times New Roman" w:eastAsia="Times New Roman" w:cs="Times New Roman"/>
          <w:b w:val="1"/>
          <w:bCs w:val="1"/>
          <w:sz w:val="24"/>
          <w:szCs w:val="24"/>
          <w:lang w:val="en-US"/>
        </w:rPr>
        <w:t>Wald statistic</w:t>
      </w:r>
      <w:r w:rsidRPr="656E598F" w:rsidR="656E598F">
        <w:rPr>
          <w:rFonts w:ascii="Times New Roman" w:hAnsi="Times New Roman" w:eastAsia="Times New Roman" w:cs="Times New Roman"/>
          <w:sz w:val="24"/>
          <w:szCs w:val="24"/>
          <w:lang w:val="en-US"/>
        </w:rPr>
        <w:t xml:space="preserve"> from the corresponding DESeq2 result, which jointly captures both the magnitude and the precision of the estimated LFC. Duplicate gene symbols (arising from multiple Ensembl IDs mapping to the same symbol) were resolved by retaining the entry with the smallest adjusted p-value. Gene sets with fewer than 15 or more than 500 members were excluded.</w:t>
      </w:r>
    </w:p>
    <w:p xmlns:wp14="http://schemas.microsoft.com/office/word/2010/wordml" w14:paraId="34DEEF47" wp14:textId="77777777">
      <w:pPr>
        <w:spacing w:before="0" w:after="160"/>
        <w:jc w:val="both"/>
      </w:pPr>
      <w:r w:rsidRPr="656E598F" w:rsidR="656E598F">
        <w:rPr>
          <w:rFonts w:ascii="Times New Roman" w:hAnsi="Times New Roman" w:eastAsia="Times New Roman" w:cs="Times New Roman"/>
          <w:sz w:val="24"/>
          <w:szCs w:val="24"/>
          <w:lang w:val="en-US"/>
        </w:rPr>
        <w:t xml:space="preserve">Gene sets were drawn from three MSigDB (v2024.1) collections accessed via the </w:t>
      </w:r>
      <w:r w:rsidRPr="656E598F" w:rsidR="656E598F">
        <w:rPr>
          <w:rFonts w:ascii="Times New Roman" w:hAnsi="Times New Roman" w:eastAsia="Times New Roman" w:cs="Times New Roman"/>
          <w:b w:val="1"/>
          <w:bCs w:val="1"/>
          <w:sz w:val="24"/>
          <w:szCs w:val="24"/>
          <w:lang w:val="en-US"/>
        </w:rPr>
        <w:t>msigdbr</w:t>
      </w:r>
      <w:r w:rsidRPr="656E598F" w:rsidR="656E598F">
        <w:rPr>
          <w:rFonts w:ascii="Times New Roman" w:hAnsi="Times New Roman" w:eastAsia="Times New Roman" w:cs="Times New Roman"/>
          <w:sz w:val="24"/>
          <w:szCs w:val="24"/>
          <w:lang w:val="en-US"/>
        </w:rPr>
        <w:t xml:space="preserve"> R package:</w:t>
      </w:r>
    </w:p>
    <w:p xmlns:wp14="http://schemas.microsoft.com/office/word/2010/wordml" w14:paraId="59AB5E50" wp14:textId="77777777">
      <w:pPr>
        <w:pStyle w:val="ListParagraph"/>
        <w:numPr>
          <w:ilvl w:val="0"/>
          <w:numId w:val="2"/>
        </w:numPr>
        <w:spacing w:before="40" w:after="40"/>
        <w:rPr/>
      </w:pPr>
      <w:r w:rsidRPr="656E598F" w:rsidR="656E598F">
        <w:rPr>
          <w:rFonts w:ascii="Times New Roman" w:hAnsi="Times New Roman" w:eastAsia="Times New Roman" w:cs="Times New Roman"/>
          <w:b w:val="1"/>
          <w:bCs w:val="1"/>
          <w:sz w:val="24"/>
          <w:szCs w:val="24"/>
          <w:lang w:val="en-US"/>
        </w:rPr>
        <w:t>Hallmark</w:t>
      </w:r>
      <w:r w:rsidRPr="656E598F" w:rsidR="656E598F">
        <w:rPr>
          <w:rFonts w:ascii="Times New Roman" w:hAnsi="Times New Roman" w:eastAsia="Times New Roman" w:cs="Times New Roman"/>
          <w:sz w:val="24"/>
          <w:szCs w:val="24"/>
          <w:lang w:val="en-US"/>
        </w:rPr>
        <w:t xml:space="preserve"> (H): 50 coherent gene sets representing well-defined biological states and processes.</w:t>
      </w:r>
    </w:p>
    <w:p xmlns:wp14="http://schemas.microsoft.com/office/word/2010/wordml" w14:paraId="55AE626A" wp14:textId="77777777">
      <w:pPr>
        <w:pStyle w:val="ListParagraph"/>
        <w:numPr>
          <w:ilvl w:val="0"/>
          <w:numId w:val="2"/>
        </w:numPr>
        <w:spacing w:before="40" w:after="40"/>
        <w:rPr/>
      </w:pPr>
      <w:r w:rsidRPr="656E598F" w:rsidR="656E598F">
        <w:rPr>
          <w:rFonts w:ascii="Times New Roman" w:hAnsi="Times New Roman" w:eastAsia="Times New Roman" w:cs="Times New Roman"/>
          <w:b w:val="1"/>
          <w:bCs w:val="1"/>
          <w:sz w:val="24"/>
          <w:szCs w:val="24"/>
          <w:lang w:val="en-US"/>
        </w:rPr>
        <w:t>KEGG Legacy</w:t>
      </w:r>
      <w:r w:rsidRPr="656E598F" w:rsidR="656E598F">
        <w:rPr>
          <w:rFonts w:ascii="Times New Roman" w:hAnsi="Times New Roman" w:eastAsia="Times New Roman" w:cs="Times New Roman"/>
          <w:sz w:val="24"/>
          <w:szCs w:val="24"/>
          <w:lang w:val="en-US"/>
        </w:rPr>
        <w:t xml:space="preserve"> (C2:CP:KEGG_LEGACY): curated metabolic and signalling pathway gene sets.</w:t>
      </w:r>
    </w:p>
    <w:p xmlns:wp14="http://schemas.microsoft.com/office/word/2010/wordml" w14:paraId="68033021" wp14:textId="77777777">
      <w:pPr>
        <w:pStyle w:val="ListParagraph"/>
        <w:numPr>
          <w:ilvl w:val="0"/>
          <w:numId w:val="2"/>
        </w:numPr>
        <w:spacing w:before="40" w:after="40"/>
        <w:rPr/>
      </w:pPr>
      <w:r w:rsidRPr="656E598F" w:rsidR="656E598F">
        <w:rPr>
          <w:rFonts w:ascii="Times New Roman" w:hAnsi="Times New Roman" w:eastAsia="Times New Roman" w:cs="Times New Roman"/>
          <w:b w:val="1"/>
          <w:bCs w:val="1"/>
          <w:sz w:val="24"/>
          <w:szCs w:val="24"/>
          <w:lang w:val="en-US"/>
        </w:rPr>
        <w:t>ImmuneSigDB</w:t>
      </w:r>
      <w:r w:rsidRPr="656E598F" w:rsidR="656E598F">
        <w:rPr>
          <w:rFonts w:ascii="Times New Roman" w:hAnsi="Times New Roman" w:eastAsia="Times New Roman" w:cs="Times New Roman"/>
          <w:sz w:val="24"/>
          <w:szCs w:val="24"/>
          <w:lang w:val="en-US"/>
        </w:rPr>
        <w:t xml:space="preserve"> (C7:IMMUNESIGDB): immune-cell gene signatures used for exploratory annotation.</w:t>
      </w:r>
    </w:p>
    <w:p xmlns:wp14="http://schemas.microsoft.com/office/word/2010/wordml" w14:paraId="02EB378F" wp14:textId="77777777">
      <w:pPr>
        <w:spacing w:before="0" w:after="80"/>
      </w:pPr>
    </w:p>
    <w:p xmlns:wp14="http://schemas.microsoft.com/office/word/2010/wordml" w14:paraId="4BBCAD57" wp14:textId="77777777">
      <w:pPr>
        <w:spacing w:before="0" w:after="160"/>
        <w:jc w:val="both"/>
      </w:pPr>
      <w:r w:rsidRPr="656E598F" w:rsidR="656E598F">
        <w:rPr>
          <w:rFonts w:ascii="Times New Roman" w:hAnsi="Times New Roman" w:eastAsia="Times New Roman" w:cs="Times New Roman"/>
          <w:sz w:val="24"/>
          <w:szCs w:val="24"/>
          <w:lang w:val="en-US"/>
        </w:rPr>
        <w:t>Hallmark and KEGG sets were combined for all primary analyses. Pathway enrichment was considered statistically significant at BH-adjusted p &lt; 0.05. Normalised Enrichment Scores (NES) were compared across conditions using scatter plots of paired NES values; a positive NES indicates net up-regulation of the gene set in the numerator condition.</w:t>
      </w:r>
    </w:p>
    <w:p xmlns:wp14="http://schemas.microsoft.com/office/word/2010/wordml" w14:paraId="709912EE" wp14:textId="77777777">
      <w:pPr>
        <w:pStyle w:val="Heading1"/>
        <w:spacing w:before="360" w:after="120"/>
      </w:pPr>
      <w:r>
        <w:rPr>
          <w:rFonts w:ascii="Times New Roman" w:hAnsi="Times New Roman" w:eastAsia="Times New Roman" w:cs="Times New Roman"/>
          <w:b/>
          <w:bCs/>
          <w:color w:val="1F3864"/>
          <w:sz w:val="28"/>
          <w:szCs w:val="28"/>
        </w:rPr>
        <w:t xml:space="preserve">9. Gene Annotation</w:t>
      </w:r>
    </w:p>
    <w:p xmlns:wp14="http://schemas.microsoft.com/office/word/2010/wordml" w14:paraId="744A6E01" wp14:textId="77777777">
      <w:pPr>
        <w:spacing w:before="0" w:after="160"/>
        <w:jc w:val="both"/>
      </w:pPr>
      <w:r w:rsidRPr="656E598F" w:rsidR="656E598F">
        <w:rPr>
          <w:rFonts w:ascii="Times New Roman" w:hAnsi="Times New Roman" w:eastAsia="Times New Roman" w:cs="Times New Roman"/>
          <w:sz w:val="24"/>
          <w:szCs w:val="24"/>
          <w:lang w:val="en-US"/>
        </w:rPr>
        <w:t xml:space="preserve">Ensembl gene identifiers (version suffix stripped) were mapped to HGNC gene symbols and NCBI Entrez IDs using the </w:t>
      </w:r>
      <w:r w:rsidRPr="656E598F" w:rsidR="656E598F">
        <w:rPr>
          <w:rFonts w:ascii="Times New Roman" w:hAnsi="Times New Roman" w:eastAsia="Times New Roman" w:cs="Times New Roman"/>
          <w:b w:val="1"/>
          <w:bCs w:val="1"/>
          <w:sz w:val="24"/>
          <w:szCs w:val="24"/>
          <w:lang w:val="en-US"/>
        </w:rPr>
        <w:t>org.Hs.eg.db</w:t>
      </w:r>
      <w:r w:rsidRPr="656E598F" w:rsidR="656E598F">
        <w:rPr>
          <w:rFonts w:ascii="Times New Roman" w:hAnsi="Times New Roman" w:eastAsia="Times New Roman" w:cs="Times New Roman"/>
          <w:sz w:val="24"/>
          <w:szCs w:val="24"/>
          <w:lang w:val="en-US"/>
        </w:rPr>
        <w:t xml:space="preserve"> annotation package (v3.18) via the </w:t>
      </w:r>
      <w:r w:rsidRPr="656E598F" w:rsidR="656E598F">
        <w:rPr>
          <w:rFonts w:ascii="Times New Roman" w:hAnsi="Times New Roman" w:eastAsia="Times New Roman" w:cs="Times New Roman"/>
          <w:i w:val="1"/>
          <w:iCs w:val="1"/>
          <w:sz w:val="24"/>
          <w:szCs w:val="24"/>
          <w:lang w:val="en-US"/>
        </w:rPr>
        <w:t>AnnotationDbi::mapIds()</w:t>
      </w:r>
      <w:r w:rsidRPr="656E598F" w:rsidR="656E598F">
        <w:rPr>
          <w:rFonts w:ascii="Times New Roman" w:hAnsi="Times New Roman" w:eastAsia="Times New Roman" w:cs="Times New Roman"/>
          <w:sz w:val="24"/>
          <w:szCs w:val="24"/>
          <w:lang w:val="en-US"/>
        </w:rPr>
        <w:t xml:space="preserve"> function with </w:t>
      </w:r>
      <w:r w:rsidRPr="656E598F" w:rsidR="656E598F">
        <w:rPr>
          <w:rFonts w:ascii="Times New Roman" w:hAnsi="Times New Roman" w:eastAsia="Times New Roman" w:cs="Times New Roman"/>
          <w:i w:val="1"/>
          <w:iCs w:val="1"/>
          <w:sz w:val="24"/>
          <w:szCs w:val="24"/>
          <w:lang w:val="en-US"/>
        </w:rPr>
        <w:t>multiVals = "first"</w:t>
      </w:r>
      <w:r w:rsidRPr="656E598F" w:rsidR="656E598F">
        <w:rPr>
          <w:rFonts w:ascii="Times New Roman" w:hAnsi="Times New Roman" w:eastAsia="Times New Roman" w:cs="Times New Roman"/>
          <w:sz w:val="24"/>
          <w:szCs w:val="24"/>
          <w:lang w:val="en-US"/>
        </w:rPr>
        <w:t>.</w:t>
      </w:r>
    </w:p>
    <w:p xmlns:wp14="http://schemas.microsoft.com/office/word/2010/wordml" w14:paraId="49D34579" wp14:textId="77777777">
      <w:pPr>
        <w:pStyle w:val="Heading1"/>
        <w:spacing w:before="360" w:after="120"/>
      </w:pPr>
      <w:r w:rsidRPr="656E598F" w:rsidR="656E598F">
        <w:rPr>
          <w:rFonts w:ascii="Times New Roman" w:hAnsi="Times New Roman" w:eastAsia="Times New Roman" w:cs="Times New Roman"/>
          <w:b w:val="1"/>
          <w:bCs w:val="1"/>
          <w:color w:val="1F3864"/>
          <w:sz w:val="28"/>
          <w:szCs w:val="28"/>
          <w:lang w:val="en-US"/>
        </w:rPr>
        <w:t>10. Data Visualisation</w:t>
      </w:r>
    </w:p>
    <w:p xmlns:wp14="http://schemas.microsoft.com/office/word/2010/wordml" w14:paraId="6B5E811E" wp14:textId="77777777">
      <w:pPr>
        <w:spacing w:before="0" w:after="160"/>
        <w:jc w:val="both"/>
      </w:pPr>
      <w:r w:rsidRPr="656E598F" w:rsidR="656E598F">
        <w:rPr>
          <w:rFonts w:ascii="Times New Roman" w:hAnsi="Times New Roman" w:eastAsia="Times New Roman" w:cs="Times New Roman"/>
          <w:sz w:val="24"/>
          <w:szCs w:val="24"/>
          <w:lang w:val="en-US"/>
        </w:rPr>
        <w:t xml:space="preserve">Volcano plots were generated using the </w:t>
      </w:r>
      <w:r w:rsidRPr="656E598F" w:rsidR="656E598F">
        <w:rPr>
          <w:rFonts w:ascii="Times New Roman" w:hAnsi="Times New Roman" w:eastAsia="Times New Roman" w:cs="Times New Roman"/>
          <w:b w:val="1"/>
          <w:bCs w:val="1"/>
          <w:sz w:val="24"/>
          <w:szCs w:val="24"/>
          <w:lang w:val="en-US"/>
        </w:rPr>
        <w:t>EnhancedVolcano</w:t>
      </w:r>
      <w:r w:rsidRPr="656E598F" w:rsidR="656E598F">
        <w:rPr>
          <w:rFonts w:ascii="Times New Roman" w:hAnsi="Times New Roman" w:eastAsia="Times New Roman" w:cs="Times New Roman"/>
          <w:sz w:val="24"/>
          <w:szCs w:val="24"/>
          <w:lang w:val="en-US"/>
        </w:rPr>
        <w:t xml:space="preserve"> package (v1.20). Hierarchically clustered heatmaps were generated with </w:t>
      </w:r>
      <w:r w:rsidRPr="656E598F" w:rsidR="656E598F">
        <w:rPr>
          <w:rFonts w:ascii="Times New Roman" w:hAnsi="Times New Roman" w:eastAsia="Times New Roman" w:cs="Times New Roman"/>
          <w:b w:val="1"/>
          <w:bCs w:val="1"/>
          <w:sz w:val="24"/>
          <w:szCs w:val="24"/>
          <w:lang w:val="en-US"/>
        </w:rPr>
        <w:t>pheatmap</w:t>
      </w:r>
      <w:r w:rsidRPr="656E598F" w:rsidR="656E598F">
        <w:rPr>
          <w:rFonts w:ascii="Times New Roman" w:hAnsi="Times New Roman" w:eastAsia="Times New Roman" w:cs="Times New Roman"/>
          <w:sz w:val="24"/>
          <w:szCs w:val="24"/>
          <w:lang w:val="en-US"/>
        </w:rPr>
        <w:t xml:space="preserve"> (v1.0.12) on variance-stabilised (VST) count data z-scored per gene and clamped to [−3, +3] for display. Samples were clustered by Ward’s D2 linkage on Pearson correlation distance. Gene set enrichment dot plots and NES comparison scatter plots were produced with </w:t>
      </w:r>
      <w:r w:rsidRPr="656E598F" w:rsidR="656E598F">
        <w:rPr>
          <w:rFonts w:ascii="Times New Roman" w:hAnsi="Times New Roman" w:eastAsia="Times New Roman" w:cs="Times New Roman"/>
          <w:b w:val="1"/>
          <w:bCs w:val="1"/>
          <w:sz w:val="24"/>
          <w:szCs w:val="24"/>
          <w:lang w:val="en-US"/>
        </w:rPr>
        <w:t>ggplot2</w:t>
      </w:r>
      <w:r w:rsidRPr="656E598F" w:rsidR="656E598F">
        <w:rPr>
          <w:rFonts w:ascii="Times New Roman" w:hAnsi="Times New Roman" w:eastAsia="Times New Roman" w:cs="Times New Roman"/>
          <w:sz w:val="24"/>
          <w:szCs w:val="24"/>
          <w:lang w:val="en-US"/>
        </w:rPr>
        <w:t xml:space="preserve"> (v3.5). Individual pathway enrichment traces were generated with </w:t>
      </w:r>
      <w:r w:rsidRPr="656E598F" w:rsidR="656E598F">
        <w:rPr>
          <w:rFonts w:ascii="Times New Roman" w:hAnsi="Times New Roman" w:eastAsia="Times New Roman" w:cs="Times New Roman"/>
          <w:i w:val="1"/>
          <w:iCs w:val="1"/>
          <w:sz w:val="24"/>
          <w:szCs w:val="24"/>
          <w:lang w:val="en-US"/>
        </w:rPr>
        <w:t>fgsea::plotEnrichment()</w:t>
      </w:r>
      <w:r w:rsidRPr="656E598F" w:rsidR="656E598F">
        <w:rPr>
          <w:rFonts w:ascii="Times New Roman" w:hAnsi="Times New Roman" w:eastAsia="Times New Roman" w:cs="Times New Roman"/>
          <w:sz w:val="24"/>
          <w:szCs w:val="24"/>
          <w:lang w:val="en-US"/>
        </w:rPr>
        <w:t xml:space="preserve">. Venn diagrams were drawn with </w:t>
      </w:r>
      <w:r w:rsidRPr="656E598F" w:rsidR="656E598F">
        <w:rPr>
          <w:rFonts w:ascii="Times New Roman" w:hAnsi="Times New Roman" w:eastAsia="Times New Roman" w:cs="Times New Roman"/>
          <w:b w:val="1"/>
          <w:bCs w:val="1"/>
          <w:sz w:val="24"/>
          <w:szCs w:val="24"/>
          <w:lang w:val="en-US"/>
        </w:rPr>
        <w:t>ggVennDiagram</w:t>
      </w:r>
      <w:r w:rsidRPr="656E598F" w:rsidR="656E598F">
        <w:rPr>
          <w:rFonts w:ascii="Times New Roman" w:hAnsi="Times New Roman" w:eastAsia="Times New Roman" w:cs="Times New Roman"/>
          <w:sz w:val="24"/>
          <w:szCs w:val="24"/>
          <w:lang w:val="en-US"/>
        </w:rPr>
        <w:t xml:space="preserve"> (v1.5). All visualisations used a consistent colour palette: HIV− in blue (#3B82F6) and HIV+ in red (#EF4444).</w:t>
      </w:r>
    </w:p>
    <w:p xmlns:wp14="http://schemas.microsoft.com/office/word/2010/wordml" w14:paraId="0557A51C" wp14:textId="77777777">
      <w:pPr>
        <w:spacing w:before="0" w:after="160"/>
        <w:jc w:val="both"/>
      </w:pPr>
      <w:r w:rsidRPr="656E598F" w:rsidR="656E598F">
        <w:rPr>
          <w:rFonts w:ascii="Times New Roman" w:hAnsi="Times New Roman" w:eastAsia="Times New Roman" w:cs="Times New Roman"/>
          <w:sz w:val="24"/>
          <w:szCs w:val="24"/>
          <w:lang w:val="en-US"/>
        </w:rPr>
        <w:t>Figures were exported at 300 dpi as PNG (for manuscript submission) and as PDF (for vector-quality reproduction) via knitr chunk options (</w:t>
      </w:r>
      <w:r w:rsidRPr="656E598F" w:rsidR="656E598F">
        <w:rPr>
          <w:rFonts w:ascii="Times New Roman" w:hAnsi="Times New Roman" w:eastAsia="Times New Roman" w:cs="Times New Roman"/>
          <w:i w:val="1"/>
          <w:iCs w:val="1"/>
          <w:sz w:val="24"/>
          <w:szCs w:val="24"/>
          <w:lang w:val="en-US"/>
        </w:rPr>
        <w:t>dev = c("png", "pdf")</w:t>
      </w:r>
      <w:r w:rsidRPr="656E598F" w:rsidR="656E598F">
        <w:rPr>
          <w:rFonts w:ascii="Times New Roman" w:hAnsi="Times New Roman" w:eastAsia="Times New Roman" w:cs="Times New Roman"/>
          <w:sz w:val="24"/>
          <w:szCs w:val="24"/>
          <w:lang w:val="en-US"/>
        </w:rPr>
        <w:t xml:space="preserve">, </w:t>
      </w:r>
      <w:r w:rsidRPr="656E598F" w:rsidR="656E598F">
        <w:rPr>
          <w:rFonts w:ascii="Times New Roman" w:hAnsi="Times New Roman" w:eastAsia="Times New Roman" w:cs="Times New Roman"/>
          <w:i w:val="1"/>
          <w:iCs w:val="1"/>
          <w:sz w:val="24"/>
          <w:szCs w:val="24"/>
          <w:lang w:val="en-US"/>
        </w:rPr>
        <w:t>dpi = 300</w:t>
      </w:r>
      <w:r w:rsidRPr="656E598F" w:rsidR="656E598F">
        <w:rPr>
          <w:rFonts w:ascii="Times New Roman" w:hAnsi="Times New Roman" w:eastAsia="Times New Roman" w:cs="Times New Roman"/>
          <w:sz w:val="24"/>
          <w:szCs w:val="24"/>
          <w:lang w:val="en-US"/>
        </w:rPr>
        <w:t>).</w:t>
      </w:r>
    </w:p>
    <w:p xmlns:wp14="http://schemas.microsoft.com/office/word/2010/wordml" w14:paraId="7D4AEC98" wp14:textId="77777777">
      <w:pPr>
        <w:pStyle w:val="Heading1"/>
        <w:spacing w:before="360" w:after="120"/>
      </w:pPr>
      <w:r>
        <w:rPr>
          <w:rFonts w:ascii="Times New Roman" w:hAnsi="Times New Roman" w:eastAsia="Times New Roman" w:cs="Times New Roman"/>
          <w:b/>
          <w:bCs/>
          <w:color w:val="1F3864"/>
          <w:sz w:val="28"/>
          <w:szCs w:val="28"/>
        </w:rPr>
        <w:t xml:space="preserve">11. Data Availability and Reproducibility</w:t>
      </w:r>
    </w:p>
    <w:p xmlns:wp14="http://schemas.microsoft.com/office/word/2010/wordml" w14:paraId="5680668C" wp14:textId="77777777">
      <w:pPr>
        <w:spacing w:before="0" w:after="160"/>
        <w:jc w:val="both"/>
      </w:pPr>
      <w:r w:rsidRPr="656E598F" w:rsidR="656E598F">
        <w:rPr>
          <w:rFonts w:ascii="Times New Roman" w:hAnsi="Times New Roman" w:eastAsia="Times New Roman" w:cs="Times New Roman"/>
          <w:sz w:val="24"/>
          <w:szCs w:val="24"/>
          <w:lang w:val="en-US"/>
        </w:rPr>
        <w:t>All analyses were conducted in R using a single annotated Quarto document (.qmd) with global caching enabled (</w:t>
      </w:r>
      <w:r w:rsidRPr="656E598F" w:rsidR="656E598F">
        <w:rPr>
          <w:rFonts w:ascii="Times New Roman" w:hAnsi="Times New Roman" w:eastAsia="Times New Roman" w:cs="Times New Roman"/>
          <w:i w:val="1"/>
          <w:iCs w:val="1"/>
          <w:sz w:val="24"/>
          <w:szCs w:val="24"/>
          <w:lang w:val="en-US"/>
        </w:rPr>
        <w:t>cache = TRUE</w:t>
      </w:r>
      <w:r w:rsidRPr="656E598F" w:rsidR="656E598F">
        <w:rPr>
          <w:rFonts w:ascii="Times New Roman" w:hAnsi="Times New Roman" w:eastAsia="Times New Roman" w:cs="Times New Roman"/>
          <w:sz w:val="24"/>
          <w:szCs w:val="24"/>
          <w:lang w:val="en-US"/>
        </w:rPr>
        <w:t>) to ensure reproducibility. Key intermediate analytical objects (DESeqDataSet objects, VST matrices, annotated results data frames, and GSEA output) were saved as RDS files to a dedicated cache directory (</w:t>
      </w:r>
      <w:r w:rsidRPr="656E598F" w:rsidR="656E598F">
        <w:rPr>
          <w:rFonts w:ascii="Times New Roman" w:hAnsi="Times New Roman" w:eastAsia="Times New Roman" w:cs="Times New Roman"/>
          <w:i w:val="1"/>
          <w:iCs w:val="1"/>
          <w:sz w:val="24"/>
          <w:szCs w:val="24"/>
          <w:lang w:val="en-US"/>
        </w:rPr>
        <w:t>results/rds_cache/</w:t>
      </w:r>
      <w:r w:rsidRPr="656E598F" w:rsidR="656E598F">
        <w:rPr>
          <w:rFonts w:ascii="Times New Roman" w:hAnsi="Times New Roman" w:eastAsia="Times New Roman" w:cs="Times New Roman"/>
          <w:sz w:val="24"/>
          <w:szCs w:val="24"/>
          <w:lang w:val="en-US"/>
        </w:rPr>
        <w:t>) after each analytical section, enabling re-entry at any checkpoint without re-fitting upstream models. Complete differential expression tables and GSEA results for all contrasts were exported as annotated Excel workbooks (one sheet per contrast).</w:t>
      </w:r>
    </w:p>
    <w:p xmlns:wp14="http://schemas.microsoft.com/office/word/2010/wordml" w14:paraId="2D1206EF" wp14:textId="77777777">
      <w:pPr>
        <w:spacing w:before="0" w:after="160"/>
        <w:jc w:val="both"/>
      </w:pPr>
      <w:r>
        <w:rPr>
          <w:rFonts w:ascii="Times New Roman" w:hAnsi="Times New Roman" w:eastAsia="Times New Roman" w:cs="Times New Roman"/>
          <w:sz w:val="24"/>
          <w:szCs w:val="24"/>
        </w:rPr>
        <w:t xml:space="preserve">Raw RNA-seq data are deposited in the NCBI Gene Expression Omnibus under accession [GEO XXXXXX]. Analysis code is available at https://github.com/[repository].</w:t>
      </w:r>
    </w:p>
    <w:p xmlns:wp14="http://schemas.microsoft.com/office/word/2010/wordml" w14:paraId="5A5105C0" wp14:textId="77777777">
      <w:pPr>
        <w:pStyle w:val="Heading1"/>
        <w:spacing w:before="360" w:after="120"/>
      </w:pPr>
      <w:r>
        <w:rPr>
          <w:rFonts w:ascii="Times New Roman" w:hAnsi="Times New Roman" w:eastAsia="Times New Roman" w:cs="Times New Roman"/>
          <w:b/>
          <w:bCs/>
          <w:color w:val="1F3864"/>
          <w:sz w:val="28"/>
          <w:szCs w:val="28"/>
        </w:rPr>
        <w:t xml:space="preserve">12. Software and Package Versions</w:t>
      </w:r>
    </w:p>
    <w:p xmlns:wp14="http://schemas.microsoft.com/office/word/2010/wordml" w14:paraId="5A80FFBC" wp14:textId="77777777">
      <w:pPr>
        <w:spacing w:before="0" w:after="160"/>
        <w:jc w:val="both"/>
      </w:pPr>
      <w:r>
        <w:rPr>
          <w:rFonts w:ascii="Times New Roman" w:hAnsi="Times New Roman" w:eastAsia="Times New Roman" w:cs="Times New Roman"/>
          <w:sz w:val="24"/>
          <w:szCs w:val="24"/>
        </w:rPr>
        <w:t xml:space="preserve">All analyses were performed in R version 4.3 (or later). Key packages are listed below.</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xmlns:wp14="http://schemas.microsoft.com/office/word/2010/wordml" w14:paraId="404D55C4" wp14:textId="77777777">
        <w:trPr>
          <w:tblHeader/>
        </w:trPr>
        <w:tc>
          <w:tcPr>
            <w:tcW w:w="3120" w:type="dxa"/>
            <w:tcBorders>
              <w:top w:val="single" w:color="AAAAAA" w:sz="4"/>
              <w:left w:val="single" w:color="AAAAAA" w:sz="4"/>
              <w:bottom w:val="single" w:color="AAAAAA" w:sz="4"/>
              <w:right w:val="single" w:color="AAAAAA" w:sz="4"/>
            </w:tcBorders>
            <w:shd w:val="clear" w:fill="F2F2F2"/>
            <w:tcMar>
              <w:top w:w="80" w:type="dxa"/>
              <w:left w:w="120" w:type="dxa"/>
              <w:bottom w:w="80" w:type="dxa"/>
              <w:right w:w="120" w:type="dxa"/>
            </w:tcMar>
          </w:tcPr>
          <w:p w14:paraId="51975BC6" wp14:textId="77777777">
            <w:r>
              <w:rPr>
                <w:rFonts w:ascii="Times New Roman" w:hAnsi="Times New Roman" w:eastAsia="Times New Roman" w:cs="Times New Roman"/>
                <w:b/>
                <w:bCs/>
                <w:sz w:val="20"/>
                <w:szCs w:val="20"/>
              </w:rPr>
              <w:t xml:space="preserve">Package</w:t>
            </w:r>
          </w:p>
        </w:tc>
        <w:tc>
          <w:tcPr>
            <w:tcW w:w="1560" w:type="dxa"/>
            <w:tcBorders>
              <w:top w:val="single" w:color="AAAAAA" w:sz="4"/>
              <w:left w:val="single" w:color="AAAAAA" w:sz="4"/>
              <w:bottom w:val="single" w:color="AAAAAA" w:sz="4"/>
              <w:right w:val="single" w:color="AAAAAA" w:sz="4"/>
            </w:tcBorders>
            <w:shd w:val="clear" w:fill="F2F2F2"/>
            <w:tcMar>
              <w:top w:w="80" w:type="dxa"/>
              <w:left w:w="120" w:type="dxa"/>
              <w:bottom w:w="80" w:type="dxa"/>
              <w:right w:w="120" w:type="dxa"/>
            </w:tcMar>
          </w:tcPr>
          <w:p w14:paraId="6B814A1E" wp14:textId="77777777">
            <w:r>
              <w:rPr>
                <w:rFonts w:ascii="Times New Roman" w:hAnsi="Times New Roman" w:eastAsia="Times New Roman" w:cs="Times New Roman"/>
                <w:b/>
                <w:bCs/>
                <w:sz w:val="20"/>
                <w:szCs w:val="20"/>
              </w:rPr>
              <w:t xml:space="preserve">Version</w:t>
            </w:r>
          </w:p>
        </w:tc>
        <w:tc>
          <w:tcPr>
            <w:tcW w:w="4680" w:type="dxa"/>
            <w:tcBorders>
              <w:top w:val="single" w:color="AAAAAA" w:sz="4"/>
              <w:left w:val="single" w:color="AAAAAA" w:sz="4"/>
              <w:bottom w:val="single" w:color="AAAAAA" w:sz="4"/>
              <w:right w:val="single" w:color="AAAAAA" w:sz="4"/>
            </w:tcBorders>
            <w:shd w:val="clear" w:fill="F2F2F2"/>
            <w:tcMar>
              <w:top w:w="80" w:type="dxa"/>
              <w:left w:w="120" w:type="dxa"/>
              <w:bottom w:w="80" w:type="dxa"/>
              <w:right w:w="120" w:type="dxa"/>
            </w:tcMar>
          </w:tcPr>
          <w:p w14:paraId="6F3B69C3" wp14:textId="77777777">
            <w:r>
              <w:rPr>
                <w:rFonts w:ascii="Times New Roman" w:hAnsi="Times New Roman" w:eastAsia="Times New Roman" w:cs="Times New Roman"/>
                <w:b/>
                <w:bCs/>
                <w:sz w:val="20"/>
                <w:szCs w:val="20"/>
              </w:rPr>
              <w:t xml:space="preserve">Reference</w:t>
            </w:r>
          </w:p>
        </w:tc>
      </w:tr>
      <w:tr xmlns:wp14="http://schemas.microsoft.com/office/word/2010/wordml" w14:paraId="6F551D34" wp14:textId="77777777">
        <w:trPr>
          <w:tblHeader w:val="false"/>
        </w:trPr>
        <w:tc>
          <w:tcPr>
            <w:tcW w:w="3120" w:type="dxa"/>
            <w:tcBorders>
              <w:top w:val="single" w:color="AAAAAA" w:sz="4"/>
              <w:left w:val="single" w:color="AAAAAA" w:sz="4"/>
              <w:bottom w:val="single" w:color="AAAAAA" w:sz="4"/>
              <w:right w:val="single" w:color="AAAAAA" w:sz="4"/>
            </w:tcBorders>
            <w:shd w:val="clear" w:fill="FFFFFF"/>
            <w:tcMar>
              <w:top w:w="80" w:type="dxa"/>
              <w:left w:w="120" w:type="dxa"/>
              <w:bottom w:w="80" w:type="dxa"/>
              <w:right w:w="120" w:type="dxa"/>
            </w:tcMar>
          </w:tcPr>
          <w:p w14:paraId="5DA3E4AF" wp14:textId="77777777">
            <w:r>
              <w:rPr>
                <w:rFonts w:ascii="Times New Roman" w:hAnsi="Times New Roman" w:eastAsia="Times New Roman" w:cs="Times New Roman"/>
                <w:sz w:val="20"/>
                <w:szCs w:val="20"/>
              </w:rPr>
              <w:t xml:space="preserve">DESeq2</w:t>
            </w:r>
          </w:p>
        </w:tc>
        <w:tc>
          <w:tcPr>
            <w:tcW w:w="1560" w:type="dxa"/>
            <w:tcBorders>
              <w:top w:val="single" w:color="AAAAAA" w:sz="4"/>
              <w:left w:val="single" w:color="AAAAAA" w:sz="4"/>
              <w:bottom w:val="single" w:color="AAAAAA" w:sz="4"/>
              <w:right w:val="single" w:color="AAAAAA" w:sz="4"/>
            </w:tcBorders>
            <w:shd w:val="clear" w:fill="FFFFFF"/>
            <w:tcMar>
              <w:top w:w="80" w:type="dxa"/>
              <w:left w:w="120" w:type="dxa"/>
              <w:bottom w:w="80" w:type="dxa"/>
              <w:right w:w="120" w:type="dxa"/>
            </w:tcMar>
          </w:tcPr>
          <w:p w14:paraId="1BE9EE82" wp14:textId="77777777">
            <w:r>
              <w:rPr>
                <w:rFonts w:ascii="Times New Roman" w:hAnsi="Times New Roman" w:eastAsia="Times New Roman" w:cs="Times New Roman"/>
                <w:sz w:val="20"/>
                <w:szCs w:val="20"/>
              </w:rPr>
              <w:t xml:space="preserve">1.42</w:t>
            </w:r>
          </w:p>
        </w:tc>
        <w:tc>
          <w:tcPr>
            <w:tcW w:w="4680" w:type="dxa"/>
            <w:tcBorders>
              <w:top w:val="single" w:color="AAAAAA" w:sz="4"/>
              <w:left w:val="single" w:color="AAAAAA" w:sz="4"/>
              <w:bottom w:val="single" w:color="AAAAAA" w:sz="4"/>
              <w:right w:val="single" w:color="AAAAAA" w:sz="4"/>
            </w:tcBorders>
            <w:shd w:val="clear" w:fill="FFFFFF"/>
            <w:tcMar>
              <w:top w:w="80" w:type="dxa"/>
              <w:left w:w="120" w:type="dxa"/>
              <w:bottom w:w="80" w:type="dxa"/>
              <w:right w:w="120" w:type="dxa"/>
            </w:tcMar>
          </w:tcPr>
          <w:p w14:paraId="50AA5E46" wp14:textId="77777777">
            <w:r>
              <w:rPr>
                <w:rFonts w:ascii="Times New Roman" w:hAnsi="Times New Roman" w:eastAsia="Times New Roman" w:cs="Times New Roman"/>
                <w:sz w:val="20"/>
                <w:szCs w:val="20"/>
              </w:rPr>
              <w:t xml:space="preserve">Love et al., Genome Biology, 2014</w:t>
            </w:r>
          </w:p>
        </w:tc>
      </w:tr>
      <w:tr xmlns:wp14="http://schemas.microsoft.com/office/word/2010/wordml" w14:paraId="07405F31" wp14:textId="77777777">
        <w:trPr>
          <w:tblHeader w:val="false"/>
        </w:trPr>
        <w:tc>
          <w:tcPr>
            <w:tcW w:w="3120" w:type="dxa"/>
            <w:tcBorders>
              <w:top w:val="single" w:color="AAAAAA" w:sz="4"/>
              <w:left w:val="single" w:color="AAAAAA" w:sz="4"/>
              <w:bottom w:val="single" w:color="AAAAAA" w:sz="4"/>
              <w:right w:val="single" w:color="AAAAAA" w:sz="4"/>
            </w:tcBorders>
            <w:shd w:val="clear" w:fill="FFFFFF"/>
            <w:tcMar>
              <w:top w:w="80" w:type="dxa"/>
              <w:left w:w="120" w:type="dxa"/>
              <w:bottom w:w="80" w:type="dxa"/>
              <w:right w:w="120" w:type="dxa"/>
            </w:tcMar>
          </w:tcPr>
          <w:p w14:paraId="090E78AA" wp14:textId="77777777">
            <w:r>
              <w:rPr>
                <w:rFonts w:ascii="Times New Roman" w:hAnsi="Times New Roman" w:eastAsia="Times New Roman" w:cs="Times New Roman"/>
                <w:sz w:val="20"/>
                <w:szCs w:val="20"/>
              </w:rPr>
              <w:t xml:space="preserve">tximport</w:t>
            </w:r>
          </w:p>
        </w:tc>
        <w:tc>
          <w:tcPr>
            <w:tcW w:w="1560" w:type="dxa"/>
            <w:tcBorders>
              <w:top w:val="single" w:color="AAAAAA" w:sz="4"/>
              <w:left w:val="single" w:color="AAAAAA" w:sz="4"/>
              <w:bottom w:val="single" w:color="AAAAAA" w:sz="4"/>
              <w:right w:val="single" w:color="AAAAAA" w:sz="4"/>
            </w:tcBorders>
            <w:shd w:val="clear" w:fill="FFFFFF"/>
            <w:tcMar>
              <w:top w:w="80" w:type="dxa"/>
              <w:left w:w="120" w:type="dxa"/>
              <w:bottom w:w="80" w:type="dxa"/>
              <w:right w:w="120" w:type="dxa"/>
            </w:tcMar>
          </w:tcPr>
          <w:p w14:paraId="0C5315C0" wp14:textId="77777777">
            <w:r>
              <w:rPr>
                <w:rFonts w:ascii="Times New Roman" w:hAnsi="Times New Roman" w:eastAsia="Times New Roman" w:cs="Times New Roman"/>
                <w:sz w:val="20"/>
                <w:szCs w:val="20"/>
              </w:rPr>
              <w:t xml:space="preserve">1.30</w:t>
            </w:r>
          </w:p>
        </w:tc>
        <w:tc>
          <w:tcPr>
            <w:tcW w:w="4680" w:type="dxa"/>
            <w:tcBorders>
              <w:top w:val="single" w:color="AAAAAA" w:sz="4"/>
              <w:left w:val="single" w:color="AAAAAA" w:sz="4"/>
              <w:bottom w:val="single" w:color="AAAAAA" w:sz="4"/>
              <w:right w:val="single" w:color="AAAAAA" w:sz="4"/>
            </w:tcBorders>
            <w:shd w:val="clear" w:fill="FFFFFF"/>
            <w:tcMar>
              <w:top w:w="80" w:type="dxa"/>
              <w:left w:w="120" w:type="dxa"/>
              <w:bottom w:w="80" w:type="dxa"/>
              <w:right w:w="120" w:type="dxa"/>
            </w:tcMar>
          </w:tcPr>
          <w:p w14:paraId="654C2652" wp14:textId="77777777">
            <w:r>
              <w:rPr>
                <w:rFonts w:ascii="Times New Roman" w:hAnsi="Times New Roman" w:eastAsia="Times New Roman" w:cs="Times New Roman"/>
                <w:sz w:val="20"/>
                <w:szCs w:val="20"/>
              </w:rPr>
              <w:t xml:space="preserve">Soneson et al., F1000Research, 2015</w:t>
            </w:r>
          </w:p>
        </w:tc>
      </w:tr>
      <w:tr xmlns:wp14="http://schemas.microsoft.com/office/word/2010/wordml" w14:paraId="1FA466DF" wp14:textId="77777777">
        <w:trPr>
          <w:tblHeader w:val="false"/>
        </w:trPr>
        <w:tc>
          <w:tcPr>
            <w:tcW w:w="3120" w:type="dxa"/>
            <w:tcBorders>
              <w:top w:val="single" w:color="AAAAAA" w:sz="4"/>
              <w:left w:val="single" w:color="AAAAAA" w:sz="4"/>
              <w:bottom w:val="single" w:color="AAAAAA" w:sz="4"/>
              <w:right w:val="single" w:color="AAAAAA" w:sz="4"/>
            </w:tcBorders>
            <w:shd w:val="clear" w:fill="FFFFFF"/>
            <w:tcMar>
              <w:top w:w="80" w:type="dxa"/>
              <w:left w:w="120" w:type="dxa"/>
              <w:bottom w:w="80" w:type="dxa"/>
              <w:right w:w="120" w:type="dxa"/>
            </w:tcMar>
          </w:tcPr>
          <w:p w14:paraId="48AE6947" wp14:textId="77777777">
            <w:r>
              <w:rPr>
                <w:rFonts w:ascii="Times New Roman" w:hAnsi="Times New Roman" w:eastAsia="Times New Roman" w:cs="Times New Roman"/>
                <w:sz w:val="20"/>
                <w:szCs w:val="20"/>
              </w:rPr>
              <w:t xml:space="preserve">apeglm</w:t>
            </w:r>
          </w:p>
        </w:tc>
        <w:tc>
          <w:tcPr>
            <w:tcW w:w="1560" w:type="dxa"/>
            <w:tcBorders>
              <w:top w:val="single" w:color="AAAAAA" w:sz="4"/>
              <w:left w:val="single" w:color="AAAAAA" w:sz="4"/>
              <w:bottom w:val="single" w:color="AAAAAA" w:sz="4"/>
              <w:right w:val="single" w:color="AAAAAA" w:sz="4"/>
            </w:tcBorders>
            <w:shd w:val="clear" w:fill="FFFFFF"/>
            <w:tcMar>
              <w:top w:w="80" w:type="dxa"/>
              <w:left w:w="120" w:type="dxa"/>
              <w:bottom w:w="80" w:type="dxa"/>
              <w:right w:w="120" w:type="dxa"/>
            </w:tcMar>
          </w:tcPr>
          <w:p w14:paraId="57E9FE96" wp14:textId="77777777">
            <w:r>
              <w:rPr>
                <w:rFonts w:ascii="Times New Roman" w:hAnsi="Times New Roman" w:eastAsia="Times New Roman" w:cs="Times New Roman"/>
                <w:sz w:val="20"/>
                <w:szCs w:val="20"/>
              </w:rPr>
              <w:t xml:space="preserve">1.24</w:t>
            </w:r>
          </w:p>
        </w:tc>
        <w:tc>
          <w:tcPr>
            <w:tcW w:w="4680" w:type="dxa"/>
            <w:tcBorders>
              <w:top w:val="single" w:color="AAAAAA" w:sz="4"/>
              <w:left w:val="single" w:color="AAAAAA" w:sz="4"/>
              <w:bottom w:val="single" w:color="AAAAAA" w:sz="4"/>
              <w:right w:val="single" w:color="AAAAAA" w:sz="4"/>
            </w:tcBorders>
            <w:shd w:val="clear" w:fill="FFFFFF"/>
            <w:tcMar>
              <w:top w:w="80" w:type="dxa"/>
              <w:left w:w="120" w:type="dxa"/>
              <w:bottom w:w="80" w:type="dxa"/>
              <w:right w:w="120" w:type="dxa"/>
            </w:tcMar>
          </w:tcPr>
          <w:p w14:paraId="0A9D5BAA" wp14:textId="77777777">
            <w:r>
              <w:rPr>
                <w:rFonts w:ascii="Times New Roman" w:hAnsi="Times New Roman" w:eastAsia="Times New Roman" w:cs="Times New Roman"/>
                <w:sz w:val="20"/>
                <w:szCs w:val="20"/>
              </w:rPr>
              <w:t xml:space="preserve">Zhu et al., Bioinformatics, 2019</w:t>
            </w:r>
          </w:p>
        </w:tc>
      </w:tr>
      <w:tr xmlns:wp14="http://schemas.microsoft.com/office/word/2010/wordml" w14:paraId="2A01EE3B" wp14:textId="77777777">
        <w:trPr>
          <w:tblHeader w:val="false"/>
        </w:trPr>
        <w:tc>
          <w:tcPr>
            <w:tcW w:w="3120" w:type="dxa"/>
            <w:tcBorders>
              <w:top w:val="single" w:color="AAAAAA" w:sz="4"/>
              <w:left w:val="single" w:color="AAAAAA" w:sz="4"/>
              <w:bottom w:val="single" w:color="AAAAAA" w:sz="4"/>
              <w:right w:val="single" w:color="AAAAAA" w:sz="4"/>
            </w:tcBorders>
            <w:shd w:val="clear" w:fill="FFFFFF"/>
            <w:tcMar>
              <w:top w:w="80" w:type="dxa"/>
              <w:left w:w="120" w:type="dxa"/>
              <w:bottom w:w="80" w:type="dxa"/>
              <w:right w:w="120" w:type="dxa"/>
            </w:tcMar>
          </w:tcPr>
          <w:p w14:paraId="15BC43C7" wp14:textId="77777777">
            <w:r>
              <w:rPr>
                <w:rFonts w:ascii="Times New Roman" w:hAnsi="Times New Roman" w:eastAsia="Times New Roman" w:cs="Times New Roman"/>
                <w:sz w:val="20"/>
                <w:szCs w:val="20"/>
              </w:rPr>
              <w:t xml:space="preserve">ashr</w:t>
            </w:r>
          </w:p>
        </w:tc>
        <w:tc>
          <w:tcPr>
            <w:tcW w:w="1560" w:type="dxa"/>
            <w:tcBorders>
              <w:top w:val="single" w:color="AAAAAA" w:sz="4"/>
              <w:left w:val="single" w:color="AAAAAA" w:sz="4"/>
              <w:bottom w:val="single" w:color="AAAAAA" w:sz="4"/>
              <w:right w:val="single" w:color="AAAAAA" w:sz="4"/>
            </w:tcBorders>
            <w:shd w:val="clear" w:fill="FFFFFF"/>
            <w:tcMar>
              <w:top w:w="80" w:type="dxa"/>
              <w:left w:w="120" w:type="dxa"/>
              <w:bottom w:w="80" w:type="dxa"/>
              <w:right w:w="120" w:type="dxa"/>
            </w:tcMar>
          </w:tcPr>
          <w:p w14:paraId="24672A24" wp14:textId="77777777">
            <w:r>
              <w:rPr>
                <w:rFonts w:ascii="Times New Roman" w:hAnsi="Times New Roman" w:eastAsia="Times New Roman" w:cs="Times New Roman"/>
                <w:sz w:val="20"/>
                <w:szCs w:val="20"/>
              </w:rPr>
              <w:t xml:space="preserve">2.2</w:t>
            </w:r>
          </w:p>
        </w:tc>
        <w:tc>
          <w:tcPr>
            <w:tcW w:w="4680" w:type="dxa"/>
            <w:tcBorders>
              <w:top w:val="single" w:color="AAAAAA" w:sz="4"/>
              <w:left w:val="single" w:color="AAAAAA" w:sz="4"/>
              <w:bottom w:val="single" w:color="AAAAAA" w:sz="4"/>
              <w:right w:val="single" w:color="AAAAAA" w:sz="4"/>
            </w:tcBorders>
            <w:shd w:val="clear" w:fill="FFFFFF"/>
            <w:tcMar>
              <w:top w:w="80" w:type="dxa"/>
              <w:left w:w="120" w:type="dxa"/>
              <w:bottom w:w="80" w:type="dxa"/>
              <w:right w:w="120" w:type="dxa"/>
            </w:tcMar>
          </w:tcPr>
          <w:p w14:paraId="5A802B6F" wp14:textId="77777777">
            <w:r>
              <w:rPr>
                <w:rFonts w:ascii="Times New Roman" w:hAnsi="Times New Roman" w:eastAsia="Times New Roman" w:cs="Times New Roman"/>
                <w:sz w:val="20"/>
                <w:szCs w:val="20"/>
              </w:rPr>
              <w:t xml:space="preserve">Stephens, Biostatistics, 2017</w:t>
            </w:r>
          </w:p>
        </w:tc>
      </w:tr>
      <w:tr xmlns:wp14="http://schemas.microsoft.com/office/word/2010/wordml" w14:paraId="7E6568AF" wp14:textId="77777777">
        <w:trPr>
          <w:tblHeader w:val="false"/>
        </w:trPr>
        <w:tc>
          <w:tcPr>
            <w:tcW w:w="3120" w:type="dxa"/>
            <w:tcBorders>
              <w:top w:val="single" w:color="AAAAAA" w:sz="4"/>
              <w:left w:val="single" w:color="AAAAAA" w:sz="4"/>
              <w:bottom w:val="single" w:color="AAAAAA" w:sz="4"/>
              <w:right w:val="single" w:color="AAAAAA" w:sz="4"/>
            </w:tcBorders>
            <w:shd w:val="clear" w:fill="FFFFFF"/>
            <w:tcMar>
              <w:top w:w="80" w:type="dxa"/>
              <w:left w:w="120" w:type="dxa"/>
              <w:bottom w:w="80" w:type="dxa"/>
              <w:right w:w="120" w:type="dxa"/>
            </w:tcMar>
          </w:tcPr>
          <w:p w14:paraId="06D77371" wp14:textId="77777777">
            <w:r>
              <w:rPr>
                <w:rFonts w:ascii="Times New Roman" w:hAnsi="Times New Roman" w:eastAsia="Times New Roman" w:cs="Times New Roman"/>
                <w:sz w:val="20"/>
                <w:szCs w:val="20"/>
              </w:rPr>
              <w:t xml:space="preserve">fgsea</w:t>
            </w:r>
          </w:p>
        </w:tc>
        <w:tc>
          <w:tcPr>
            <w:tcW w:w="1560" w:type="dxa"/>
            <w:tcBorders>
              <w:top w:val="single" w:color="AAAAAA" w:sz="4"/>
              <w:left w:val="single" w:color="AAAAAA" w:sz="4"/>
              <w:bottom w:val="single" w:color="AAAAAA" w:sz="4"/>
              <w:right w:val="single" w:color="AAAAAA" w:sz="4"/>
            </w:tcBorders>
            <w:shd w:val="clear" w:fill="FFFFFF"/>
            <w:tcMar>
              <w:top w:w="80" w:type="dxa"/>
              <w:left w:w="120" w:type="dxa"/>
              <w:bottom w:w="80" w:type="dxa"/>
              <w:right w:w="120" w:type="dxa"/>
            </w:tcMar>
          </w:tcPr>
          <w:p w14:paraId="5D0317D8" wp14:textId="77777777">
            <w:r>
              <w:rPr>
                <w:rFonts w:ascii="Times New Roman" w:hAnsi="Times New Roman" w:eastAsia="Times New Roman" w:cs="Times New Roman"/>
                <w:sz w:val="20"/>
                <w:szCs w:val="20"/>
              </w:rPr>
              <w:t xml:space="preserve">1.28</w:t>
            </w:r>
          </w:p>
        </w:tc>
        <w:tc>
          <w:tcPr>
            <w:tcW w:w="4680" w:type="dxa"/>
            <w:tcBorders>
              <w:top w:val="single" w:color="AAAAAA" w:sz="4"/>
              <w:left w:val="single" w:color="AAAAAA" w:sz="4"/>
              <w:bottom w:val="single" w:color="AAAAAA" w:sz="4"/>
              <w:right w:val="single" w:color="AAAAAA" w:sz="4"/>
            </w:tcBorders>
            <w:shd w:val="clear" w:fill="FFFFFF"/>
            <w:tcMar>
              <w:top w:w="80" w:type="dxa"/>
              <w:left w:w="120" w:type="dxa"/>
              <w:bottom w:w="80" w:type="dxa"/>
              <w:right w:w="120" w:type="dxa"/>
            </w:tcMar>
          </w:tcPr>
          <w:p w14:paraId="7ACE6542" wp14:textId="77777777">
            <w:r>
              <w:rPr>
                <w:rFonts w:ascii="Times New Roman" w:hAnsi="Times New Roman" w:eastAsia="Times New Roman" w:cs="Times New Roman"/>
                <w:sz w:val="20"/>
                <w:szCs w:val="20"/>
              </w:rPr>
              <w:t xml:space="preserve">Korotkevich et al., bioRxiv, 2021</w:t>
            </w:r>
          </w:p>
        </w:tc>
      </w:tr>
      <w:tr xmlns:wp14="http://schemas.microsoft.com/office/word/2010/wordml" w14:paraId="19766711" wp14:textId="77777777">
        <w:trPr>
          <w:tblHeader w:val="false"/>
        </w:trPr>
        <w:tc>
          <w:tcPr>
            <w:tcW w:w="3120" w:type="dxa"/>
            <w:tcBorders>
              <w:top w:val="single" w:color="AAAAAA" w:sz="4"/>
              <w:left w:val="single" w:color="AAAAAA" w:sz="4"/>
              <w:bottom w:val="single" w:color="AAAAAA" w:sz="4"/>
              <w:right w:val="single" w:color="AAAAAA" w:sz="4"/>
            </w:tcBorders>
            <w:shd w:val="clear" w:fill="FFFFFF"/>
            <w:tcMar>
              <w:top w:w="80" w:type="dxa"/>
              <w:left w:w="120" w:type="dxa"/>
              <w:bottom w:w="80" w:type="dxa"/>
              <w:right w:w="120" w:type="dxa"/>
            </w:tcMar>
          </w:tcPr>
          <w:p w14:paraId="58608A03" wp14:textId="77777777">
            <w:r>
              <w:rPr>
                <w:rFonts w:ascii="Times New Roman" w:hAnsi="Times New Roman" w:eastAsia="Times New Roman" w:cs="Times New Roman"/>
                <w:sz w:val="20"/>
                <w:szCs w:val="20"/>
              </w:rPr>
              <w:t xml:space="preserve">msigdbr</w:t>
            </w:r>
          </w:p>
        </w:tc>
        <w:tc>
          <w:tcPr>
            <w:tcW w:w="1560" w:type="dxa"/>
            <w:tcBorders>
              <w:top w:val="single" w:color="AAAAAA" w:sz="4"/>
              <w:left w:val="single" w:color="AAAAAA" w:sz="4"/>
              <w:bottom w:val="single" w:color="AAAAAA" w:sz="4"/>
              <w:right w:val="single" w:color="AAAAAA" w:sz="4"/>
            </w:tcBorders>
            <w:shd w:val="clear" w:fill="FFFFFF"/>
            <w:tcMar>
              <w:top w:w="80" w:type="dxa"/>
              <w:left w:w="120" w:type="dxa"/>
              <w:bottom w:w="80" w:type="dxa"/>
              <w:right w:w="120" w:type="dxa"/>
            </w:tcMar>
          </w:tcPr>
          <w:p w14:paraId="1ECE0164" wp14:textId="77777777">
            <w:r>
              <w:rPr>
                <w:rFonts w:ascii="Times New Roman" w:hAnsi="Times New Roman" w:eastAsia="Times New Roman" w:cs="Times New Roman"/>
                <w:sz w:val="20"/>
                <w:szCs w:val="20"/>
              </w:rPr>
              <w:t xml:space="preserve">7.5</w:t>
            </w:r>
          </w:p>
        </w:tc>
        <w:tc>
          <w:tcPr>
            <w:tcW w:w="4680" w:type="dxa"/>
            <w:tcBorders>
              <w:top w:val="single" w:color="AAAAAA" w:sz="4"/>
              <w:left w:val="single" w:color="AAAAAA" w:sz="4"/>
              <w:bottom w:val="single" w:color="AAAAAA" w:sz="4"/>
              <w:right w:val="single" w:color="AAAAAA" w:sz="4"/>
            </w:tcBorders>
            <w:shd w:val="clear" w:fill="FFFFFF"/>
            <w:tcMar>
              <w:top w:w="80" w:type="dxa"/>
              <w:left w:w="120" w:type="dxa"/>
              <w:bottom w:w="80" w:type="dxa"/>
              <w:right w:w="120" w:type="dxa"/>
            </w:tcMar>
          </w:tcPr>
          <w:p w14:paraId="524CD7C3" wp14:textId="77777777">
            <w:r>
              <w:rPr>
                <w:rFonts w:ascii="Times New Roman" w:hAnsi="Times New Roman" w:eastAsia="Times New Roman" w:cs="Times New Roman"/>
                <w:sz w:val="20"/>
                <w:szCs w:val="20"/>
              </w:rPr>
              <w:t xml:space="preserve">Dolgalev, 2022 (CRAN)</w:t>
            </w:r>
          </w:p>
        </w:tc>
      </w:tr>
      <w:tr xmlns:wp14="http://schemas.microsoft.com/office/word/2010/wordml" w14:paraId="7E0AE832" wp14:textId="77777777">
        <w:trPr>
          <w:tblHeader w:val="false"/>
        </w:trPr>
        <w:tc>
          <w:tcPr>
            <w:tcW w:w="3120" w:type="dxa"/>
            <w:tcBorders>
              <w:top w:val="single" w:color="AAAAAA" w:sz="4"/>
              <w:left w:val="single" w:color="AAAAAA" w:sz="4"/>
              <w:bottom w:val="single" w:color="AAAAAA" w:sz="4"/>
              <w:right w:val="single" w:color="AAAAAA" w:sz="4"/>
            </w:tcBorders>
            <w:shd w:val="clear" w:fill="FFFFFF"/>
            <w:tcMar>
              <w:top w:w="80" w:type="dxa"/>
              <w:left w:w="120" w:type="dxa"/>
              <w:bottom w:w="80" w:type="dxa"/>
              <w:right w:w="120" w:type="dxa"/>
            </w:tcMar>
          </w:tcPr>
          <w:p w14:paraId="2EF94D4D" wp14:textId="77777777">
            <w:r>
              <w:rPr>
                <w:rFonts w:ascii="Times New Roman" w:hAnsi="Times New Roman" w:eastAsia="Times New Roman" w:cs="Times New Roman"/>
                <w:sz w:val="20"/>
                <w:szCs w:val="20"/>
              </w:rPr>
              <w:t xml:space="preserve">org.Hs.eg.db</w:t>
            </w:r>
          </w:p>
        </w:tc>
        <w:tc>
          <w:tcPr>
            <w:tcW w:w="1560" w:type="dxa"/>
            <w:tcBorders>
              <w:top w:val="single" w:color="AAAAAA" w:sz="4"/>
              <w:left w:val="single" w:color="AAAAAA" w:sz="4"/>
              <w:bottom w:val="single" w:color="AAAAAA" w:sz="4"/>
              <w:right w:val="single" w:color="AAAAAA" w:sz="4"/>
            </w:tcBorders>
            <w:shd w:val="clear" w:fill="FFFFFF"/>
            <w:tcMar>
              <w:top w:w="80" w:type="dxa"/>
              <w:left w:w="120" w:type="dxa"/>
              <w:bottom w:w="80" w:type="dxa"/>
              <w:right w:w="120" w:type="dxa"/>
            </w:tcMar>
          </w:tcPr>
          <w:p w14:paraId="54EF4CDA" wp14:textId="77777777">
            <w:r>
              <w:rPr>
                <w:rFonts w:ascii="Times New Roman" w:hAnsi="Times New Roman" w:eastAsia="Times New Roman" w:cs="Times New Roman"/>
                <w:sz w:val="20"/>
                <w:szCs w:val="20"/>
              </w:rPr>
              <w:t xml:space="preserve">3.18</w:t>
            </w:r>
          </w:p>
        </w:tc>
        <w:tc>
          <w:tcPr>
            <w:tcW w:w="4680" w:type="dxa"/>
            <w:tcBorders>
              <w:top w:val="single" w:color="AAAAAA" w:sz="4"/>
              <w:left w:val="single" w:color="AAAAAA" w:sz="4"/>
              <w:bottom w:val="single" w:color="AAAAAA" w:sz="4"/>
              <w:right w:val="single" w:color="AAAAAA" w:sz="4"/>
            </w:tcBorders>
            <w:shd w:val="clear" w:fill="FFFFFF"/>
            <w:tcMar>
              <w:top w:w="80" w:type="dxa"/>
              <w:left w:w="120" w:type="dxa"/>
              <w:bottom w:w="80" w:type="dxa"/>
              <w:right w:w="120" w:type="dxa"/>
            </w:tcMar>
          </w:tcPr>
          <w:p w14:paraId="39DC4248" wp14:textId="77777777">
            <w:r>
              <w:rPr>
                <w:rFonts w:ascii="Times New Roman" w:hAnsi="Times New Roman" w:eastAsia="Times New Roman" w:cs="Times New Roman"/>
                <w:sz w:val="20"/>
                <w:szCs w:val="20"/>
              </w:rPr>
              <w:t xml:space="preserve">Carlson, Bioconductor</w:t>
            </w:r>
          </w:p>
        </w:tc>
      </w:tr>
      <w:tr xmlns:wp14="http://schemas.microsoft.com/office/word/2010/wordml" w14:paraId="3B85B966" wp14:textId="77777777">
        <w:trPr>
          <w:tblHeader w:val="false"/>
        </w:trPr>
        <w:tc>
          <w:tcPr>
            <w:tcW w:w="3120" w:type="dxa"/>
            <w:tcBorders>
              <w:top w:val="single" w:color="AAAAAA" w:sz="4"/>
              <w:left w:val="single" w:color="AAAAAA" w:sz="4"/>
              <w:bottom w:val="single" w:color="AAAAAA" w:sz="4"/>
              <w:right w:val="single" w:color="AAAAAA" w:sz="4"/>
            </w:tcBorders>
            <w:shd w:val="clear" w:fill="FFFFFF"/>
            <w:tcMar>
              <w:top w:w="80" w:type="dxa"/>
              <w:left w:w="120" w:type="dxa"/>
              <w:bottom w:w="80" w:type="dxa"/>
              <w:right w:w="120" w:type="dxa"/>
            </w:tcMar>
          </w:tcPr>
          <w:p w14:paraId="6FDA21FF" wp14:textId="77777777">
            <w:r>
              <w:rPr>
                <w:rFonts w:ascii="Times New Roman" w:hAnsi="Times New Roman" w:eastAsia="Times New Roman" w:cs="Times New Roman"/>
                <w:sz w:val="20"/>
                <w:szCs w:val="20"/>
              </w:rPr>
              <w:t xml:space="preserve">AnnotationDbi</w:t>
            </w:r>
          </w:p>
        </w:tc>
        <w:tc>
          <w:tcPr>
            <w:tcW w:w="1560" w:type="dxa"/>
            <w:tcBorders>
              <w:top w:val="single" w:color="AAAAAA" w:sz="4"/>
              <w:left w:val="single" w:color="AAAAAA" w:sz="4"/>
              <w:bottom w:val="single" w:color="AAAAAA" w:sz="4"/>
              <w:right w:val="single" w:color="AAAAAA" w:sz="4"/>
            </w:tcBorders>
            <w:shd w:val="clear" w:fill="FFFFFF"/>
            <w:tcMar>
              <w:top w:w="80" w:type="dxa"/>
              <w:left w:w="120" w:type="dxa"/>
              <w:bottom w:w="80" w:type="dxa"/>
              <w:right w:w="120" w:type="dxa"/>
            </w:tcMar>
          </w:tcPr>
          <w:p w14:paraId="0B8BE7A5" wp14:textId="77777777">
            <w:r>
              <w:rPr>
                <w:rFonts w:ascii="Times New Roman" w:hAnsi="Times New Roman" w:eastAsia="Times New Roman" w:cs="Times New Roman"/>
                <w:sz w:val="20"/>
                <w:szCs w:val="20"/>
              </w:rPr>
              <w:t xml:space="preserve">1.64</w:t>
            </w:r>
          </w:p>
        </w:tc>
        <w:tc>
          <w:tcPr>
            <w:tcW w:w="4680" w:type="dxa"/>
            <w:tcBorders>
              <w:top w:val="single" w:color="AAAAAA" w:sz="4"/>
              <w:left w:val="single" w:color="AAAAAA" w:sz="4"/>
              <w:bottom w:val="single" w:color="AAAAAA" w:sz="4"/>
              <w:right w:val="single" w:color="AAAAAA" w:sz="4"/>
            </w:tcBorders>
            <w:shd w:val="clear" w:fill="FFFFFF"/>
            <w:tcMar>
              <w:top w:w="80" w:type="dxa"/>
              <w:left w:w="120" w:type="dxa"/>
              <w:bottom w:w="80" w:type="dxa"/>
              <w:right w:w="120" w:type="dxa"/>
            </w:tcMar>
          </w:tcPr>
          <w:p w14:paraId="2103BE6F" wp14:textId="77777777">
            <w:r>
              <w:rPr>
                <w:rFonts w:ascii="Times New Roman" w:hAnsi="Times New Roman" w:eastAsia="Times New Roman" w:cs="Times New Roman"/>
                <w:sz w:val="20"/>
                <w:szCs w:val="20"/>
              </w:rPr>
              <w:t xml:space="preserve">Pagès et al., Bioconductor</w:t>
            </w:r>
          </w:p>
        </w:tc>
      </w:tr>
      <w:tr xmlns:wp14="http://schemas.microsoft.com/office/word/2010/wordml" w14:paraId="750F8329" wp14:textId="77777777">
        <w:trPr>
          <w:tblHeader w:val="false"/>
        </w:trPr>
        <w:tc>
          <w:tcPr>
            <w:tcW w:w="3120" w:type="dxa"/>
            <w:tcBorders>
              <w:top w:val="single" w:color="AAAAAA" w:sz="4"/>
              <w:left w:val="single" w:color="AAAAAA" w:sz="4"/>
              <w:bottom w:val="single" w:color="AAAAAA" w:sz="4"/>
              <w:right w:val="single" w:color="AAAAAA" w:sz="4"/>
            </w:tcBorders>
            <w:shd w:val="clear" w:fill="FFFFFF"/>
            <w:tcMar>
              <w:top w:w="80" w:type="dxa"/>
              <w:left w:w="120" w:type="dxa"/>
              <w:bottom w:w="80" w:type="dxa"/>
              <w:right w:w="120" w:type="dxa"/>
            </w:tcMar>
          </w:tcPr>
          <w:p w14:paraId="0FB4F371" wp14:textId="77777777">
            <w:r>
              <w:rPr>
                <w:rFonts w:ascii="Times New Roman" w:hAnsi="Times New Roman" w:eastAsia="Times New Roman" w:cs="Times New Roman"/>
                <w:sz w:val="20"/>
                <w:szCs w:val="20"/>
              </w:rPr>
              <w:t xml:space="preserve">EnhancedVolcano</w:t>
            </w:r>
          </w:p>
        </w:tc>
        <w:tc>
          <w:tcPr>
            <w:tcW w:w="1560" w:type="dxa"/>
            <w:tcBorders>
              <w:top w:val="single" w:color="AAAAAA" w:sz="4"/>
              <w:left w:val="single" w:color="AAAAAA" w:sz="4"/>
              <w:bottom w:val="single" w:color="AAAAAA" w:sz="4"/>
              <w:right w:val="single" w:color="AAAAAA" w:sz="4"/>
            </w:tcBorders>
            <w:shd w:val="clear" w:fill="FFFFFF"/>
            <w:tcMar>
              <w:top w:w="80" w:type="dxa"/>
              <w:left w:w="120" w:type="dxa"/>
              <w:bottom w:w="80" w:type="dxa"/>
              <w:right w:w="120" w:type="dxa"/>
            </w:tcMar>
          </w:tcPr>
          <w:p w14:paraId="2FA3137C" wp14:textId="77777777">
            <w:r>
              <w:rPr>
                <w:rFonts w:ascii="Times New Roman" w:hAnsi="Times New Roman" w:eastAsia="Times New Roman" w:cs="Times New Roman"/>
                <w:sz w:val="20"/>
                <w:szCs w:val="20"/>
              </w:rPr>
              <w:t xml:space="preserve">1.20</w:t>
            </w:r>
          </w:p>
        </w:tc>
        <w:tc>
          <w:tcPr>
            <w:tcW w:w="4680" w:type="dxa"/>
            <w:tcBorders>
              <w:top w:val="single" w:color="AAAAAA" w:sz="4"/>
              <w:left w:val="single" w:color="AAAAAA" w:sz="4"/>
              <w:bottom w:val="single" w:color="AAAAAA" w:sz="4"/>
              <w:right w:val="single" w:color="AAAAAA" w:sz="4"/>
            </w:tcBorders>
            <w:shd w:val="clear" w:fill="FFFFFF"/>
            <w:tcMar>
              <w:top w:w="80" w:type="dxa"/>
              <w:left w:w="120" w:type="dxa"/>
              <w:bottom w:w="80" w:type="dxa"/>
              <w:right w:w="120" w:type="dxa"/>
            </w:tcMar>
          </w:tcPr>
          <w:p w14:paraId="5FF87A4A" wp14:textId="77777777">
            <w:r>
              <w:rPr>
                <w:rFonts w:ascii="Times New Roman" w:hAnsi="Times New Roman" w:eastAsia="Times New Roman" w:cs="Times New Roman"/>
                <w:sz w:val="20"/>
                <w:szCs w:val="20"/>
              </w:rPr>
              <w:t xml:space="preserve">Blighe et al., Bioconductor</w:t>
            </w:r>
          </w:p>
        </w:tc>
      </w:tr>
      <w:tr xmlns:wp14="http://schemas.microsoft.com/office/word/2010/wordml" w14:paraId="03A10E5B" wp14:textId="77777777">
        <w:trPr>
          <w:tblHeader w:val="false"/>
        </w:trPr>
        <w:tc>
          <w:tcPr>
            <w:tcW w:w="3120" w:type="dxa"/>
            <w:tcBorders>
              <w:top w:val="single" w:color="AAAAAA" w:sz="4"/>
              <w:left w:val="single" w:color="AAAAAA" w:sz="4"/>
              <w:bottom w:val="single" w:color="AAAAAA" w:sz="4"/>
              <w:right w:val="single" w:color="AAAAAA" w:sz="4"/>
            </w:tcBorders>
            <w:shd w:val="clear" w:fill="FFFFFF"/>
            <w:tcMar>
              <w:top w:w="80" w:type="dxa"/>
              <w:left w:w="120" w:type="dxa"/>
              <w:bottom w:w="80" w:type="dxa"/>
              <w:right w:w="120" w:type="dxa"/>
            </w:tcMar>
          </w:tcPr>
          <w:p w14:paraId="3EEA9975" wp14:textId="77777777">
            <w:r>
              <w:rPr>
                <w:rFonts w:ascii="Times New Roman" w:hAnsi="Times New Roman" w:eastAsia="Times New Roman" w:cs="Times New Roman"/>
                <w:sz w:val="20"/>
                <w:szCs w:val="20"/>
              </w:rPr>
              <w:t xml:space="preserve">pheatmap</w:t>
            </w:r>
          </w:p>
        </w:tc>
        <w:tc>
          <w:tcPr>
            <w:tcW w:w="1560" w:type="dxa"/>
            <w:tcBorders>
              <w:top w:val="single" w:color="AAAAAA" w:sz="4"/>
              <w:left w:val="single" w:color="AAAAAA" w:sz="4"/>
              <w:bottom w:val="single" w:color="AAAAAA" w:sz="4"/>
              <w:right w:val="single" w:color="AAAAAA" w:sz="4"/>
            </w:tcBorders>
            <w:shd w:val="clear" w:fill="FFFFFF"/>
            <w:tcMar>
              <w:top w:w="80" w:type="dxa"/>
              <w:left w:w="120" w:type="dxa"/>
              <w:bottom w:w="80" w:type="dxa"/>
              <w:right w:w="120" w:type="dxa"/>
            </w:tcMar>
          </w:tcPr>
          <w:p w14:paraId="50A25EB3" wp14:textId="77777777">
            <w:r>
              <w:rPr>
                <w:rFonts w:ascii="Times New Roman" w:hAnsi="Times New Roman" w:eastAsia="Times New Roman" w:cs="Times New Roman"/>
                <w:sz w:val="20"/>
                <w:szCs w:val="20"/>
              </w:rPr>
              <w:t xml:space="preserve">1.0.12</w:t>
            </w:r>
          </w:p>
        </w:tc>
        <w:tc>
          <w:tcPr>
            <w:tcW w:w="4680" w:type="dxa"/>
            <w:tcBorders>
              <w:top w:val="single" w:color="AAAAAA" w:sz="4"/>
              <w:left w:val="single" w:color="AAAAAA" w:sz="4"/>
              <w:bottom w:val="single" w:color="AAAAAA" w:sz="4"/>
              <w:right w:val="single" w:color="AAAAAA" w:sz="4"/>
            </w:tcBorders>
            <w:shd w:val="clear" w:fill="FFFFFF"/>
            <w:tcMar>
              <w:top w:w="80" w:type="dxa"/>
              <w:left w:w="120" w:type="dxa"/>
              <w:bottom w:w="80" w:type="dxa"/>
              <w:right w:w="120" w:type="dxa"/>
            </w:tcMar>
          </w:tcPr>
          <w:p w14:paraId="4A6D022B" wp14:textId="77777777">
            <w:r>
              <w:rPr>
                <w:rFonts w:ascii="Times New Roman" w:hAnsi="Times New Roman" w:eastAsia="Times New Roman" w:cs="Times New Roman"/>
                <w:sz w:val="20"/>
                <w:szCs w:val="20"/>
              </w:rPr>
              <w:t xml:space="preserve">Kolde, CRAN</w:t>
            </w:r>
          </w:p>
        </w:tc>
      </w:tr>
      <w:tr xmlns:wp14="http://schemas.microsoft.com/office/word/2010/wordml" w14:paraId="5B145F52" wp14:textId="77777777">
        <w:trPr>
          <w:tblHeader w:val="false"/>
        </w:trPr>
        <w:tc>
          <w:tcPr>
            <w:tcW w:w="3120" w:type="dxa"/>
            <w:tcBorders>
              <w:top w:val="single" w:color="AAAAAA" w:sz="4"/>
              <w:left w:val="single" w:color="AAAAAA" w:sz="4"/>
              <w:bottom w:val="single" w:color="AAAAAA" w:sz="4"/>
              <w:right w:val="single" w:color="AAAAAA" w:sz="4"/>
            </w:tcBorders>
            <w:shd w:val="clear" w:fill="FFFFFF"/>
            <w:tcMar>
              <w:top w:w="80" w:type="dxa"/>
              <w:left w:w="120" w:type="dxa"/>
              <w:bottom w:w="80" w:type="dxa"/>
              <w:right w:w="120" w:type="dxa"/>
            </w:tcMar>
          </w:tcPr>
          <w:p w14:paraId="19A01507" wp14:textId="77777777">
            <w:r>
              <w:rPr>
                <w:rFonts w:ascii="Times New Roman" w:hAnsi="Times New Roman" w:eastAsia="Times New Roman" w:cs="Times New Roman"/>
                <w:sz w:val="20"/>
                <w:szCs w:val="20"/>
              </w:rPr>
              <w:t xml:space="preserve">ggplot2</w:t>
            </w:r>
          </w:p>
        </w:tc>
        <w:tc>
          <w:tcPr>
            <w:tcW w:w="1560" w:type="dxa"/>
            <w:tcBorders>
              <w:top w:val="single" w:color="AAAAAA" w:sz="4"/>
              <w:left w:val="single" w:color="AAAAAA" w:sz="4"/>
              <w:bottom w:val="single" w:color="AAAAAA" w:sz="4"/>
              <w:right w:val="single" w:color="AAAAAA" w:sz="4"/>
            </w:tcBorders>
            <w:shd w:val="clear" w:fill="FFFFFF"/>
            <w:tcMar>
              <w:top w:w="80" w:type="dxa"/>
              <w:left w:w="120" w:type="dxa"/>
              <w:bottom w:w="80" w:type="dxa"/>
              <w:right w:w="120" w:type="dxa"/>
            </w:tcMar>
          </w:tcPr>
          <w:p w14:paraId="1E01AE08" wp14:textId="77777777">
            <w:r>
              <w:rPr>
                <w:rFonts w:ascii="Times New Roman" w:hAnsi="Times New Roman" w:eastAsia="Times New Roman" w:cs="Times New Roman"/>
                <w:sz w:val="20"/>
                <w:szCs w:val="20"/>
              </w:rPr>
              <w:t xml:space="preserve">3.5</w:t>
            </w:r>
          </w:p>
        </w:tc>
        <w:tc>
          <w:tcPr>
            <w:tcW w:w="4680" w:type="dxa"/>
            <w:tcBorders>
              <w:top w:val="single" w:color="AAAAAA" w:sz="4"/>
              <w:left w:val="single" w:color="AAAAAA" w:sz="4"/>
              <w:bottom w:val="single" w:color="AAAAAA" w:sz="4"/>
              <w:right w:val="single" w:color="AAAAAA" w:sz="4"/>
            </w:tcBorders>
            <w:shd w:val="clear" w:fill="FFFFFF"/>
            <w:tcMar>
              <w:top w:w="80" w:type="dxa"/>
              <w:left w:w="120" w:type="dxa"/>
              <w:bottom w:w="80" w:type="dxa"/>
              <w:right w:w="120" w:type="dxa"/>
            </w:tcMar>
          </w:tcPr>
          <w:p w14:paraId="22E7694C" wp14:textId="77777777">
            <w:r>
              <w:rPr>
                <w:rFonts w:ascii="Times New Roman" w:hAnsi="Times New Roman" w:eastAsia="Times New Roman" w:cs="Times New Roman"/>
                <w:sz w:val="20"/>
                <w:szCs w:val="20"/>
              </w:rPr>
              <w:t xml:space="preserve">Wickham, Springer, 2016</w:t>
            </w:r>
          </w:p>
        </w:tc>
      </w:tr>
      <w:tr xmlns:wp14="http://schemas.microsoft.com/office/word/2010/wordml" w14:paraId="4CEB5864" wp14:textId="77777777">
        <w:trPr>
          <w:tblHeader w:val="false"/>
        </w:trPr>
        <w:tc>
          <w:tcPr>
            <w:tcW w:w="3120" w:type="dxa"/>
            <w:tcBorders>
              <w:top w:val="single" w:color="AAAAAA" w:sz="4"/>
              <w:left w:val="single" w:color="AAAAAA" w:sz="4"/>
              <w:bottom w:val="single" w:color="AAAAAA" w:sz="4"/>
              <w:right w:val="single" w:color="AAAAAA" w:sz="4"/>
            </w:tcBorders>
            <w:shd w:val="clear" w:fill="FFFFFF"/>
            <w:tcMar>
              <w:top w:w="80" w:type="dxa"/>
              <w:left w:w="120" w:type="dxa"/>
              <w:bottom w:w="80" w:type="dxa"/>
              <w:right w:w="120" w:type="dxa"/>
            </w:tcMar>
          </w:tcPr>
          <w:p w14:paraId="0E8223B8" wp14:textId="77777777">
            <w:r>
              <w:rPr>
                <w:rFonts w:ascii="Times New Roman" w:hAnsi="Times New Roman" w:eastAsia="Times New Roman" w:cs="Times New Roman"/>
                <w:sz w:val="20"/>
                <w:szCs w:val="20"/>
              </w:rPr>
              <w:t xml:space="preserve">ggVennDiagram</w:t>
            </w:r>
          </w:p>
        </w:tc>
        <w:tc>
          <w:tcPr>
            <w:tcW w:w="1560" w:type="dxa"/>
            <w:tcBorders>
              <w:top w:val="single" w:color="AAAAAA" w:sz="4"/>
              <w:left w:val="single" w:color="AAAAAA" w:sz="4"/>
              <w:bottom w:val="single" w:color="AAAAAA" w:sz="4"/>
              <w:right w:val="single" w:color="AAAAAA" w:sz="4"/>
            </w:tcBorders>
            <w:shd w:val="clear" w:fill="FFFFFF"/>
            <w:tcMar>
              <w:top w:w="80" w:type="dxa"/>
              <w:left w:w="120" w:type="dxa"/>
              <w:bottom w:w="80" w:type="dxa"/>
              <w:right w:w="120" w:type="dxa"/>
            </w:tcMar>
          </w:tcPr>
          <w:p w14:paraId="6C964F70" wp14:textId="77777777">
            <w:r>
              <w:rPr>
                <w:rFonts w:ascii="Times New Roman" w:hAnsi="Times New Roman" w:eastAsia="Times New Roman" w:cs="Times New Roman"/>
                <w:sz w:val="20"/>
                <w:szCs w:val="20"/>
              </w:rPr>
              <w:t xml:space="preserve">1.5</w:t>
            </w:r>
          </w:p>
        </w:tc>
        <w:tc>
          <w:tcPr>
            <w:tcW w:w="4680" w:type="dxa"/>
            <w:tcBorders>
              <w:top w:val="single" w:color="AAAAAA" w:sz="4"/>
              <w:left w:val="single" w:color="AAAAAA" w:sz="4"/>
              <w:bottom w:val="single" w:color="AAAAAA" w:sz="4"/>
              <w:right w:val="single" w:color="AAAAAA" w:sz="4"/>
            </w:tcBorders>
            <w:shd w:val="clear" w:fill="FFFFFF"/>
            <w:tcMar>
              <w:top w:w="80" w:type="dxa"/>
              <w:left w:w="120" w:type="dxa"/>
              <w:bottom w:w="80" w:type="dxa"/>
              <w:right w:w="120" w:type="dxa"/>
            </w:tcMar>
          </w:tcPr>
          <w:p w14:paraId="1DB1DD8C" wp14:textId="77777777">
            <w:r>
              <w:rPr>
                <w:rFonts w:ascii="Times New Roman" w:hAnsi="Times New Roman" w:eastAsia="Times New Roman" w:cs="Times New Roman"/>
                <w:sz w:val="20"/>
                <w:szCs w:val="20"/>
              </w:rPr>
              <w:t xml:space="preserve">Gao et al., Frontiers, 2021</w:t>
            </w:r>
          </w:p>
        </w:tc>
      </w:tr>
      <w:tr xmlns:wp14="http://schemas.microsoft.com/office/word/2010/wordml" w14:paraId="64396842" wp14:textId="77777777">
        <w:trPr>
          <w:tblHeader w:val="false"/>
        </w:trPr>
        <w:tc>
          <w:tcPr>
            <w:tcW w:w="3120" w:type="dxa"/>
            <w:tcBorders>
              <w:top w:val="single" w:color="AAAAAA" w:sz="4"/>
              <w:left w:val="single" w:color="AAAAAA" w:sz="4"/>
              <w:bottom w:val="single" w:color="AAAAAA" w:sz="4"/>
              <w:right w:val="single" w:color="AAAAAA" w:sz="4"/>
            </w:tcBorders>
            <w:shd w:val="clear" w:fill="FFFFFF"/>
            <w:tcMar>
              <w:top w:w="80" w:type="dxa"/>
              <w:left w:w="120" w:type="dxa"/>
              <w:bottom w:w="80" w:type="dxa"/>
              <w:right w:w="120" w:type="dxa"/>
            </w:tcMar>
          </w:tcPr>
          <w:p w14:paraId="11942675" wp14:textId="77777777">
            <w:r>
              <w:rPr>
                <w:rFonts w:ascii="Times New Roman" w:hAnsi="Times New Roman" w:eastAsia="Times New Roman" w:cs="Times New Roman"/>
                <w:sz w:val="20"/>
                <w:szCs w:val="20"/>
              </w:rPr>
              <w:t xml:space="preserve">patchwork</w:t>
            </w:r>
          </w:p>
        </w:tc>
        <w:tc>
          <w:tcPr>
            <w:tcW w:w="1560" w:type="dxa"/>
            <w:tcBorders>
              <w:top w:val="single" w:color="AAAAAA" w:sz="4"/>
              <w:left w:val="single" w:color="AAAAAA" w:sz="4"/>
              <w:bottom w:val="single" w:color="AAAAAA" w:sz="4"/>
              <w:right w:val="single" w:color="AAAAAA" w:sz="4"/>
            </w:tcBorders>
            <w:shd w:val="clear" w:fill="FFFFFF"/>
            <w:tcMar>
              <w:top w:w="80" w:type="dxa"/>
              <w:left w:w="120" w:type="dxa"/>
              <w:bottom w:w="80" w:type="dxa"/>
              <w:right w:w="120" w:type="dxa"/>
            </w:tcMar>
          </w:tcPr>
          <w:p w14:paraId="39D7D509" wp14:textId="77777777">
            <w:r>
              <w:rPr>
                <w:rFonts w:ascii="Times New Roman" w:hAnsi="Times New Roman" w:eastAsia="Times New Roman" w:cs="Times New Roman"/>
                <w:sz w:val="20"/>
                <w:szCs w:val="20"/>
              </w:rPr>
              <w:t xml:space="preserve">1.2</w:t>
            </w:r>
          </w:p>
        </w:tc>
        <w:tc>
          <w:tcPr>
            <w:tcW w:w="4680" w:type="dxa"/>
            <w:tcBorders>
              <w:top w:val="single" w:color="AAAAAA" w:sz="4"/>
              <w:left w:val="single" w:color="AAAAAA" w:sz="4"/>
              <w:bottom w:val="single" w:color="AAAAAA" w:sz="4"/>
              <w:right w:val="single" w:color="AAAAAA" w:sz="4"/>
            </w:tcBorders>
            <w:shd w:val="clear" w:fill="FFFFFF"/>
            <w:tcMar>
              <w:top w:w="80" w:type="dxa"/>
              <w:left w:w="120" w:type="dxa"/>
              <w:bottom w:w="80" w:type="dxa"/>
              <w:right w:w="120" w:type="dxa"/>
            </w:tcMar>
          </w:tcPr>
          <w:p w14:paraId="05A5FD03" wp14:textId="77777777">
            <w:r>
              <w:rPr>
                <w:rFonts w:ascii="Times New Roman" w:hAnsi="Times New Roman" w:eastAsia="Times New Roman" w:cs="Times New Roman"/>
                <w:sz w:val="20"/>
                <w:szCs w:val="20"/>
              </w:rPr>
              <w:t xml:space="preserve">Pedersen, CRAN</w:t>
            </w:r>
          </w:p>
        </w:tc>
      </w:tr>
      <w:tr xmlns:wp14="http://schemas.microsoft.com/office/word/2010/wordml" w14:paraId="3430814A" wp14:textId="77777777">
        <w:trPr>
          <w:tblHeader w:val="false"/>
        </w:trPr>
        <w:tc>
          <w:tcPr>
            <w:tcW w:w="3120" w:type="dxa"/>
            <w:tcBorders>
              <w:top w:val="single" w:color="AAAAAA" w:sz="4"/>
              <w:left w:val="single" w:color="AAAAAA" w:sz="4"/>
              <w:bottom w:val="single" w:color="AAAAAA" w:sz="4"/>
              <w:right w:val="single" w:color="AAAAAA" w:sz="4"/>
            </w:tcBorders>
            <w:shd w:val="clear" w:fill="FFFFFF"/>
            <w:tcMar>
              <w:top w:w="80" w:type="dxa"/>
              <w:left w:w="120" w:type="dxa"/>
              <w:bottom w:w="80" w:type="dxa"/>
              <w:right w:w="120" w:type="dxa"/>
            </w:tcMar>
          </w:tcPr>
          <w:p w14:paraId="453640AC" wp14:textId="77777777">
            <w:r>
              <w:rPr>
                <w:rFonts w:ascii="Times New Roman" w:hAnsi="Times New Roman" w:eastAsia="Times New Roman" w:cs="Times New Roman"/>
                <w:sz w:val="20"/>
                <w:szCs w:val="20"/>
              </w:rPr>
              <w:t xml:space="preserve">openxlsx</w:t>
            </w:r>
          </w:p>
        </w:tc>
        <w:tc>
          <w:tcPr>
            <w:tcW w:w="1560" w:type="dxa"/>
            <w:tcBorders>
              <w:top w:val="single" w:color="AAAAAA" w:sz="4"/>
              <w:left w:val="single" w:color="AAAAAA" w:sz="4"/>
              <w:bottom w:val="single" w:color="AAAAAA" w:sz="4"/>
              <w:right w:val="single" w:color="AAAAAA" w:sz="4"/>
            </w:tcBorders>
            <w:shd w:val="clear" w:fill="FFFFFF"/>
            <w:tcMar>
              <w:top w:w="80" w:type="dxa"/>
              <w:left w:w="120" w:type="dxa"/>
              <w:bottom w:w="80" w:type="dxa"/>
              <w:right w:w="120" w:type="dxa"/>
            </w:tcMar>
          </w:tcPr>
          <w:p w14:paraId="67D112E1" wp14:textId="77777777">
            <w:r>
              <w:rPr>
                <w:rFonts w:ascii="Times New Roman" w:hAnsi="Times New Roman" w:eastAsia="Times New Roman" w:cs="Times New Roman"/>
                <w:sz w:val="20"/>
                <w:szCs w:val="20"/>
              </w:rPr>
              <w:t xml:space="preserve">4.2</w:t>
            </w:r>
          </w:p>
        </w:tc>
        <w:tc>
          <w:tcPr>
            <w:tcW w:w="4680" w:type="dxa"/>
            <w:tcBorders>
              <w:top w:val="single" w:color="AAAAAA" w:sz="4"/>
              <w:left w:val="single" w:color="AAAAAA" w:sz="4"/>
              <w:bottom w:val="single" w:color="AAAAAA" w:sz="4"/>
              <w:right w:val="single" w:color="AAAAAA" w:sz="4"/>
            </w:tcBorders>
            <w:shd w:val="clear" w:fill="FFFFFF"/>
            <w:tcMar>
              <w:top w:w="80" w:type="dxa"/>
              <w:left w:w="120" w:type="dxa"/>
              <w:bottom w:w="80" w:type="dxa"/>
              <w:right w:w="120" w:type="dxa"/>
            </w:tcMar>
          </w:tcPr>
          <w:p w14:paraId="16F83FEB" wp14:textId="77777777">
            <w:r>
              <w:rPr>
                <w:rFonts w:ascii="Times New Roman" w:hAnsi="Times New Roman" w:eastAsia="Times New Roman" w:cs="Times New Roman"/>
                <w:sz w:val="20"/>
                <w:szCs w:val="20"/>
              </w:rPr>
              <w:t xml:space="preserve">Schauberger &amp; Walker, CRAN</w:t>
            </w:r>
          </w:p>
        </w:tc>
      </w:tr>
      <w:tr xmlns:wp14="http://schemas.microsoft.com/office/word/2010/wordml" w14:paraId="25DE090A" wp14:textId="77777777">
        <w:trPr>
          <w:tblHeader w:val="false"/>
        </w:trPr>
        <w:tc>
          <w:tcPr>
            <w:tcW w:w="3120" w:type="dxa"/>
            <w:tcBorders>
              <w:top w:val="single" w:color="AAAAAA" w:sz="4"/>
              <w:left w:val="single" w:color="AAAAAA" w:sz="4"/>
              <w:bottom w:val="single" w:color="AAAAAA" w:sz="4"/>
              <w:right w:val="single" w:color="AAAAAA" w:sz="4"/>
            </w:tcBorders>
            <w:shd w:val="clear" w:fill="FFFFFF"/>
            <w:tcMar>
              <w:top w:w="80" w:type="dxa"/>
              <w:left w:w="120" w:type="dxa"/>
              <w:bottom w:w="80" w:type="dxa"/>
              <w:right w:w="120" w:type="dxa"/>
            </w:tcMar>
          </w:tcPr>
          <w:p w14:paraId="7C8EA6C2" wp14:textId="77777777">
            <w:r>
              <w:rPr>
                <w:rFonts w:ascii="Times New Roman" w:hAnsi="Times New Roman" w:eastAsia="Times New Roman" w:cs="Times New Roman"/>
                <w:sz w:val="20"/>
                <w:szCs w:val="20"/>
              </w:rPr>
              <w:t xml:space="preserve">Salmon</w:t>
            </w:r>
          </w:p>
        </w:tc>
        <w:tc>
          <w:tcPr>
            <w:tcW w:w="1560" w:type="dxa"/>
            <w:tcBorders>
              <w:top w:val="single" w:color="AAAAAA" w:sz="4"/>
              <w:left w:val="single" w:color="AAAAAA" w:sz="4"/>
              <w:bottom w:val="single" w:color="AAAAAA" w:sz="4"/>
              <w:right w:val="single" w:color="AAAAAA" w:sz="4"/>
            </w:tcBorders>
            <w:shd w:val="clear" w:fill="FFFFFF"/>
            <w:tcMar>
              <w:top w:w="80" w:type="dxa"/>
              <w:left w:w="120" w:type="dxa"/>
              <w:bottom w:w="80" w:type="dxa"/>
              <w:right w:w="120" w:type="dxa"/>
            </w:tcMar>
          </w:tcPr>
          <w:p w14:paraId="39C1107F" wp14:textId="77777777">
            <w:r>
              <w:rPr>
                <w:rFonts w:ascii="Times New Roman" w:hAnsi="Times New Roman" w:eastAsia="Times New Roman" w:cs="Times New Roman"/>
                <w:sz w:val="20"/>
                <w:szCs w:val="20"/>
              </w:rPr>
              <w:t xml:space="preserve">1.10</w:t>
            </w:r>
          </w:p>
        </w:tc>
        <w:tc>
          <w:tcPr>
            <w:tcW w:w="4680" w:type="dxa"/>
            <w:tcBorders>
              <w:top w:val="single" w:color="AAAAAA" w:sz="4"/>
              <w:left w:val="single" w:color="AAAAAA" w:sz="4"/>
              <w:bottom w:val="single" w:color="AAAAAA" w:sz="4"/>
              <w:right w:val="single" w:color="AAAAAA" w:sz="4"/>
            </w:tcBorders>
            <w:shd w:val="clear" w:fill="FFFFFF"/>
            <w:tcMar>
              <w:top w:w="80" w:type="dxa"/>
              <w:left w:w="120" w:type="dxa"/>
              <w:bottom w:w="80" w:type="dxa"/>
              <w:right w:w="120" w:type="dxa"/>
            </w:tcMar>
          </w:tcPr>
          <w:p w14:paraId="5982C679" wp14:textId="77777777">
            <w:r>
              <w:rPr>
                <w:rFonts w:ascii="Times New Roman" w:hAnsi="Times New Roman" w:eastAsia="Times New Roman" w:cs="Times New Roman"/>
                <w:sz w:val="20"/>
                <w:szCs w:val="20"/>
              </w:rPr>
              <w:t xml:space="preserve">Patro et al., Nature Methods, 2017</w:t>
            </w:r>
          </w:p>
        </w:tc>
      </w:tr>
    </w:tbl>
    <w:p xmlns:wp14="http://schemas.microsoft.com/office/word/2010/wordml" w14:paraId="6A05A809" wp14:textId="77777777">
      <w:pPr>
        <w:spacing w:before="0" w:after="240"/>
      </w:pPr>
    </w:p>
    <w:p xmlns:wp14="http://schemas.microsoft.com/office/word/2010/wordml" w14:paraId="071E4E01" wp14:textId="77777777">
      <w:pPr>
        <w:pStyle w:val="Heading1"/>
        <w:spacing w:before="360" w:after="120"/>
      </w:pPr>
      <w:r>
        <w:rPr>
          <w:rFonts w:ascii="Times New Roman" w:hAnsi="Times New Roman" w:eastAsia="Times New Roman" w:cs="Times New Roman"/>
          <w:b/>
          <w:bCs/>
          <w:color w:val="1F3864"/>
          <w:sz w:val="28"/>
          <w:szCs w:val="28"/>
        </w:rPr>
        <w:t xml:space="preserve">References</w:t>
      </w:r>
    </w:p>
    <w:p xmlns:wp14="http://schemas.microsoft.com/office/word/2010/wordml" w14:paraId="2D0E2C78" wp14:textId="77777777">
      <w:pPr>
        <w:spacing w:before="40" w:after="40"/>
        <w:ind w:left="720" w:hanging="720"/>
        <w:jc w:val="both"/>
      </w:pPr>
      <w:r>
        <w:rPr>
          <w:rFonts w:ascii="Times New Roman" w:hAnsi="Times New Roman" w:eastAsia="Times New Roman" w:cs="Times New Roman"/>
          <w:sz w:val="20"/>
          <w:szCs w:val="20"/>
        </w:rPr>
        <w:t xml:space="preserve">Blighe K, Rana S, Lewis M (2024). EnhancedVolcano: Clinical-grade volcano plots for large-scale experimental omics data. Bioconductor.</w:t>
      </w:r>
    </w:p>
    <w:p xmlns:wp14="http://schemas.microsoft.com/office/word/2010/wordml" w14:paraId="4CCF8054" wp14:textId="77777777">
      <w:pPr>
        <w:spacing w:before="40" w:after="40"/>
        <w:ind w:left="720" w:hanging="720"/>
        <w:jc w:val="both"/>
      </w:pPr>
      <w:r>
        <w:rPr>
          <w:rFonts w:ascii="Times New Roman" w:hAnsi="Times New Roman" w:eastAsia="Times New Roman" w:cs="Times New Roman"/>
          <w:sz w:val="20"/>
          <w:szCs w:val="20"/>
        </w:rPr>
        <w:t xml:space="preserve">Carlson M (2023). org.Hs.eg.db: Genome wide annotation for Human. Bioconductor.</w:t>
      </w:r>
    </w:p>
    <w:p xmlns:wp14="http://schemas.microsoft.com/office/word/2010/wordml" w14:paraId="02328D04" wp14:textId="77777777">
      <w:pPr>
        <w:spacing w:before="40" w:after="40"/>
        <w:ind w:left="720" w:hanging="720"/>
        <w:jc w:val="both"/>
      </w:pPr>
      <w:r>
        <w:rPr>
          <w:rFonts w:ascii="Times New Roman" w:hAnsi="Times New Roman" w:eastAsia="Times New Roman" w:cs="Times New Roman"/>
          <w:sz w:val="20"/>
          <w:szCs w:val="20"/>
        </w:rPr>
        <w:t xml:space="preserve">Dolgalev I (2022). msigdbr: MSigDB Gene Sets for Multiple Organisms in a Tidy Data Format. R package v7.5.</w:t>
      </w:r>
    </w:p>
    <w:p xmlns:wp14="http://schemas.microsoft.com/office/word/2010/wordml" w14:paraId="44462A7B" wp14:textId="77777777">
      <w:pPr>
        <w:spacing w:before="40" w:after="40"/>
        <w:ind w:left="720" w:hanging="720"/>
        <w:jc w:val="both"/>
      </w:pPr>
      <w:r>
        <w:rPr>
          <w:rFonts w:ascii="Times New Roman" w:hAnsi="Times New Roman" w:eastAsia="Times New Roman" w:cs="Times New Roman"/>
          <w:sz w:val="20"/>
          <w:szCs w:val="20"/>
        </w:rPr>
        <w:t xml:space="preserve">Gao CH et al. (2021). ggVennDiagram: An intuitive, easy-to-use, and highly customizable R package to generate Venn diagrams. Frontiers in Genetics, 12, 706907.</w:t>
      </w:r>
    </w:p>
    <w:p xmlns:wp14="http://schemas.microsoft.com/office/word/2010/wordml" w14:paraId="0596D75C" wp14:textId="77777777">
      <w:pPr>
        <w:spacing w:before="40" w:after="40"/>
        <w:ind w:left="720" w:hanging="720"/>
        <w:jc w:val="both"/>
      </w:pPr>
      <w:r>
        <w:rPr>
          <w:rFonts w:ascii="Times New Roman" w:hAnsi="Times New Roman" w:eastAsia="Times New Roman" w:cs="Times New Roman"/>
          <w:sz w:val="20"/>
          <w:szCs w:val="20"/>
        </w:rPr>
        <w:t xml:space="preserve">Kolde R (2019). pheatmap: Pretty Heatmaps. R package v1.0.12.</w:t>
      </w:r>
    </w:p>
    <w:p xmlns:wp14="http://schemas.microsoft.com/office/word/2010/wordml" w14:paraId="58B5D2C2" wp14:textId="77777777">
      <w:pPr>
        <w:spacing w:before="40" w:after="40"/>
        <w:ind w:left="720" w:hanging="720"/>
        <w:jc w:val="both"/>
      </w:pPr>
      <w:r>
        <w:rPr>
          <w:rFonts w:ascii="Times New Roman" w:hAnsi="Times New Roman" w:eastAsia="Times New Roman" w:cs="Times New Roman"/>
          <w:sz w:val="20"/>
          <w:szCs w:val="20"/>
        </w:rPr>
        <w:t xml:space="preserve">Korotkevich G et al. (2021). Fast gene set enrichment analysis. bioRxiv. doi:10.1101/060012.</w:t>
      </w:r>
    </w:p>
    <w:p xmlns:wp14="http://schemas.microsoft.com/office/word/2010/wordml" w14:paraId="1B6F27C7" wp14:textId="77777777">
      <w:pPr>
        <w:spacing w:before="40" w:after="40"/>
        <w:ind w:left="720" w:hanging="720"/>
        <w:jc w:val="both"/>
      </w:pPr>
      <w:r>
        <w:rPr>
          <w:rFonts w:ascii="Times New Roman" w:hAnsi="Times New Roman" w:eastAsia="Times New Roman" w:cs="Times New Roman"/>
          <w:sz w:val="20"/>
          <w:szCs w:val="20"/>
        </w:rPr>
        <w:t xml:space="preserve">Love MI, Huber W, Anders S (2014). Moderated estimation of fold change and dispersion for RNA-seq data with DESeq2. Genome Biology, 15, 550.</w:t>
      </w:r>
    </w:p>
    <w:p xmlns:wp14="http://schemas.microsoft.com/office/word/2010/wordml" w14:paraId="3BD6131C" wp14:textId="77777777">
      <w:pPr>
        <w:spacing w:before="40" w:after="40"/>
        <w:ind w:left="720" w:hanging="720"/>
        <w:jc w:val="both"/>
      </w:pPr>
      <w:r>
        <w:rPr>
          <w:rFonts w:ascii="Times New Roman" w:hAnsi="Times New Roman" w:eastAsia="Times New Roman" w:cs="Times New Roman"/>
          <w:sz w:val="20"/>
          <w:szCs w:val="20"/>
        </w:rPr>
        <w:t xml:space="preserve">Pagès H et al. (2023). AnnotationDbi: Manipulation of SQLite-based annotations in Bioconductor. Bioconductor.</w:t>
      </w:r>
    </w:p>
    <w:p xmlns:wp14="http://schemas.microsoft.com/office/word/2010/wordml" w14:paraId="33BF8848" wp14:textId="77777777">
      <w:pPr>
        <w:spacing w:before="40" w:after="40"/>
        <w:ind w:left="720" w:hanging="720"/>
        <w:jc w:val="both"/>
      </w:pPr>
      <w:r>
        <w:rPr>
          <w:rFonts w:ascii="Times New Roman" w:hAnsi="Times New Roman" w:eastAsia="Times New Roman" w:cs="Times New Roman"/>
          <w:sz w:val="20"/>
          <w:szCs w:val="20"/>
        </w:rPr>
        <w:t xml:space="preserve">Patro R, Duggal G, Love MI, Irizarry RA, Kingsford C (2017). Salmon provides fast and bias-aware quantification of transcript expression. Nature Methods, 14, 417–419.</w:t>
      </w:r>
    </w:p>
    <w:p xmlns:wp14="http://schemas.microsoft.com/office/word/2010/wordml" w14:paraId="6AA38F0A" wp14:textId="77777777">
      <w:pPr>
        <w:spacing w:before="40" w:after="40"/>
        <w:ind w:left="720" w:hanging="720"/>
        <w:jc w:val="both"/>
      </w:pPr>
      <w:r>
        <w:rPr>
          <w:rFonts w:ascii="Times New Roman" w:hAnsi="Times New Roman" w:eastAsia="Times New Roman" w:cs="Times New Roman"/>
          <w:sz w:val="20"/>
          <w:szCs w:val="20"/>
        </w:rPr>
        <w:t xml:space="preserve">Pedersen TL (2024). patchwork: The Composer of Plots. R package v1.2.</w:t>
      </w:r>
    </w:p>
    <w:p xmlns:wp14="http://schemas.microsoft.com/office/word/2010/wordml" w14:paraId="03CC491E" wp14:textId="77777777">
      <w:pPr>
        <w:spacing w:before="40" w:after="40"/>
        <w:ind w:left="720" w:hanging="720"/>
        <w:jc w:val="both"/>
      </w:pPr>
      <w:r>
        <w:rPr>
          <w:rFonts w:ascii="Times New Roman" w:hAnsi="Times New Roman" w:eastAsia="Times New Roman" w:cs="Times New Roman"/>
          <w:sz w:val="20"/>
          <w:szCs w:val="20"/>
        </w:rPr>
        <w:t xml:space="preserve">Schauberger P, Walker A (2023). openxlsx: Read, Write and Edit xlsx Files. R package v4.2.</w:t>
      </w:r>
    </w:p>
    <w:p xmlns:wp14="http://schemas.microsoft.com/office/word/2010/wordml" w14:paraId="11D0BF12" wp14:textId="77777777">
      <w:pPr>
        <w:spacing w:before="40" w:after="40"/>
        <w:ind w:left="720" w:hanging="720"/>
        <w:jc w:val="both"/>
      </w:pPr>
      <w:r>
        <w:rPr>
          <w:rFonts w:ascii="Times New Roman" w:hAnsi="Times New Roman" w:eastAsia="Times New Roman" w:cs="Times New Roman"/>
          <w:sz w:val="20"/>
          <w:szCs w:val="20"/>
        </w:rPr>
        <w:t xml:space="preserve">Soneson C, Love MI, Robinson MD (2015). Differential analyses for RNA-seq: transcript-level estimates improve gene-level inferences. F1000Research, 4, 1521.</w:t>
      </w:r>
    </w:p>
    <w:p xmlns:wp14="http://schemas.microsoft.com/office/word/2010/wordml" w14:paraId="1FB64B8C" wp14:textId="77777777">
      <w:pPr>
        <w:spacing w:before="40" w:after="40"/>
        <w:ind w:left="720" w:hanging="720"/>
        <w:jc w:val="both"/>
      </w:pPr>
      <w:r>
        <w:rPr>
          <w:rFonts w:ascii="Times New Roman" w:hAnsi="Times New Roman" w:eastAsia="Times New Roman" w:cs="Times New Roman"/>
          <w:sz w:val="20"/>
          <w:szCs w:val="20"/>
        </w:rPr>
        <w:t xml:space="preserve">Stephens M (2017). False discovery rates: a new deal. Biostatistics, 18(2), 275–294.</w:t>
      </w:r>
    </w:p>
    <w:p xmlns:wp14="http://schemas.microsoft.com/office/word/2010/wordml" w14:paraId="1C2020F9" wp14:textId="77777777">
      <w:pPr>
        <w:spacing w:before="40" w:after="40"/>
        <w:ind w:left="720" w:hanging="720"/>
        <w:jc w:val="both"/>
      </w:pPr>
      <w:r>
        <w:rPr>
          <w:rFonts w:ascii="Times New Roman" w:hAnsi="Times New Roman" w:eastAsia="Times New Roman" w:cs="Times New Roman"/>
          <w:sz w:val="20"/>
          <w:szCs w:val="20"/>
        </w:rPr>
        <w:t xml:space="preserve">Wickham H (2016). ggplot2: Elegant Graphics for Data Analysis. Springer-Verlag New York.</w:t>
      </w:r>
    </w:p>
    <w:p xmlns:wp14="http://schemas.microsoft.com/office/word/2010/wordml" w14:paraId="7E8F1D45" wp14:textId="77777777">
      <w:pPr>
        <w:spacing w:before="40" w:after="40"/>
        <w:ind w:left="720" w:hanging="720"/>
        <w:jc w:val="both"/>
      </w:pPr>
      <w:r>
        <w:rPr>
          <w:rFonts w:ascii="Times New Roman" w:hAnsi="Times New Roman" w:eastAsia="Times New Roman" w:cs="Times New Roman"/>
          <w:sz w:val="20"/>
          <w:szCs w:val="20"/>
        </w:rPr>
        <w:t xml:space="preserve">Zhu A, Ibrahim JG, Love MI (2019). Heavy-tailed prior distributions for sequence count data: removing the noise and preserving large differences. Bioinformatics, 35(12), 2084–2092.</w:t>
      </w:r>
    </w:p>
    <w:sectPr>
      <w:headerReference w:type="default" r:id="rId7"/>
      <w:footerReference w:type="default" r:id="rId8"/>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00FDC5BB" wp14:textId="77777777">
    <w:pPr>
      <w:pBdr>
        <w:top w:val="single" w:color="1F3864" w:sz="6" w:space="1"/>
      </w:pBdr>
      <w:spacing w:before="120"/>
    </w:pPr>
    <w:r>
      <w:rPr>
        <w:rFonts w:ascii="Times New Roman" w:hAnsi="Times New Roman" w:eastAsia="Times New Roman" w:cs="Times New Roman"/>
        <w:color w:val="555555"/>
        <w:sz w:val="18"/>
        <w:szCs w:val="18"/>
      </w:rPr>
      <w:t xml:space="preserve">Page </w:t>
    </w:r>
    <w:r>
      <w:rPr>
        <w:rFonts w:ascii="Times New Roman" w:hAnsi="Times New Roman" w:eastAsia="Times New Roman" w:cs="Times New Roman"/>
        <w:color w:val="555555"/>
        <w:sz w:val="18"/>
        <w:szCs w:val="18"/>
      </w:rPr>
      <w:fldChar w:fldCharType="begin"/>
    </w:r>
    <w:r>
      <w:rPr>
        <w:rFonts w:ascii="Times New Roman" w:hAnsi="Times New Roman" w:eastAsia="Times New Roman" w:cs="Times New Roman"/>
        <w:color w:val="555555"/>
        <w:sz w:val="18"/>
        <w:szCs w:val="18"/>
      </w:rPr>
      <w:instrText xml:space="preserve">PAGE</w:instrText>
    </w:r>
    <w:r>
      <w:rPr>
        <w:rFonts w:ascii="Times New Roman" w:hAnsi="Times New Roman" w:eastAsia="Times New Roman" w:cs="Times New Roman"/>
        <w:color w:val="555555"/>
        <w:sz w:val="18"/>
        <w:szCs w:val="18"/>
      </w:rPr>
      <w:fldChar w:fldCharType="separate"/>
    </w:r>
    <w:r>
      <w:rPr>
        <w:rFonts w:ascii="Times New Roman" w:hAnsi="Times New Roman" w:eastAsia="Times New Roman" w:cs="Times New Roman"/>
        <w:color w:val="555555"/>
        <w:sz w:val="18"/>
        <w:szCs w:val="18"/>
      </w:rPr>
      <w:fldChar w:fldCharType="end"/>
    </w:r>
    <w:r>
      <w:rPr>
        <w:rFonts w:ascii="Times New Roman" w:hAnsi="Times New Roman" w:eastAsia="Times New Roman" w:cs="Times New Roman"/>
        <w:color w:val="555555"/>
        <w:sz w:val="18"/>
        <w:szCs w:val="18"/>
      </w:rPr>
      <w:t xml:space="preserve"> of </w:t>
    </w:r>
    <w:r>
      <w:rPr>
        <w:rFonts w:ascii="Times New Roman" w:hAnsi="Times New Roman" w:eastAsia="Times New Roman" w:cs="Times New Roman"/>
        <w:color w:val="555555"/>
        <w:sz w:val="18"/>
        <w:szCs w:val="18"/>
      </w:rPr>
      <w:fldChar w:fldCharType="begin"/>
    </w:r>
    <w:r>
      <w:rPr>
        <w:rFonts w:ascii="Times New Roman" w:hAnsi="Times New Roman" w:eastAsia="Times New Roman" w:cs="Times New Roman"/>
        <w:color w:val="555555"/>
        <w:sz w:val="18"/>
        <w:szCs w:val="18"/>
      </w:rPr>
      <w:instrText xml:space="preserve">NUMPAGES</w:instrText>
    </w:r>
    <w:r>
      <w:rPr>
        <w:rFonts w:ascii="Times New Roman" w:hAnsi="Times New Roman" w:eastAsia="Times New Roman" w:cs="Times New Roman"/>
        <w:color w:val="555555"/>
        <w:sz w:val="18"/>
        <w:szCs w:val="18"/>
      </w:rPr>
      <w:fldChar w:fldCharType="separate"/>
    </w:r>
    <w:r>
      <w:rPr>
        <w:rFonts w:ascii="Times New Roman" w:hAnsi="Times New Roman" w:eastAsia="Times New Roman" w:cs="Times New Roman"/>
        <w:color w:val="555555"/>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656E598F" w14:paraId="2953D6A2" wp14:textId="77777777">
    <w:pPr>
      <w:pBdr>
        <w:bottom w:val="single" w:color="1F3864" w:sz="6" w:space="1"/>
      </w:pBdr>
      <w:spacing w:after="120"/>
    </w:pPr>
    <w:r w:rsidRPr="656E598F">
      <w:rPr>
        <w:rFonts w:ascii="Times New Roman" w:hAnsi="Times New Roman" w:eastAsia="Times New Roman" w:cs="Times New Roman"/>
        <w:color w:val="555555"/>
        <w:sz w:val="18"/>
        <w:szCs w:val="18"/>
        <w:lang w:val="en-US"/>
      </w:rPr>
      <w:t xml:space="preserve">MDM RNAseq Study — Methods</w:t>
    </w:r>
    <w:r>
      <w:rPr>
        <w:rFonts w:ascii="Times New Roman" w:hAnsi="Times New Roman" w:eastAsia="Times New Roman" w:cs="Times New Roman"/>
        <w:color w:val="555555"/>
        <w:sz w:val="18"/>
        <w:szCs w:val="18"/>
      </w:rPr>
      <w:ptab w:alignment="right" w:relativeTo="margin" w:leader="none"/>
    </w:r>
    <w:r w:rsidRPr="656E598F">
      <w:rPr>
        <w:rFonts w:ascii="Times New Roman" w:hAnsi="Times New Roman" w:eastAsia="Times New Roman" w:cs="Times New Roman"/>
        <w:i w:val="1"/>
        <w:iCs w:val="1"/>
        <w:color w:val="888888"/>
        <w:sz w:val="18"/>
        <w:szCs w:val="18"/>
        <w:lang w:val="en-US"/>
      </w:rPr>
      <w:t xml:space="preserve">Confidential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7f0c1b45"/>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3694c60b"/>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56EBF076"/>
  <w15:docId w15:val="{52460069-EC9F-4956-9BC9-7E702D5A6A17}"/>
  <w:rsids>
    <w:rsidRoot w:val="656E598F"/>
    <w:rsid w:val="656E598F"/>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imes New Roman" w:hAnsi="Times New Roman" w:eastAsia="Times New Roman" w:cs="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60" w:after="120"/>
      <w:outlineLvl w:val="0"/>
    </w:pPr>
    <w:rPr>
      <w:rFonts w:ascii="Times New Roman" w:hAnsi="Times New Roman" w:eastAsia="Times New Roman" w:cs="Times New Roman"/>
      <w:b/>
      <w:bCs/>
      <w:color w:val="1F3864"/>
      <w:sz w:val="28"/>
      <w:szCs w:val="28"/>
    </w:rPr>
  </w:style>
  <w:style w:type="paragraph" w:styleId="Heading2">
    <w:name w:val="heading 20"/>
    <w:basedOn w:val="Normal"/>
    <w:next w:val="Normal"/>
    <w:qFormat/>
    <w:pPr>
      <w:spacing w:before="240" w:after="80"/>
      <w:outlineLvl w:val="1"/>
    </w:pPr>
    <w:rPr>
      <w:rFonts w:ascii="Times New Roman" w:hAnsi="Times New Roman" w:eastAsia="Times New Roman" w:cs="Times New Roman"/>
      <w:b/>
      <w:bCs/>
      <w:color w:val="2E4057"/>
      <w:sz w:val="26"/>
      <w:szCs w:val="26"/>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Dochnal, Sara</lastModifiedBy>
  <revision>2</revision>
  <dcterms:created xsi:type="dcterms:W3CDTF">2026-06-15T12:00:39.9010000Z</dcterms:created>
  <dcterms:modified xsi:type="dcterms:W3CDTF">2026-10-14T19:48:35.4483836Z</dcterms:modified>
</coreProperties>
</file>

<file path=docProps/custom.xml><?xml version="1.0" encoding="utf-8"?>
<Properties xmlns="http://schemas.openxmlformats.org/officeDocument/2006/custom-properties" xmlns:vt="http://schemas.openxmlformats.org/officeDocument/2006/docPropsVTypes"/>
</file>