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0.png" ContentType="image/png"/>
  <Override PartName="/word/media/rId43.png" ContentType="image/png"/>
  <Override PartName="/word/media/rId46.png" ContentType="image/png"/>
  <Override PartName="/word/media/rId36.png" ContentType="image/png"/>
  <Override PartName="/word/media/rId39.png" ContentType="image/png"/>
  <Override PartName="/word/media/rId22.png" ContentType="image/png"/>
  <Override PartName="/word/media/rId64.png" ContentType="image/png"/>
  <Override PartName="/word/media/rId67.png" ContentType="image/png"/>
  <Override PartName="/word/media/rId70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54.png" ContentType="image/png"/>
  <Override PartName="/word/media/rId57.png" ContentType="image/png"/>
  <Override PartName="/word/media/rId6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EVD North Kivu 2018–2019 — Descriptive Report</w:t>
      </w:r>
    </w:p>
    <w:p>
      <w:pPr>
        <w:pStyle w:val="Subtitle"/>
      </w:pPr>
      <w:r>
        <w:t xml:space="preserve">Cohort: Children (&lt;18 y)</w:t>
      </w:r>
    </w:p>
    <w:p>
      <w:pPr>
        <w:pStyle w:val="Author"/>
      </w:pPr>
      <w:r>
        <w:t xml:space="preserve">VHF North Kivu study group</w:t>
      </w:r>
    </w:p>
    <w:p>
      <w:pPr>
        <w:pStyle w:val="Date"/>
      </w:pPr>
      <w:r>
        <w:t xml:space="preserve">2026-07-03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cohort-overview"/>
    <w:p>
      <w:pPr>
        <w:pStyle w:val="Heading1"/>
      </w:pPr>
      <w:r>
        <w:t xml:space="preserve">Cohort overview</w:t>
      </w:r>
    </w:p>
    <w:p>
      <w:pPr>
        <w:pStyle w:val="FirstParagraph"/>
      </w:pPr>
      <w:r>
        <w:t xml:space="preserve">This report describes</w:t>
      </w:r>
      <w:r>
        <w:t xml:space="preserve"> </w:t>
      </w:r>
      <w:r>
        <w:rPr>
          <w:b/>
          <w:bCs/>
        </w:rPr>
        <w:t xml:space="preserve">58</w:t>
      </w:r>
      <w:r>
        <w:t xml:space="preserve"> </w:t>
      </w:r>
      <w:r>
        <w:t xml:space="preserve">patients admitted with laboratory-confirmed</w:t>
      </w:r>
      <w:r>
        <w:t xml:space="preserve"> </w:t>
      </w:r>
      <w:r>
        <w:t xml:space="preserve">Ebola virus disease. 20 died among the 48 with a documented</w:t>
      </w:r>
      <w:r>
        <w:t xml:space="preserve"> </w:t>
      </w:r>
      <w:r>
        <w:t xml:space="preserve">recovered/died outcome (</w:t>
      </w:r>
      <w:r>
        <w:rPr>
          <w:b/>
          <w:bCs/>
        </w:rPr>
        <w:t xml:space="preserve">case-fatality ratio 41.7%</w:t>
      </w:r>
      <w:r>
        <w:t xml:space="preserve">); 10</w:t>
      </w:r>
      <w:r>
        <w:t xml:space="preserve"> </w:t>
      </w:r>
      <w:r>
        <w:t xml:space="preserve">had no final outcome recorded and 0 were referred —</w:t>
      </w:r>
      <w:r>
        <w:t xml:space="preserve"> </w:t>
      </w:r>
      <w:r>
        <w:t xml:space="preserve">these are retained in all descriptive summaries and excluded only from</w:t>
      </w:r>
      <w:r>
        <w:t xml:space="preserve"> </w:t>
      </w:r>
      <w:r>
        <w:t xml:space="preserve">outcome comparisons.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Outcome distribution (all admitted patients)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Outcome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Recovered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48.3%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Died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34.5%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Unknown/ongoing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17.2%</w:t>
            </w:r>
          </w:p>
        </w:tc>
      </w:tr>
    </w:tbl>
    <w:bookmarkEnd w:id="20"/>
    <w:bookmarkStart w:id="21" w:name="population-characteristics"/>
    <w:p>
      <w:pPr>
        <w:pStyle w:val="Heading1"/>
      </w:pPr>
      <w:r>
        <w:t xml:space="preserve">1. Population characteristics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58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Age,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10.0 (5.0 – 14.0)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age_group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(24)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5-17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44 (76)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18-24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35-49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50+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25 (43)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33 (57)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occupation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Non-healthcare worker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(67)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(33)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pregnant_ana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Onset→admission delay, 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 – 8)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onset_delay_cat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≤2 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(31)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3-5 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(29)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&gt;5 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(40)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Any comorbidity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Ct (lowest) at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(19 – 29)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ct_cat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&lt;20 (high load)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(29)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20-25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(33)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(17)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&gt;30 (low load)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Length of stay, 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(4 – 21)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Missing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(IQR); n (%)</w:t>
            </w:r>
          </w:p>
        </w:tc>
      </w:tr>
    </w:tbl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3"/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Outcome</w:t>
            </w:r>
          </w:p>
        </w:tc>
        <w:tc>
          <w:tcPr>
            <w:tcBorders>
              <w:top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Recovered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Died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Age, years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10.5 (5.0 – 14.5)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8.5 (3.5 – 13.0)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13.5 (7.5 – 16.0)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age_group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5-17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38 (79)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20 (71)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(90)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18-24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35-49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50+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(43)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occupation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Non-healthcare worker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(59)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(53)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(80)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Unknown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pregnant_ana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Onset→admission delay, 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(2 – 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 – 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 – 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onset_delay_cat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0.019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≤2 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(46)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3-5 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15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&gt;5 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18 (38)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comorbid_any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Ct (lowest) at admission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23 (19 – 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(23 – 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(17 – 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ct_cat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&lt;20 (high load)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(9.5)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(64)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20-25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(31)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25-30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(17)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&gt;30 (low load)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los_days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(4 – 20)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19 (15 – 24)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 – 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&lt;0.001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Median (IQR); 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Wilcoxon rank sum test; Fisher's exact test; Pearson's Chi-squared test</w:t>
            </w:r>
          </w:p>
        </w:tc>
      </w:tr>
    </w:tbl>
    <w:bookmarkEnd w:id="21"/>
    <w:bookmarkStart w:id="25" w:name="temporal-trends-and-case-fatality"/>
    <w:p>
      <w:pPr>
        <w:pStyle w:val="Heading1"/>
      </w:pPr>
      <w:r>
        <w:t xml:space="preserve">2. Temporal trends and case-fatality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report_descriptive_files/figure-docx/epicurve-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5"/>
    <w:bookmarkStart w:id="35" w:name="symptoms-and-clinical-signs-at-admission"/>
    <w:p>
      <w:pPr>
        <w:pStyle w:val="Heading1"/>
      </w:pPr>
      <w:r>
        <w:t xml:space="preserve">3. Symptoms and clinical signs at admission</w:t>
      </w:r>
    </w:p>
    <w:p>
      <w:pPr>
        <w:pStyle w:val="FirstParagraph"/>
      </w:pPr>
      <w:r>
        <w:t xml:space="preserve">The symptom / sign / bleeding blocks arrive from</w:t>
      </w:r>
      <w:r>
        <w:t xml:space="preserve"> </w:t>
      </w:r>
      <w:r>
        <w:rPr>
          <w:rStyle w:val="VerbatimChar"/>
        </w:rPr>
        <w:t xml:space="preserve">01_prepare_data.R</w:t>
      </w:r>
      <w:r>
        <w:t xml:space="preserve"> </w:t>
      </w:r>
      <w:r>
        <w:t xml:space="preserve">as clean</w:t>
      </w:r>
      <w:r>
        <w:t xml:space="preserve"> </w:t>
      </w:r>
      <w:r>
        <w:rPr>
          <w:rStyle w:val="VerbatimChar"/>
        </w:rPr>
        <w:t xml:space="preserve">Yes/No</w:t>
      </w:r>
      <w:r>
        <w:t xml:space="preserve"> </w:t>
      </w:r>
      <w:r>
        <w:t xml:space="preserve">factors named with their dictionary labels (exact strings below).</w:t>
      </w:r>
    </w:p>
    <w:p>
      <w:pPr>
        <w:pStyle w:val="BodyText"/>
      </w:pPr>
      <w:r>
        <w:drawing>
          <wp:inline>
            <wp:extent cx="5334000" cy="2370666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report_descriptive_files/figure-docx/symptom-figures-1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370666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report_descriptive_files/figure-docx/symptom-figures-2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370666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report_descriptive_files/figure-docx/symptom-figures-3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Recovered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Died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Fever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41 (89)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(92)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(85)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Fatigue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29 (67)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(67)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(68)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Weakness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22 (52)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10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(60)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Malaise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Myalgia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Anorexia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24 (57)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Sore Throat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(18)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(5.0)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(30)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0.091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Headache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21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(65)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0.064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Chest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 (9.8)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Body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12 (29)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0.38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Hiccups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Cough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Difficulty breathing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(10)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0.60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Difficulty swallowing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(19)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Abdominal 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16 (38)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0.81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Diarrhoea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13 (32)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(37)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0.51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Nausea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(41)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11 (58)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Vomiting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14 (33)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(23)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 (45)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Irriability/Confusion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(2.4)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(4.5)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&gt;0.99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Fisher's exact test; Pearson's Chi-squared test</w:t>
            </w:r>
          </w:p>
        </w:tc>
      </w:tr>
    </w:tbl>
    <w:bookmarkEnd w:id="35"/>
    <w:bookmarkStart w:id="42" w:name="time-from-onset-and-outcome"/>
    <w:p>
      <w:pPr>
        <w:pStyle w:val="Heading1"/>
      </w:pPr>
      <w:r>
        <w:t xml:space="preserve">4. Time from onset and outcome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report_descriptive_files/figure-docx/delay-outcome-1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370666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report_descriptive_files/figure-docx/delay-outcome-2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9" w:name="cycle-threshold-ct-at-admission"/>
    <w:p>
      <w:pPr>
        <w:pStyle w:val="Heading1"/>
      </w:pPr>
      <w:r>
        <w:t xml:space="preserve">5. Cycle threshold (Ct) at admission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report_descriptive_files/figure-docx/ct-outcome-1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370666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report_descriptive_files/figure-docx/ct-outcome-2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9"/>
    <w:bookmarkStart w:id="53" w:name="complications-aki-haemorrhagic-metabolic"/>
    <w:p>
      <w:pPr>
        <w:pStyle w:val="Heading1"/>
      </w:pPr>
      <w:r>
        <w:t xml:space="preserve">6. Complications (AKI, haemorrhagic, metabolic)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Characteristic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Overall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48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Recovered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28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Died</w:t>
            </w:r>
            <w:r>
              <w:rPr>
                <w:rFonts w:ascii="Calibri" w:hAnsi="Calibri"/>
                <w:sz w:val="20"/>
              </w:rPr>
              <w:t xml:space="preserve"/>
            </w:r>
            <w:r xmlns:w="http://schemas.openxmlformats.org/wordprocessingml/2006/main">
              <w:rPr>
                <w:rFonts w:ascii="Calibri" w:hAnsi="Calibri"/>
                <w:sz w:val="20"/>
              </w:rPr>
              <w:t xml:space="preserve"> </w:t>
            </w:r>
            <w:r>
              <w:rPr>
                <w:rFonts w:ascii="Calibri" w:hAnsi="Calibri"/>
                <w:sz w:val="20"/>
              </w:rPr>
              <w:t xml:space="preserve">N = 20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p-value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Renal impairment (creatinine &gt;1.1 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(25)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 (55)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Hyperkalaemia (K &gt;5.5)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(8.7)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(7.1)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Hypokalaemia (K &lt;3.5)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(35)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(11)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0.086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Severe hypoglycaemia (&lt;60 mg/dL)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8 (32)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5 (36)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 (27)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&gt;0.99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Rhabdomyolysis (CK &gt;1000)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(22)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 (40)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Severe anaemia (Hb &lt;7 g/dL)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Severe thrombocytopenia (&lt;50)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(14)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(33)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 (0)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0.43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preserve">n (%)</w:t>
            </w:r>
          </w:p>
        </w:tc>
      </w:tr>
      <w:tr>
        <w:trPr>
          <w:cantSplit/>
        </w:trPr>
        <w:tc>
          <w:tcPr>
            <w:gridSpan w:val="5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2</w:t>
            </w:r>
            <w:r>
              <w:rPr>
                <w:rFonts w:ascii="Calibri" w:hAnsi="Calibri"/>
                <w:sz w:val="20"/>
              </w:rPr>
              <w:t xml:space="preserve">Fisher's exact test</w:t>
            </w:r>
          </w:p>
        </w:tc>
      </w:tr>
    </w:tbl>
    <w:tbl>
      <w:tblPr>
        <w:tblStyle w:val="Table"/>
        <w:tblLook w:firstRow="0" w:lastRow="0" w:firstColumn="0" w:lastColumn="0" w:noHBand="0" w:noVBand="0" w:val="0000"/>
        <w:tblBorders>
          <w:left w:val="single" w:sz="24" w:space="0" w:color="CC1914"/>
          <w:right w:val="single" w:sz="4" w:space="0" w:color="CC1914"/>
          <w:top w:val="single" w:sz="4" w:space="0" w:color="CC1914"/>
          <w:bottom w:val="single" w:sz="4" w:space="0" w:color="CC1914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complications are only assessable in patients who had the relevant lab</w:t>
            </w:r>
            <w:r>
              <w:t xml:space="preserve"> </w:t>
            </w:r>
            <w:r>
              <w:t xml:space="preserve">measured (roughly 45–50% of the cohort once daily labs are included, far fewer</w:t>
            </w:r>
            <w:r>
              <w:t xml:space="preserve"> </w:t>
            </w:r>
            <w:r>
              <w:t xml:space="preserve">at admission alone). The denominator per complication is the measured subset —</w:t>
            </w:r>
            <w:r>
              <w:t xml:space="preserve"> </w:t>
            </w:r>
            <w:r>
              <w:t xml:space="preserve">report it explicitly and treat non-measurement as informative missingness, not</w:t>
            </w:r>
            <w:r>
              <w:t xml:space="preserve"> </w:t>
            </w:r>
            <w:r>
              <w:t xml:space="preserve">as absence of the complication.</w:t>
            </w:r>
          </w:p>
        </w:tc>
      </w:tr>
    </w:tbl>
    <w:bookmarkEnd w:id="53"/>
    <w:bookmarkStart w:id="63" w:name="treatments"/>
    <w:p>
      <w:pPr>
        <w:pStyle w:val="Heading1"/>
      </w:pPr>
      <w:r>
        <w:t xml:space="preserve">7. Treatments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Experimental agent received (first/primary)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evd_agent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n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pct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mAb114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37.9%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REGN3470-3471-3479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20.7%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Remdesivir (GS-5734)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22.4%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Zmapp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8.6%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10.3%</w:t>
            </w:r>
          </w:p>
        </w:tc>
      </w:tr>
    </w:tbl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report_descriptive_files/figure-docx/treatment-prevalence-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370666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report_descriptive_files/figure-docx/treatment-timing-1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370666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report_descriptive_files/figure-docx/treatment-timing-2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73" w:name="laboratory-kinetics-during-admission"/>
    <w:p>
      <w:pPr>
        <w:pStyle w:val="Heading1"/>
      </w:pPr>
      <w:r>
        <w:t xml:space="preserve">8. Laboratory kinetics during admission</w:t>
      </w:r>
    </w:p>
    <w:p>
      <w:pPr>
        <w:pStyle w:val="FirstParagraph"/>
      </w:pPr>
      <w:r>
        <w:drawing>
          <wp:inline>
            <wp:extent cx="5334000" cy="2370666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report_descriptive_files/figure-docx/kinetics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370666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report_descriptive_files/figure-docx/kinetics-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370666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report_descriptive_files/figure-docx/kinetics-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70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VerbatimChar"/>
        </w:rPr>
        <w:t xml:space="preserve">Rendered: 2026-07-03 13:20:02 | subgroup: children | N = 58 | CFR = 41.7 %</w:t>
      </w:r>
    </w:p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50" Target="media/rId50.png" /><Relationship Type="http://schemas.openxmlformats.org/officeDocument/2006/relationships/image" Id="rId43" Target="media/rId43.png" /><Relationship Type="http://schemas.openxmlformats.org/officeDocument/2006/relationships/image" Id="rId46" Target="media/rId46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22" Target="media/rId22.png" /><Relationship Type="http://schemas.openxmlformats.org/officeDocument/2006/relationships/image" Id="rId64" Target="media/rId64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EVD North Kivu 2018–2019 — Descriptive Report</dc:title>
  <dc:creator>VHF North Kivu study group</dc:creator>
  <cp:keywords/>
  <dcterms:created xsi:type="dcterms:W3CDTF">2026-07-03T11:20:02Z</dcterms:created>
  <dcterms:modified xsi:type="dcterms:W3CDTF">2026-07-03T11:20:02Z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2026-07-03</vt:lpwstr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params">
    <vt:lpwstr/>
  </property>
  <property fmtid="{D5CDD505-2E9C-101B-9397-08002B2CF9AE}" pid="12" name="subtitle">
    <vt:lpwstr>Cohort: Children (&lt;18 y)</vt:lpwstr>
  </property>
  <property fmtid="{D5CDD505-2E9C-101B-9397-08002B2CF9AE}" pid="13" name="toc-title">
    <vt:lpwstr>Table of contents</vt:lpwstr>
  </property>
</Properties>
</file>