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28.png" ContentType="image/png"/>
  <Override PartName="/word/media/rId23.png" ContentType="image/png"/>
  <Override PartName="/word/media/rId37.png" ContentType="image/png"/>
  <Override PartName="/word/media/rId3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Secondary Analysis of Clinical Determinants for Ebola Virus Disease (EVD)</w:t>
      </w:r>
    </w:p>
    <w:p>
      <w:pPr>
        <w:pStyle w:val="Subtitle"/>
      </w:pPr>
      <w:r>
        <w:t xml:space="preserve">🇨🇩 2019 North Kivu Outbreak</w:t>
      </w:r>
    </w:p>
    <w:p>
      <w:pPr>
        <w:pStyle w:val="Author"/>
      </w:pPr>
      <w:r>
        <w:t xml:space="preserve">WHO Global Clinical Platform</w:t>
      </w:r>
    </w:p>
    <w:p>
      <w:pPr>
        <w:pStyle w:val="Date"/>
      </w:pPr>
      <w:r>
        <w:t xml:space="preserve">2026-04-01</w:t>
      </w:r>
    </w:p>
    <w:p>
      <w:r>
        <w:br w:type="page"/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Data Mapping &amp; 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To ensure the integrity of the secondary analysis, a data dictionary mapping exercise will be conducted: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Variable Alignment</w:t>
            </w:r>
            <w:r>
              <w:t xml:space="preserve">: REDCap field names from the EVD project (e.g.,</w:t>
            </w:r>
            <w:r>
              <w:t xml:space="preserve"> </w:t>
            </w:r>
            <w:r>
              <w:rPr>
                <w:rStyle w:val="VerbatimChar"/>
              </w:rPr>
              <w:t xml:space="preserve">diarrhoea_anytime</w:t>
            </w:r>
            <w:r>
              <w:t xml:space="preserve">) will be mapped to all the variables from the North Kivu outbreak 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Harmonization Check</w:t>
            </w:r>
            <w:r>
              <w:t xml:space="preserve">: Discrepancies in units (e.g., lab values) or categorical definitions will be resolved and documented in a transparent</w:t>
            </w:r>
            <w:r>
              <w:t xml:space="preserve"> </w:t>
            </w:r>
            <w:r>
              <w:rPr>
                <w:rStyle w:val="VerbatimChar"/>
              </w:rPr>
              <w:t xml:space="preserve">mapping_logfile.csv</w:t>
            </w:r>
            <w:r>
              <w:t xml:space="preserve"> </w:t>
            </w:r>
            <w:r>
              <w:t xml:space="preserve">to ensure reproducibility.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Plausibility Filters</w:t>
            </w:r>
            <w:r>
              <w:t xml:space="preserve">: Automated checks will flag biologically implausible values (e.g., Ct values &lt;10 or &gt;45) for manual review or exclusion.</w:t>
            </w:r>
          </w:p>
        </w:tc>
      </w:tr>
    </w:tbl>
    <w:bookmarkStart w:id="27" w:name="study-overview"/>
    <w:p>
      <w:pPr>
        <w:pStyle w:val="Heading1"/>
      </w:pPr>
      <w:r>
        <w:t xml:space="preserve">1. Study Overview</w:t>
      </w:r>
    </w:p>
    <w:p>
      <w:pPr>
        <w:pStyle w:val="FirstParagraph"/>
      </w:pPr>
      <w:r>
        <w:t xml:space="preserve">This SAP outlines the proposed analysis of the 756 defined patients admitted between August 2018 and July 2019 during the North Kivu EVD outbreak. The goal is to identify</w:t>
      </w:r>
      <w:r>
        <w:t xml:space="preserve"> </w:t>
      </w:r>
      <w:r>
        <w:rPr>
          <w:b/>
          <w:bCs/>
        </w:rPr>
        <w:t xml:space="preserve">clinical and laboratory determinants of mortality</w:t>
      </w:r>
      <w:r>
        <w:t xml:space="preserve">, with a sub analysis on</w:t>
      </w:r>
      <w:r>
        <w:t xml:space="preserve"> </w:t>
      </w:r>
      <w:r>
        <w:rPr>
          <w:b/>
          <w:bCs/>
        </w:rPr>
        <w:t xml:space="preserve">pediatric populations</w:t>
      </w:r>
      <w:r>
        <w:t xml:space="preserve">.</w:t>
      </w:r>
      <w:r>
        <w:t xml:space="preserve"> </w:t>
      </w:r>
      <w:r>
        <w:t xml:space="preserve">## 1.1 Study Flow Diagram(</w:t>
      </w:r>
      <w:hyperlink w:anchor="fig-flow">
        <w:r>
          <w:rPr>
            <w:rStyle w:val="Hyperlink"/>
          </w:rPr>
          <w:t xml:space="preserve">Figure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low"/>
          <w:p>
            <w:pPr>
              <w:pStyle w:val="Compact"/>
              <w:jc w:val="center"/>
            </w:pPr>
            <w:r>
              <w:drawing>
                <wp:inline>
                  <wp:extent cx="5334000" cy="316655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_1.EVD.NorthKivu.SAP_2026-04-22_files/figure-docx/fig-flow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6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Study Flow Diagram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bookmarkEnd w:id="27"/>
    <w:bookmarkStart w:id="36" w:name="variable-grouping-data-harmonization"/>
    <w:p>
      <w:pPr>
        <w:pStyle w:val="Heading1"/>
      </w:pPr>
      <w:r>
        <w:t xml:space="preserve">2. Variable Grouping &amp; Data Harmonization</w:t>
      </w:r>
    </w:p>
    <w:p>
      <w:pPr>
        <w:pStyle w:val="FirstParagraph"/>
      </w:pPr>
      <w:r>
        <w:t xml:space="preserve">To analyze the predictors of EVD outcome and complications, we propose this</w:t>
      </w:r>
      <w:r>
        <w:t xml:space="preserve"> </w:t>
      </w:r>
      <w:r>
        <w:rPr>
          <w:b/>
          <w:bCs/>
        </w:rPr>
        <w:t xml:space="preserve">Directed Acyclic Graphs (DAG)</w:t>
      </w:r>
      <w:r>
        <w:t xml:space="preserve"> </w:t>
      </w:r>
      <w:r>
        <w:t xml:space="preserve">(</w:t>
      </w:r>
      <w:hyperlink w:anchor="fig-dag">
        <w:r>
          <w:rPr>
            <w:rStyle w:val="Hyperlink"/>
          </w:rPr>
          <w:t xml:space="preserve">Figure 2</w:t>
        </w:r>
      </w:hyperlink>
      <w:r>
        <w:t xml:space="preserve">) to illustrate hypothesized causal relationships underlying</w:t>
      </w:r>
      <w:r>
        <w:t xml:space="preserve"> </w:t>
      </w:r>
      <w:r>
        <w:rPr>
          <w:b/>
          <w:bCs/>
        </w:rPr>
        <w:t xml:space="preserve">EVD pathophysiology and clinical outcomes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dag"/>
          <w:p>
            <w:pPr>
              <w:pStyle w:val="Compact"/>
              <w:jc w:val="center"/>
            </w:pPr>
            <w:r>
              <w:drawing>
                <wp:inline>
                  <wp:extent cx="5334000" cy="316655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_1.EVD.NorthKivu.SAP_2026-04-22_files/figure-docx/fig-dag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6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Directed Acyclic Graphs (DAG)</w:t>
            </w:r>
          </w:p>
          <w:bookmarkEnd w:id="31"/>
        </w:tc>
      </w:tr>
    </w:tbl>
    <w:p>
      <w:pPr>
        <w:pStyle w:val="BodyText"/>
      </w:pPr>
      <w:r>
        <w:t xml:space="preserve">To ensure model parsimony, we will group sparse clinical variables into syndromic categories (</w:t>
      </w:r>
      <w:hyperlink w:anchor="tbl-group">
        <w:r>
          <w:rPr>
            <w:rStyle w:val="Hyperlink"/>
          </w:rPr>
          <w:t xml:space="preserve">Table 1</w:t>
        </w:r>
      </w:hyperlink>
      <w:r>
        <w:t xml:space="preserve">):</w:t>
      </w:r>
    </w:p>
    <w:p>
      <w:pPr>
        <w:numPr>
          <w:ilvl w:val="0"/>
          <w:numId w:val="1002"/>
        </w:numPr>
      </w:pPr>
      <w:r>
        <w:t xml:space="preserve">CNS Signs: Agitation, coma, disorientation, seizures, and irritability.</w:t>
      </w:r>
    </w:p>
    <w:p>
      <w:pPr>
        <w:numPr>
          <w:ilvl w:val="0"/>
          <w:numId w:val="1002"/>
        </w:numPr>
      </w:pPr>
      <w:r>
        <w:t xml:space="preserve">GI Signs: Diarrhea, vomiting, abdominal pain, and anorexia.</w:t>
      </w:r>
    </w:p>
    <w:p>
      <w:pPr>
        <w:numPr>
          <w:ilvl w:val="0"/>
          <w:numId w:val="1002"/>
        </w:numPr>
      </w:pPr>
      <w:r>
        <w:t xml:space="preserve">Renal/Dehydration: Anuria, signs of dehydration, and renal impairment (Creatinine ≥ 1.1 mg/dL).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grou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Symptom grouping used for analysis</w:t>
            </w:r>
          </w:p>
          <w:p>
            <w:pPr>
              <w:jc w:val="center"/>
            </w:pPr>
            <w:r>
              <w:drawing>
                <wp:inline>
                  <wp:extent cx="5334000" cy="196552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_1.EVD.NorthKivu.SAP_2026-04-22_files/figure-docx/tbl-group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65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35"/>
        </w:tc>
      </w:tr>
    </w:tbl>
    <w:p>
      <w:r>
        <w:pict>
          <v:rect style="width:0;height:1.5pt" o:hralign="center" o:hrstd="t" o:hr="t"/>
        </w:pict>
      </w:r>
    </w:p>
    <w:bookmarkEnd w:id="36"/>
    <w:bookmarkStart w:id="45" w:name="statistical-methodology"/>
    <w:p>
      <w:pPr>
        <w:pStyle w:val="Heading1"/>
      </w:pPr>
      <w:r>
        <w:t xml:space="preserve">3. Statistical Methodology</w:t>
      </w:r>
    </w:p>
    <w:p>
      <w:pPr>
        <w:pStyle w:val="FirstParagraph"/>
      </w:pPr>
      <w:r>
        <w:t xml:space="preserve">We propose a stepwise modeling workflow (</w:t>
      </w:r>
      <w:hyperlink w:anchor="fig-stepwise">
        <w:r>
          <w:rPr>
            <w:rStyle w:val="Hyperlink"/>
          </w:rPr>
          <w:t xml:space="preserve">Figure 3</w:t>
        </w:r>
      </w:hyperlink>
      <w:r>
        <w:t xml:space="preserve">) to identify independent predictors of clinical outcomes and complications.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stepwise"/>
          <w:p>
            <w:pPr>
              <w:pStyle w:val="Compact"/>
              <w:jc w:val="center"/>
            </w:pPr>
            <w:r>
              <w:drawing>
                <wp:inline>
                  <wp:extent cx="5334000" cy="31665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_1.EVD.NorthKivu.SAP_2026-04-22_files/figure-docx/fig-stepwise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6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Proposed Stepwise Modeling Workflow for EVD Outcomes.</w:t>
            </w:r>
          </w:p>
          <w:bookmarkEnd w:id="40"/>
        </w:tc>
      </w:tr>
    </w:tbl>
    <w:bookmarkStart w:id="41" w:name="data-preparation-and-harmonization"/>
    <w:p>
      <w:pPr>
        <w:pStyle w:val="Heading2"/>
      </w:pPr>
      <w:r>
        <w:t xml:space="preserve">3.1 Data Preparation and Harmonization</w:t>
      </w:r>
    </w:p>
    <w:p>
      <w:pPr>
        <w:pStyle w:val="FirstParagraph"/>
      </w:pPr>
      <w:r>
        <w:t xml:space="preserve">Data cleaning and wrangling are performed using the tidyverse ecosystem.</w:t>
      </w:r>
      <w:r>
        <w:t xml:space="preserve">(Wickham et al. 2019)</w:t>
      </w:r>
      <w:r>
        <w:t xml:space="preserve"> </w:t>
      </w:r>
      <w:r>
        <w:t xml:space="preserve">All clinical variables are inspected for consistency, and missingness is addressed through complete-case analysis or multiple imputation, depending on the variable’s importance and the proportion of missing entries.</w:t>
      </w:r>
    </w:p>
    <w:bookmarkEnd w:id="41"/>
    <w:bookmarkStart w:id="42" w:name="predictor-selection-framework"/>
    <w:p>
      <w:pPr>
        <w:pStyle w:val="Heading2"/>
      </w:pPr>
      <w:r>
        <w:t xml:space="preserve">3.2 Predictor Selection Framework</w:t>
      </w:r>
    </w:p>
    <w:p>
      <w:pPr>
        <w:pStyle w:val="FirstParagraph"/>
      </w:pPr>
      <w:r>
        <w:t xml:space="preserve">We will utilize a structured workflow to identify independent predictors: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Univariate screening</w:t>
      </w:r>
      <w:r>
        <w:t xml:space="preserve"> </w:t>
      </w:r>
      <w:r>
        <w:t xml:space="preserve">: Each potential predictor (demographics, symptoms, and lab values) is evaluated in univariate models. Variables with extreme sparsity or those causing quasi-complete separation are excluded from further modeling.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Collinearity assessment</w:t>
      </w:r>
      <w:r>
        <w:t xml:space="preserve">: Multicollinearity among remaining variables is assessed using the car package.</w:t>
      </w:r>
      <w:r>
        <w:t xml:space="preserve"> </w:t>
      </w:r>
      <w:r>
        <w:t xml:space="preserve">(Fox and Weisberg 2019)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LASSO regression</w:t>
      </w:r>
      <w:r>
        <w:t xml:space="preserve">: Least Absolute Shrinkage and Selection Operator (LASSO) regression is applied via the glmnet package.</w:t>
      </w:r>
      <w:r>
        <w:t xml:space="preserve"> </w:t>
      </w:r>
      <w:r>
        <w:t xml:space="preserve">(Friedman, Hastie, and Tibshirani 2010)</w:t>
      </w:r>
      <w:r>
        <w:t xml:space="preserve"> </w:t>
      </w:r>
      <w:r>
        <w:t xml:space="preserve">This penalized regression technique shrinks coefficients of weaker predictors to zero, retaining only the most stable clinical associations for the final multivariable models.</w:t>
      </w:r>
    </w:p>
    <w:bookmarkEnd w:id="42"/>
    <w:bookmarkStart w:id="43" w:name="Xf7a7b6c616062ca1daf1e148eaa427359810145"/>
    <w:p>
      <w:pPr>
        <w:pStyle w:val="Heading2"/>
      </w:pPr>
      <w:r>
        <w:t xml:space="preserve">3.3 Multivariable Modeling and Effect Estimation</w:t>
      </w:r>
    </w:p>
    <w:p>
      <w:pPr>
        <w:pStyle w:val="FirstParagraph"/>
      </w:pPr>
      <w:r>
        <w:t xml:space="preserve">The final analytic models will quantify the relationship between selected predictors and EVD outcomes: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Primary Effect Estimation</w:t>
      </w:r>
      <w:r>
        <w:t xml:space="preserve">: To enhance clinical interpretability, we will report</w:t>
      </w:r>
      <w:r>
        <w:t xml:space="preserve"> </w:t>
      </w:r>
      <w:r>
        <w:rPr>
          <w:b/>
          <w:bCs/>
        </w:rPr>
        <w:t xml:space="preserve">Adjusted Risk Ratios (aRR)</w:t>
      </w:r>
      <w:r>
        <w:t xml:space="preserve"> </w:t>
      </w:r>
      <w:r>
        <w:t xml:space="preserve">and 95% confidence intervals (CI). These are derived using</w:t>
      </w:r>
      <w:r>
        <w:t xml:space="preserve"> </w:t>
      </w:r>
      <w:r>
        <w:rPr>
          <w:b/>
          <w:bCs/>
        </w:rPr>
        <w:t xml:space="preserve">Poisson regression with robust standard errors</w:t>
      </w:r>
      <w:r>
        <w:t xml:space="preserve"> </w:t>
      </w:r>
      <w:r>
        <w:t xml:space="preserve">(via the</w:t>
      </w:r>
      <w:r>
        <w:t xml:space="preserve"> </w:t>
      </w:r>
      <w:r>
        <w:rPr>
          <w:rStyle w:val="VerbatimChar"/>
        </w:rPr>
        <w:t xml:space="preserve">sandwich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lmtest</w:t>
      </w:r>
      <w:r>
        <w:t xml:space="preserve"> </w:t>
      </w:r>
      <w:r>
        <w:t xml:space="preserve">packages [</w:t>
      </w:r>
      <w:r>
        <w:t xml:space="preserve">Zeileis, Koll, and Graham (2020)</w:t>
      </w:r>
      <w:r>
        <w:t xml:space="preserve">]</w:t>
      </w:r>
      <w:r>
        <w:t xml:space="preserve">(Zeileis and Hothorn 2002)</w:t>
      </w:r>
      <w:r>
        <w:t xml:space="preserve"> </w:t>
      </w:r>
      <w:r>
        <w:t xml:space="preserve">), which provides more reliable estimates than odds ratios in settings where the outcome is not rare.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Sensitivity Analysis</w:t>
      </w:r>
      <w:r>
        <w:t xml:space="preserve">: For comparison with historical literature,</w:t>
      </w:r>
      <w:r>
        <w:t xml:space="preserve"> </w:t>
      </w:r>
      <w:r>
        <w:rPr>
          <w:b/>
          <w:bCs/>
        </w:rPr>
        <w:t xml:space="preserve">Adjusted Odds Ratios (aOR)</w:t>
      </w:r>
      <w:r>
        <w:t xml:space="preserve"> </w:t>
      </w:r>
      <w:r>
        <w:t xml:space="preserve">will be computed via global multivariable logistic regression.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Prognostic Thresholds</w:t>
      </w:r>
      <w:r>
        <w:t xml:space="preserve">: For continuous laboratory markers such as Cycle Threshold (Ct) values, we will utilize</w:t>
      </w:r>
      <w:r>
        <w:t xml:space="preserve"> </w:t>
      </w:r>
      <w:r>
        <w:rPr>
          <w:b/>
          <w:bCs/>
        </w:rPr>
        <w:t xml:space="preserve">Receiver Operating Characteristic (ROC)</w:t>
      </w:r>
      <w:r>
        <w:t xml:space="preserve"> </w:t>
      </w:r>
      <w:r>
        <w:t xml:space="preserve">analysis to determine optimal prognostic cut-offs (e.g., Ct</w:t>
      </w:r>
      <w:r>
        <w:t xml:space="preserve"> </w:t>
      </w:r>
      <m:oMath>
        <m:r>
          <m:rPr>
            <m:sty m:val="p"/>
          </m:rPr>
          <m:t>≈</m:t>
        </m:r>
        <m:r>
          <m:t>23</m:t>
        </m:r>
      </m:oMath>
      <w:r>
        <w:t xml:space="preserve">) for predicting mortality.</w:t>
      </w:r>
    </w:p>
    <w:bookmarkEnd w:id="43"/>
    <w:bookmarkStart w:id="44" w:name="software-and-reproducibility"/>
    <w:p>
      <w:pPr>
        <w:pStyle w:val="Heading2"/>
      </w:pPr>
      <w:r>
        <w:t xml:space="preserve">3.4 Software and Reproducibility</w:t>
      </w:r>
    </w:p>
    <w:p>
      <w:pPr>
        <w:pStyle w:val="FirstParagraph"/>
      </w:pPr>
      <w:r>
        <w:t xml:space="preserve">All analyses are conducted in R version 4.4.1. The use of a scripted, Quarto-based workflow ensures that the transition from the</w:t>
      </w:r>
      <w:r>
        <w:t xml:space="preserve"> </w:t>
      </w:r>
      <w:r>
        <w:t xml:space="preserve">“Light CRF”</w:t>
      </w:r>
      <w:r>
        <w:t xml:space="preserve"> </w:t>
      </w:r>
      <w:r>
        <w:t xml:space="preserve">raw data to the final analytical outputs is fully reproducible and transparent.</w:t>
      </w:r>
    </w:p>
    <w:bookmarkEnd w:id="44"/>
    <w:bookmarkEnd w:id="45"/>
    <w:bookmarkStart w:id="46" w:name="pediatric-sub-analysis-proposed"/>
    <w:p>
      <w:pPr>
        <w:pStyle w:val="Heading1"/>
      </w:pPr>
      <w:r>
        <w:t xml:space="preserve">4. Pediatric Sub-analysis (Proposed)</w:t>
      </w:r>
    </w:p>
    <w:p>
      <w:pPr>
        <w:pStyle w:val="FirstParagraph"/>
      </w:pPr>
      <w:r>
        <w:t xml:space="preserve">Given the demographic distribution, we propose a dedicated focus on the XX pediatric cases:</w:t>
      </w:r>
    </w:p>
    <w:p>
      <w:pPr>
        <w:numPr>
          <w:ilvl w:val="0"/>
          <w:numId w:val="1005"/>
        </w:numPr>
      </w:pPr>
      <w:r>
        <w:t xml:space="preserve">Comparison of Clinical Phenotypes</w:t>
      </w:r>
    </w:p>
    <w:p>
      <w:pPr>
        <w:numPr>
          <w:ilvl w:val="0"/>
          <w:numId w:val="1005"/>
        </w:numPr>
      </w:pPr>
      <w:r>
        <w:t xml:space="preserve">Survival Comparison: Weibull proportional hazards models stratified by age groups (&lt;5, 5-17) to determine if admission delays impact children differently than adults.</w:t>
      </w:r>
    </w:p>
    <w:bookmarkEnd w:id="46"/>
    <w:bookmarkStart w:id="56" w:name="proposed-analytical-outputs"/>
    <w:p>
      <w:pPr>
        <w:pStyle w:val="Heading1"/>
      </w:pPr>
      <w:r>
        <w:t xml:space="preserve">5. Proposed Analytical Outputs</w:t>
      </w:r>
    </w:p>
    <w:p>
      <w:pPr>
        <w:pStyle w:val="FirstParagraph"/>
      </w:pPr>
      <w:r>
        <w:t xml:space="preserve">The following outputs are proposed to characterize the North Kivu cohort and identify key clinical determinants of EVD outcomes.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Expected Output 1: Table 1 - Patient Demographics &amp; Baseline Features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comprehensive descriptive table stratified by</w:t>
            </w:r>
            <w:r>
              <w:t xml:space="preserve"> </w:t>
            </w:r>
            <w:r>
              <w:rPr>
                <w:b/>
                <w:bCs/>
              </w:rPr>
              <w:t xml:space="preserve">Age Group</w:t>
            </w:r>
            <w:r>
              <w:t xml:space="preserve"> </w:t>
            </w:r>
            <w:r>
              <w:t xml:space="preserve">(Adult vs. Children),</w:t>
            </w:r>
            <w:r>
              <w:t xml:space="preserve"> </w:t>
            </w:r>
            <w:r>
              <w:rPr>
                <w:b/>
                <w:bCs/>
              </w:rPr>
              <w:t xml:space="preserve">Outcome</w:t>
            </w:r>
            <w:r>
              <w:t xml:space="preserve"> </w:t>
            </w:r>
            <w:r>
              <w:t xml:space="preserve">(Deceased vs. Recovered), and</w:t>
            </w:r>
            <w:r>
              <w:t xml:space="preserve"> </w:t>
            </w:r>
            <w:r>
              <w:rPr>
                <w:b/>
                <w:bCs/>
              </w:rPr>
              <w:t xml:space="preserve">Sex</w:t>
            </w:r>
            <w:r>
              <w:t xml:space="preserve"> </w:t>
            </w:r>
            <w:r>
              <w:t xml:space="preserve">(Male vs. Female).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Variables included: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Demographics:</w:t>
      </w:r>
      <w:r>
        <w:t xml:space="preserve"> </w:t>
      </w:r>
      <w:r>
        <w:t xml:space="preserve">Age at admission (Continuous), Age Group (Categorical), Gender, Patient Occupation, Pregnancy Status.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Admission Data:</w:t>
      </w:r>
      <w:r>
        <w:t xml:space="preserve"> </w:t>
      </w:r>
      <w:r>
        <w:t xml:space="preserve">Admission Delay (Days), Comorbid conditions (Diabetes, HIV, Chronic Pulmonary Disease).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Baseline Status:</w:t>
      </w:r>
      <w:r>
        <w:t xml:space="preserve"> </w:t>
      </w:r>
      <w:r>
        <w:t xml:space="preserve">Fever, Diarrhoea, Shock, Confusion, Bleeding (Binary).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Lab/Diagnostic:</w:t>
      </w:r>
      <w:r>
        <w:t xml:space="preserve"> </w:t>
      </w:r>
      <w:r>
        <w:t xml:space="preserve">Ebola RDT, GeneXpert PCR, Ct (lowest), Ct Below 23, Electrolytes (Hypo/Hyperkaliemia), Renal impairment, Rhabdomyolysis, Severe hypoglycemia, Platelets, Haemoglobin, Calcium.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Initial Management:</w:t>
      </w:r>
      <w:r>
        <w:t xml:space="preserve"> </w:t>
      </w:r>
      <w:r>
        <w:t xml:space="preserve">Experimental treatment type, Antibacterial/Antimalarial treatment, Fluid management, Blood transfusion.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Expected Output 2: Epicurve and Case Fatality Rate (CFR)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Visualization of the outbreak progression by week of admission, with bar colors representing</w:t>
            </w:r>
            <w:r>
              <w:t xml:space="preserve"> </w:t>
            </w:r>
            <w:r>
              <w:rPr>
                <w:b/>
                <w:bCs/>
              </w:rPr>
              <w:t xml:space="preserve">Outcome at Discharge</w:t>
            </w:r>
            <w:r>
              <w:t xml:space="preserve">. A secondary axis will plot the rolling</w:t>
            </w:r>
            <w:r>
              <w:t xml:space="preserve"> </w:t>
            </w:r>
            <w:r>
              <w:rPr>
                <w:b/>
                <w:bCs/>
              </w:rPr>
              <w:t xml:space="preserve">CFR</w:t>
            </w:r>
            <w:r>
              <w:t xml:space="preserve"> </w:t>
            </w:r>
            <w:r>
              <w:t xml:space="preserve">to monitor changes in mortality over time.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Expected Output 3: Symptom &amp; Complication Prevalence Maps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Bar charts or Heatmaps summarizing the frequency of the following binary clinical features: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Symptoms:</w:t>
      </w:r>
      <w:r>
        <w:t xml:space="preserve"> </w:t>
      </w:r>
      <w:r>
        <w:t xml:space="preserve">Abdominal pain, Agitation, Anorexia, Anuria, Chest Pain, Disorientation, Diarrhoea, Difficulty breathing, Dysphagia, Fatigue, Fever, Headache, Hiccups, Myalgia, Seizure, Signs of shock/dehydration.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Clinical Signs:</w:t>
      </w:r>
      <w:r>
        <w:t xml:space="preserve"> </w:t>
      </w:r>
      <w:r>
        <w:t xml:space="preserve">Conjunctival injection, Lymphadenopathy, Jaundice, Oedema (face/neck), Palpable liver, Pharyngeal erythema, Rash, Sunken eyes, Tenting on skin pinch.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Severe Complications:</w:t>
      </w:r>
      <w:r>
        <w:t xml:space="preserve"> </w:t>
      </w:r>
      <w:r>
        <w:t xml:space="preserve">Severe thrombocytopenia, Hyper/Hypokaliemia, Renal impairment, Rhabdomyolysis, Severe hypoglycemia.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Expected Output 4: Prognostic Association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Visualizations and summary tables for clinical predictors of mortality: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Outcome by Admission Delay:</w:t>
      </w:r>
      <w:r>
        <w:t xml:space="preserve"> </w:t>
      </w:r>
      <w:r>
        <w:t xml:space="preserve">Analysis of survival probability based on the time from symptom onset to ETU admission.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Outcome by Viral Load (Ct):</w:t>
      </w:r>
      <w:r>
        <w:t xml:space="preserve"> </w:t>
      </w:r>
      <w:r>
        <w:t xml:space="preserve">Stratification of mortality risk by admission Ct values (e.g., &lt;16, 16-18, 18-20, 20-22).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Predictor Forest Plot:</w:t>
      </w:r>
      <w:r>
        <w:t xml:space="preserve"> </w:t>
      </w:r>
      <w:r>
        <w:t xml:space="preserve">Presentation of</w:t>
      </w:r>
      <w:r>
        <w:t xml:space="preserve"> </w:t>
      </w:r>
      <w:r>
        <w:rPr>
          <w:b/>
          <w:bCs/>
        </w:rPr>
        <w:t xml:space="preserve">Relative Risks (RR)</w:t>
      </w:r>
      <w:r>
        <w:t xml:space="preserve"> </w:t>
      </w:r>
      <w:r>
        <w:t xml:space="preserve">and 95% CIs for key variables: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Continuous:</w:t>
      </w:r>
      <w:r>
        <w:t xml:space="preserve"> </w:t>
      </w:r>
      <w:r>
        <w:t xml:space="preserve">Ct at Admission, Admission Delay, Days from Treatment Initiation.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Categorical:</w:t>
      </w:r>
      <w:r>
        <w:t xml:space="preserve"> </w:t>
      </w:r>
      <w:r>
        <w:t xml:space="preserve">Specific Experimental Treatments (Remdesivir, Zmapp, mAb114), Presence of Bleeding Signs, Signs of Renal Impairment, Rhabdomyolysis.</w:t>
      </w:r>
    </w:p>
    <w:bookmarkEnd w:id="56"/>
    <w:bookmarkStart w:id="61" w:name="X38ec53dc4134c079aa6a1f88278556805a63330"/>
    <w:p>
      <w:pPr>
        <w:pStyle w:val="Heading1"/>
      </w:pPr>
      <w:r>
        <w:t xml:space="preserve">6. Variable Definitions for Analysis(</w:t>
      </w:r>
      <w:hyperlink w:anchor="tbl-variables">
        <w:r>
          <w:rPr>
            <w:rStyle w:val="Hyperlink"/>
          </w:rPr>
          <w:t xml:space="preserve">Table 2</w:t>
        </w:r>
      </w:hyperlink>
      <w:r>
        <w:t xml:space="preserve">)</w:t>
      </w:r>
    </w:p>
    <w:p>
      <w:pPr>
        <w:pStyle w:val="FirstParagraph"/>
      </w:pPr>
      <w:r>
        <w:t xml:space="preserve">To ensure a transparent and reproducible analytical workflow,</w:t>
      </w:r>
      <w:r>
        <w:t xml:space="preserve"> </w:t>
      </w:r>
      <w:hyperlink w:anchor="tbl-variable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summarizes the mapping of raw clinical indicators into standardized domains</w:t>
      </w:r>
      <w:r>
        <w:t xml:space="preserve"> </w:t>
      </w:r>
      <w:r>
        <w:t xml:space="preserve">for statistical modeling. Note that this list is non-exhaustive; all available fields from the North Kivu clinical record will be harmonized and remains accessible for exploratory sensitivity analyses.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variabl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Example of variable definitions</w:t>
            </w:r>
          </w:p>
          <w:p>
            <w:pPr>
              <w:jc w:val="center"/>
            </w:pPr>
            <w:r>
              <w:drawing>
                <wp:inline>
                  <wp:extent cx="5334000" cy="159742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_1.EVD.NorthKivu.SAP_2026-04-22_files/figure-docx/tbl-variables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97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60"/>
        </w:tc>
      </w:tr>
    </w:tbl>
    <w:p>
      <w:r>
        <w:pict>
          <v:rect style="width:0;height:1.5pt" o:hralign="center" o:hrstd="t" o:hr="t"/>
        </w:pict>
      </w:r>
    </w:p>
    <w:bookmarkEnd w:id="61"/>
    <w:bookmarkStart w:id="65" w:name="annexes"/>
    <w:p>
      <w:pPr>
        <w:pStyle w:val="Heading1"/>
      </w:pPr>
      <w:r>
        <w:t xml:space="preserve">Annexes</w:t>
      </w:r>
    </w:p>
    <w:bookmarkStart w:id="64" w:name="study-documentation-and-reproducibility"/>
    <w:p>
      <w:pPr>
        <w:pStyle w:val="Heading2"/>
      </w:pPr>
      <w:r>
        <w:t xml:space="preserve">Study Documentation and Reproducibility</w:t>
      </w:r>
    </w:p>
    <w:p>
      <w:pPr>
        <w:pStyle w:val="FirstParagraph"/>
      </w:pPr>
      <w:r>
        <w:t xml:space="preserve">To support the transparency of this Statistical Analysis Plan, the full technical documentation is provided below. These resources ensure that the variables summarized in</w:t>
      </w:r>
      <w:r>
        <w:t xml:space="preserve"> </w:t>
      </w:r>
      <w:hyperlink w:anchor="tbl-variable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can be mapped directly to the original collection instruments.</w:t>
      </w:r>
    </w:p>
    <w:p>
      <w:pPr>
        <w:pStyle w:val="Compact"/>
        <w:numPr>
          <w:ilvl w:val="0"/>
          <w:numId w:val="1010"/>
        </w:numPr>
      </w:pPr>
      <w:hyperlink r:id="rId62">
        <w:r>
          <w:rPr>
            <w:rStyle w:val="Hyperlink"/>
            <w:b/>
            <w:bCs/>
          </w:rPr>
          <w:t xml:space="preserve">Full Clinical Questionnaire (PDF)</w:t>
        </w:r>
      </w:hyperlink>
      <w:r>
        <w:t xml:space="preserve">: This document contains the complete set of questions, branching logic, and field labels used in the REDCap database.</w:t>
      </w:r>
    </w:p>
    <w:p>
      <w:pPr>
        <w:pStyle w:val="Compact"/>
        <w:numPr>
          <w:ilvl w:val="0"/>
          <w:numId w:val="1010"/>
        </w:numPr>
      </w:pPr>
      <w:hyperlink r:id="rId63">
        <w:r>
          <w:rPr>
            <w:rStyle w:val="Hyperlink"/>
            <w:b/>
            <w:bCs/>
          </w:rPr>
          <w:t xml:space="preserve">Data Codebook (CSV)</w:t>
        </w:r>
      </w:hyperlink>
      <w:r>
        <w:t xml:space="preserve">: The structured data dictionary containing variable names, factor levels, and validation rules for the analytic pipeline.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7" w:name="references"/>
    <w:p>
      <w:pPr>
        <w:pStyle w:val="Heading1"/>
      </w:pPr>
      <w:r>
        <w:t xml:space="preserve">REFERENCES</w:t>
      </w:r>
    </w:p>
    <w:bookmarkStart w:id="76" w:name="refs"/>
    <w:bookmarkStart w:id="67" w:name="ref-car"/>
    <w:p>
      <w:pPr>
        <w:pStyle w:val="Bibliography"/>
      </w:pPr>
      <w:r>
        <w:t xml:space="preserve">Fox, John, and Sanford Weisberg. 2019.</w:t>
      </w:r>
      <w:r>
        <w:t xml:space="preserve"> </w:t>
      </w:r>
      <w:r>
        <w:t xml:space="preserve">“An</w:t>
      </w:r>
      <w:r>
        <w:t xml:space="preserve"> </w:t>
      </w:r>
      <w:r>
        <w:t xml:space="preserve">r</w:t>
      </w:r>
      <w:r>
        <w:t xml:space="preserve"> </w:t>
      </w:r>
      <w:r>
        <w:t xml:space="preserve">Companion to Applied Regression.”</w:t>
      </w:r>
      <w:r>
        <w:t xml:space="preserve"> </w:t>
      </w:r>
      <w:hyperlink r:id="rId66">
        <w:r>
          <w:rPr>
            <w:rStyle w:val="Hyperlink"/>
          </w:rPr>
          <w:t xml:space="preserve">https://www.john-fox.ca/Companion/</w:t>
        </w:r>
      </w:hyperlink>
      <w:r>
        <w:t xml:space="preserve">.</w:t>
      </w:r>
    </w:p>
    <w:bookmarkEnd w:id="67"/>
    <w:bookmarkStart w:id="69" w:name="ref-glmnet"/>
    <w:p>
      <w:pPr>
        <w:pStyle w:val="Bibliography"/>
      </w:pPr>
      <w:r>
        <w:t xml:space="preserve">Friedman, Jerome, Trevor Hastie, and Robert Tibshirani. 2010.</w:t>
      </w:r>
      <w:r>
        <w:t xml:space="preserve"> </w:t>
      </w:r>
      <w:r>
        <w:t xml:space="preserve">“Regularization Paths for Generalized Linear Models via Coordinate Descent”</w:t>
      </w:r>
      <w:r>
        <w:t xml:space="preserve"> </w:t>
      </w:r>
      <w:r>
        <w:t xml:space="preserve">33.</w:t>
      </w:r>
      <w:r>
        <w:t xml:space="preserve"> </w:t>
      </w:r>
      <w:hyperlink r:id="rId68">
        <w:r>
          <w:rPr>
            <w:rStyle w:val="Hyperlink"/>
          </w:rPr>
          <w:t xml:space="preserve">https://doi.org/10.18637/jss.v033.i01</w:t>
        </w:r>
      </w:hyperlink>
      <w:r>
        <w:t xml:space="preserve">.</w:t>
      </w:r>
    </w:p>
    <w:bookmarkEnd w:id="69"/>
    <w:bookmarkStart w:id="71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”</w:t>
      </w:r>
      <w:r>
        <w:t xml:space="preserve"> </w:t>
      </w:r>
      <w:r>
        <w:t xml:space="preserve">4: 1686.</w:t>
      </w:r>
      <w:r>
        <w:t xml:space="preserve"> </w:t>
      </w:r>
      <w:hyperlink r:id="rId70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71"/>
    <w:bookmarkStart w:id="73" w:name="ref-lmtest"/>
    <w:p>
      <w:pPr>
        <w:pStyle w:val="Bibliography"/>
      </w:pPr>
      <w:r>
        <w:t xml:space="preserve">Zeileis, Achim, and Torsten Hothorn. 2002.</w:t>
      </w:r>
      <w:r>
        <w:t xml:space="preserve"> </w:t>
      </w:r>
      <w:r>
        <w:t xml:space="preserve">“Diagnostic Checking in Regression Relationships”</w:t>
      </w:r>
      <w:r>
        <w:t xml:space="preserve"> </w:t>
      </w:r>
      <w:r>
        <w:t xml:space="preserve">2.</w:t>
      </w:r>
      <w:r>
        <w:t xml:space="preserve"> </w:t>
      </w:r>
      <w:hyperlink r:id="rId72">
        <w:r>
          <w:rPr>
            <w:rStyle w:val="Hyperlink"/>
          </w:rPr>
          <w:t xml:space="preserve">https://CRAN.R-project.org/doc/Rnews/</w:t>
        </w:r>
      </w:hyperlink>
      <w:r>
        <w:t xml:space="preserve">.</w:t>
      </w:r>
    </w:p>
    <w:bookmarkEnd w:id="73"/>
    <w:bookmarkStart w:id="75" w:name="ref-sandwich"/>
    <w:p>
      <w:pPr>
        <w:pStyle w:val="Bibliography"/>
      </w:pPr>
      <w:r>
        <w:t xml:space="preserve">Zeileis, Achim, Susanne Koll, and Nathaniel Graham. 2020.</w:t>
      </w:r>
      <w:r>
        <w:t xml:space="preserve"> </w:t>
      </w:r>
      <w:r>
        <w:t xml:space="preserve">“Various Versatile Variances: An Object-Oriented Implementation of Clustered Covariances in</w:t>
      </w:r>
      <w:r>
        <w:t xml:space="preserve"> </w:t>
      </w:r>
      <w:r>
        <w:t xml:space="preserve">r</w:t>
      </w:r>
      <w:r>
        <w:t xml:space="preserve">”</w:t>
      </w:r>
      <w:r>
        <w:t xml:space="preserve"> </w:t>
      </w:r>
      <w:r>
        <w:t xml:space="preserve">95.</w:t>
      </w:r>
      <w:r>
        <w:t xml:space="preserve"> </w:t>
      </w:r>
      <w:hyperlink r:id="rId74">
        <w:r>
          <w:rPr>
            <w:rStyle w:val="Hyperlink"/>
          </w:rPr>
          <w:t xml:space="preserve">https://doi.org/10.18637/jss.v095.i01</w:t>
        </w:r>
      </w:hyperlink>
      <w:r>
        <w:t xml:space="preserve">.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32" Target="media/rId32.png" /><Relationship Type="http://schemas.openxmlformats.org/officeDocument/2006/relationships/image" Id="rId57" Target="media/rId57.png" /><Relationship Type="http://schemas.openxmlformats.org/officeDocument/2006/relationships/hyperlink" Id="rId72" Target="https://CRAN.R-project.org/doc/Rnews/" TargetMode="External" /><Relationship Type="http://schemas.openxmlformats.org/officeDocument/2006/relationships/hyperlink" Id="rId63" Target="https://achaillon.github.io/ebola/northkivu_SAP/EVD_ENG_data_dictionary.csv" TargetMode="External" /><Relationship Type="http://schemas.openxmlformats.org/officeDocument/2006/relationships/hyperlink" Id="rId62" Target="https://achaillon.github.io/ebola/northkivu_SAP/EbolaDRC2019OutbreakNKivu.pdf" TargetMode="External" /><Relationship Type="http://schemas.openxmlformats.org/officeDocument/2006/relationships/hyperlink" Id="rId68" Target="https://doi.org/10.18637/jss.v033.i01" TargetMode="External" /><Relationship Type="http://schemas.openxmlformats.org/officeDocument/2006/relationships/hyperlink" Id="rId74" Target="https://doi.org/10.18637/jss.v095.i01" TargetMode="External" /><Relationship Type="http://schemas.openxmlformats.org/officeDocument/2006/relationships/hyperlink" Id="rId70" Target="https://doi.org/10.21105/joss.01686" TargetMode="External" /><Relationship Type="http://schemas.openxmlformats.org/officeDocument/2006/relationships/hyperlink" Id="rId66" Target="https://www.john-fox.ca/Compan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CRAN.R-project.org/doc/Rnews/" TargetMode="External" /><Relationship Type="http://schemas.openxmlformats.org/officeDocument/2006/relationships/hyperlink" Id="rId63" Target="https://achaillon.github.io/ebola/northkivu_SAP/EVD_ENG_data_dictionary.csv" TargetMode="External" /><Relationship Type="http://schemas.openxmlformats.org/officeDocument/2006/relationships/hyperlink" Id="rId62" Target="https://achaillon.github.io/ebola/northkivu_SAP/EbolaDRC2019OutbreakNKivu.pdf" TargetMode="External" /><Relationship Type="http://schemas.openxmlformats.org/officeDocument/2006/relationships/hyperlink" Id="rId68" Target="https://doi.org/10.18637/jss.v033.i01" TargetMode="External" /><Relationship Type="http://schemas.openxmlformats.org/officeDocument/2006/relationships/hyperlink" Id="rId74" Target="https://doi.org/10.18637/jss.v095.i01" TargetMode="External" /><Relationship Type="http://schemas.openxmlformats.org/officeDocument/2006/relationships/hyperlink" Id="rId70" Target="https://doi.org/10.21105/joss.01686" TargetMode="External" /><Relationship Type="http://schemas.openxmlformats.org/officeDocument/2006/relationships/hyperlink" Id="rId66" Target="https://www.john-fox.ca/Compan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Secondary Analysis of Clinical Determinants for Ebola Virus Disease (EVD)</dc:title>
  <dc:creator>WHO Global Clinical Platform</dc:creator>
  <dc:language>en</dc:language>
  <cp:keywords/>
  <dcterms:created xsi:type="dcterms:W3CDTF">2026-04-23T12:08:16Z</dcterms:created>
  <dcterms:modified xsi:type="dcterms:W3CDTF">2026-04-23T12:08:16Z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date">
    <vt:lpwstr>2026-04-01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🇨🇩 2019 North Kivu Outbreak</vt:lpwstr>
  </property>
  <property fmtid="{D5CDD505-2E9C-101B-9397-08002B2CF9AE}" pid="15" name="toc-title">
    <vt:lpwstr>Table of contents</vt:lpwstr>
  </property>
</Properties>
</file>