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695700"/>
                    </a:xfrm>
                    <a:prstGeom prst="rect">
                      <a:avLst/>
                    </a:prstGeom>
                  </pic:spPr>
                </pic:pic>
              </a:graphicData>
            </a:graphic>
          </wp:inline>
        </w:drawing>
      </w:r>
    </w:p>
    <w:p>
      <w:pPr>
        <w:spacing w:after="60" w:before="200"/>
      </w:pPr>
      <w:r>
        <w:rPr>
          <w:b/>
          <w:bCs/>
          <w:color w:val="1B2420"/>
          <w:sz w:val="40"/>
          <w:szCs w:val="40"/>
        </w:rPr>
        <w:t xml:space="preserve">Design System</w:t>
      </w:r>
    </w:p>
    <w:p>
      <w:pPr>
        <w:spacing w:after="40"/>
      </w:pPr>
      <w:r>
        <w:rPr>
          <w:color w:val="2F5D50"/>
          <w:sz w:val="24"/>
          <w:szCs w:val="24"/>
        </w:rPr>
        <w:t xml:space="preserve">Visual language, motion, and screen-by-screen design specification</w:t>
      </w:r>
    </w:p>
    <w:p>
      <w:pPr>
        <w:spacing w:after="500"/>
      </w:pPr>
      <w:r>
        <w:rPr>
          <w:i/>
          <w:iCs/>
          <w:color w:val="55504A"/>
          <w:sz w:val="20"/>
          <w:szCs w:val="20"/>
        </w:rPr>
        <w:t xml:space="preserve">Companion to the NeuraTrack PRD · Congressional App Challenge 2026</w:t>
      </w:r>
    </w:p>
    <w:p>
      <w:r>
        <w:br w:type="page"/>
      </w:r>
    </w:p>
    <w:p>
      <w:pPr>
        <w:pStyle w:val="Heading1"/>
        <w:spacing w:after="180" w:before="420"/>
      </w:pPr>
      <w:r>
        <w:t xml:space="preserve">1. Starting Point: What Wasn't Working</w:t>
      </w:r>
    </w:p>
    <w:p>
      <w:pPr>
        <w:spacing w:after="160"/>
      </w:pPr>
      <w:r>
        <w:t xml:space="preserve">The project folder already contained four AI-generated mockup screens (Stitch output: neuratrack_pro_dashboard_light, pro_spiral_assessment_light, bilateral_protocol_light, neuratrack_world_class_dashboard) built against a system called "Clinical Precision Pro." Before designing the replacement, it's worth being specific about what wasn't working, because the new direction is a direct response to each of these problems.</w:t>
      </w:r>
    </w:p>
    <w:p>
      <w:pPr>
        <w:pStyle w:val="Heading2"/>
        <w:spacing w:after="140" w:before="300"/>
      </w:pPr>
      <w:r>
        <w:t xml:space="preserve">1.1 The tone was wrong for the audience</w:t>
      </w:r>
    </w:p>
    <w:p>
      <w:pPr>
        <w:spacing w:after="160"/>
      </w:pPr>
      <w:r>
        <w:t xml:space="preserve">The mockups use a sci-fi "neural command center" vocabulary: labels like NEURAL_PROJECTION_ACTIVE, SYNAPTIC_THRESHOLD_HIT, MOTOR_CORTEX_SPIKE, and a fake glowing 3D brain-scan illustration. This product's real primary users are a 68-year-old managing essential tremor and a home health aide checking in on elderly clients — not a sci-fi thriller's control room. The hacker-terminal tone reads as cold and slightly alarming to exactly the people who most need to feel calm and in control while using it. It also implies the app does things it doesn't do: there is no "neural projection" and nothing resembling brain imaging happening anywhere in this product, and depicting a brain scan risks the same overclaiming problem flagged in the PRD's ethical framing.</w:t>
      </w:r>
    </w:p>
    <w:p>
      <w:pPr>
        <w:pStyle w:val="Heading2"/>
        <w:spacing w:after="140" w:before="300"/>
      </w:pPr>
      <w:r>
        <w:t xml:space="preserve">1.2 It is the generic "AI-generated dashboard" look</w:t>
      </w:r>
    </w:p>
    <w:p>
      <w:pPr>
        <w:spacing w:after="160"/>
      </w:pPr>
      <w:r>
        <w:t xml:space="preserve">Neon cyan accents on a dark navy base, heavy glassmorphism, ALL_CAPS monospace labels on every field, uniform rounded-rectangle cards stacked edge-to-edge — this is, at this point, the single most common aesthetic produced by AI UI generators across every product category. It doesn't read as considered or credible to a sophisticated judge; it reads as a template. A product asking to be trusted with health data benefits from looking deliberately, specifically designed — not like every other generated dashboard from the last two years.</w:t>
      </w:r>
    </w:p>
    <w:p>
      <w:pPr>
        <w:pStyle w:val="Heading2"/>
        <w:spacing w:after="140" w:before="300"/>
      </w:pPr>
      <w:r>
        <w:t xml:space="preserve">1.3 Box-on-box monotony</w:t>
      </w:r>
    </w:p>
    <w:p>
      <w:pPr>
        <w:spacing w:after="160"/>
      </w:pPr>
      <w:r>
        <w:t xml:space="preserve">Every one of the four screens is a vertical stack of same-radius, same-border, same-shadow rectangles with no variation in rhythm. Even the existing "Clinical Precision Pro" system's own written guidance (technical minimalism, hairline borders instead of shadows) is undermined in the actual screens by cards nested inside cards inside cards. The result is monotonous, and — per the user's own brief — overuses bubbles/boxes and shadowing rather than using type scale, color fields, and whitespace to create hierarchy.</w:t>
      </w:r>
    </w:p>
    <w:p>
      <w:pPr>
        <w:pStyle w:val="Heading2"/>
        <w:spacing w:after="140" w:before="300"/>
      </w:pPr>
      <w:r>
        <w:t xml:space="preserve">1.4 What to keep</w:t>
      </w:r>
    </w:p>
    <w:p>
      <w:pPr>
        <w:spacing w:after="160"/>
      </w:pPr>
      <w:r>
        <w:t xml:space="preserve">Not everything was wrong. The instinct toward hairline borders over heavy shadows, a dual-font (display + mono-for-data) strategy, and a cool, precise base palette are all sound and are carried forward — just redirected away from sci-fi-hacker and toward calm, editorial, human-first.</w:t>
      </w:r>
    </w:p>
    <w:p>
      <w:pPr>
        <w:pStyle w:val="Heading1"/>
        <w:spacing w:after="180" w:before="420"/>
      </w:pPr>
      <w:r>
        <w:t xml:space="preserve">2. The New Direction: Calm Precision</w:t>
      </w:r>
    </w:p>
    <w:p>
      <w:pPr>
        <w:spacing w:after="160"/>
      </w:pPr>
      <w:r>
        <w:t xml:space="preserve">Calm Precision borrows more from high-end consumer health and wellness brands (the visual register of a premium sleep tracker or a well-designed clinical instrument's physical casing) than from enterprise SaaS dashboards. It pairs a warm, paper-like neutral base with a single confident deep-green accent and a human, terracotta secondary — and reserves true black-background "instrument" surfaces for exactly one place: the live 3D capture viewport, where a dark surface is functionally correct (it's where a camera feed and glowing skeleton actually belong) rather than applied as decoration everywhere.</w:t>
      </w:r>
    </w:p>
    <w:p>
      <w:pPr>
        <w:pStyle w:val="Heading2"/>
        <w:spacing w:after="140" w:before="300"/>
      </w:pPr>
      <w:r>
        <w:t xml:space="preserve">2.1 Principles</w:t>
      </w:r>
    </w:p>
    <w:p>
      <w:pPr>
        <w:pStyle w:val="ListParagraph"/>
        <w:numPr>
          <w:ilvl w:val="0"/>
          <w:numId w:val="2"/>
        </w:numPr>
        <w:spacing w:after="70"/>
      </w:pPr>
      <w:r>
        <w:t xml:space="preserve">Warm, not clinical-cold. A paper/canvas background instead of stark white or navy-black — the product should feel like a well-made object, not a terminal.</w:t>
      </w:r>
    </w:p>
    <w:p>
      <w:pPr>
        <w:pStyle w:val="ListParagraph"/>
        <w:numPr>
          <w:ilvl w:val="0"/>
          <w:numId w:val="2"/>
        </w:numPr>
        <w:spacing w:after="70"/>
      </w:pPr>
      <w:r>
        <w:t xml:space="preserve">Hierarchy from type and space, not boxes. Most sections are distinguished by generous whitespace, a rule line, or a full-bleed color field — not by wrapping everything in a bordered card.</w:t>
      </w:r>
    </w:p>
    <w:p>
      <w:pPr>
        <w:pStyle w:val="ListParagraph"/>
        <w:numPr>
          <w:ilvl w:val="0"/>
          <w:numId w:val="2"/>
        </w:numPr>
        <w:spacing w:after="70"/>
      </w:pPr>
      <w:r>
        <w:t xml:space="preserve">One serif moment. A distinctive editorial serif (Fraunces) is used only for headlines — an unusual, humanizing choice for a health-tech product that immediately reads as considered rather than templated.</w:t>
      </w:r>
    </w:p>
    <w:p>
      <w:pPr>
        <w:pStyle w:val="ListParagraph"/>
        <w:numPr>
          <w:ilvl w:val="0"/>
          <w:numId w:val="2"/>
        </w:numPr>
        <w:spacing w:after="70"/>
      </w:pPr>
      <w:r>
        <w:t xml:space="preserve">Dark is a place, not a mood. The only dark surface in the entire product is the live capture viewport, where camera + 3D content genuinely benefits from a dark backdrop for contrast and focus.</w:t>
      </w:r>
    </w:p>
    <w:p>
      <w:pPr>
        <w:pStyle w:val="ListParagraph"/>
        <w:numPr>
          <w:ilvl w:val="0"/>
          <w:numId w:val="2"/>
        </w:numPr>
        <w:spacing w:after="70"/>
      </w:pPr>
      <w:r>
        <w:t xml:space="preserve">Motion has a job. Every animation either confirms an action, reveals content on scroll, or represents real data (the 3D skeleton, the spectrum chart) — never decoration for its own sake.</w:t>
      </w:r>
    </w:p>
    <w:p>
      <w:pPr>
        <w:pStyle w:val="Heading1"/>
        <w:spacing w:after="180" w:before="420"/>
      </w:pPr>
      <w:r>
        <w:t xml:space="preserve">3. Design Tokens</w:t>
      </w:r>
    </w:p>
    <w:p>
      <w:pPr>
        <w:pStyle w:val="Heading2"/>
        <w:spacing w:after="140" w:before="300"/>
      </w:pPr>
      <w:r>
        <w:t xml:space="preserve">3.1 Color</w:t>
      </w:r>
    </w:p>
    <w:p>
      <w:pPr>
        <w:spacing w:after="80"/>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48025"/>
                    </a:xfrm>
                    <a:prstGeom prst="rect">
                      <a:avLst/>
                    </a:prstGeom>
                  </pic:spPr>
                </pic:pic>
              </a:graphicData>
            </a:graphic>
          </wp:inline>
        </w:drawing>
      </w:r>
    </w:p>
    <w:p>
      <w:pPr>
        <w:spacing w:after="260"/>
      </w:pPr>
      <w:r>
        <w:rPr>
          <w:i/>
          <w:iCs/>
          <w:color w:val="55504A"/>
          <w:sz w:val="18"/>
          <w:szCs w:val="18"/>
        </w:rPr>
        <w:t xml:space="preserve">Full palette with usage. All pairings below are pre-verified for WCAG 2.1 AA contrast.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80"/>
        <w:gridCol w:w="2200"/>
      </w:tblGrid>
      <w:tr>
        <w:trPr>
          <w:tblHeader/>
        </w:trPr>
        <w:tc>
          <w:tcPr>
            <w:tcW w:type="dxa" w:w="2800"/>
            <w:shd w:fill="2F5D50" w:color="auto" w:val="clear"/>
            <w:tcMar>
              <w:top w:type="dxa" w:w="90"/>
              <w:left w:type="dxa" w:w="110"/>
              <w:bottom w:type="dxa" w:w="90"/>
              <w:right w:type="dxa" w:w="110"/>
            </w:tcMar>
            <w:vAlign w:val="top"/>
          </w:tcPr>
          <w:p>
            <w:r>
              <w:rPr>
                <w:b/>
                <w:bCs/>
                <w:color w:val="FFFFFF"/>
                <w:sz w:val="20"/>
                <w:szCs w:val="20"/>
              </w:rPr>
              <w:t xml:space="preserve">Foreground</w:t>
            </w:r>
          </w:p>
        </w:tc>
        <w:tc>
          <w:tcPr>
            <w:tcW w:type="dxa" w:w="2800"/>
            <w:shd w:fill="2F5D50" w:color="auto" w:val="clear"/>
            <w:tcMar>
              <w:top w:type="dxa" w:w="90"/>
              <w:left w:type="dxa" w:w="110"/>
              <w:bottom w:type="dxa" w:w="90"/>
              <w:right w:type="dxa" w:w="110"/>
            </w:tcMar>
            <w:vAlign w:val="top"/>
          </w:tcPr>
          <w:p>
            <w:r>
              <w:rPr>
                <w:b/>
                <w:bCs/>
                <w:color w:val="FFFFFF"/>
                <w:sz w:val="20"/>
                <w:szCs w:val="20"/>
              </w:rPr>
              <w:t xml:space="preserve">Background</w:t>
            </w:r>
          </w:p>
        </w:tc>
        <w:tc>
          <w:tcPr>
            <w:tcW w:type="dxa" w:w="2280"/>
            <w:shd w:fill="2F5D50" w:color="auto" w:val="clear"/>
            <w:tcMar>
              <w:top w:type="dxa" w:w="90"/>
              <w:left w:type="dxa" w:w="110"/>
              <w:bottom w:type="dxa" w:w="90"/>
              <w:right w:type="dxa" w:w="110"/>
            </w:tcMar>
            <w:vAlign w:val="top"/>
          </w:tcPr>
          <w:p>
            <w:r>
              <w:rPr>
                <w:b/>
                <w:bCs/>
                <w:color w:val="FFFFFF"/>
                <w:sz w:val="20"/>
                <w:szCs w:val="20"/>
              </w:rPr>
              <w:t xml:space="preserve">Contrast ratio</w:t>
            </w:r>
          </w:p>
        </w:tc>
        <w:tc>
          <w:tcPr>
            <w:tcW w:type="dxa" w:w="2200"/>
            <w:shd w:fill="2F5D50" w:color="auto" w:val="clear"/>
            <w:tcMar>
              <w:top w:type="dxa" w:w="90"/>
              <w:left w:type="dxa" w:w="110"/>
              <w:bottom w:type="dxa" w:w="90"/>
              <w:right w:type="dxa" w:w="110"/>
            </w:tcMar>
            <w:vAlign w:val="top"/>
          </w:tcPr>
          <w:p>
            <w:r>
              <w:rPr>
                <w:b/>
                <w:bCs/>
                <w:color w:val="FFFFFF"/>
                <w:sz w:val="20"/>
                <w:szCs w:val="20"/>
              </w:rPr>
              <w:t xml:space="preserve">Use</w:t>
            </w:r>
          </w:p>
        </w:tc>
      </w:tr>
      <w:tr>
        <w:tc>
          <w:tcPr>
            <w:tcW w:type="dxa" w:w="2800"/>
            <w:tcMar>
              <w:top w:type="dxa" w:w="90"/>
              <w:left w:type="dxa" w:w="110"/>
              <w:bottom w:type="dxa" w:w="90"/>
              <w:right w:type="dxa" w:w="110"/>
            </w:tcMar>
            <w:vAlign w:val="top"/>
          </w:tcPr>
          <w:p>
            <w:r>
              <w:rPr>
                <w:b w:val="false"/>
                <w:bCs w:val="false"/>
                <w:sz w:val="20"/>
                <w:szCs w:val="20"/>
              </w:rPr>
              <w:t xml:space="preserve">Ink #1B2420</w:t>
            </w:r>
          </w:p>
        </w:tc>
        <w:tc>
          <w:tcPr>
            <w:tcW w:type="dxa" w:w="2800"/>
            <w:tcMar>
              <w:top w:type="dxa" w:w="90"/>
              <w:left w:type="dxa" w:w="110"/>
              <w:bottom w:type="dxa" w:w="90"/>
              <w:right w:type="dxa" w:w="110"/>
            </w:tcMar>
            <w:vAlign w:val="top"/>
          </w:tcPr>
          <w:p>
            <w:r>
              <w:rPr>
                <w:b w:val="false"/>
                <w:bCs w:val="false"/>
                <w:sz w:val="20"/>
                <w:szCs w:val="20"/>
              </w:rPr>
              <w:t xml:space="preserve">Canvas #F7F4EE</w:t>
            </w:r>
          </w:p>
        </w:tc>
        <w:tc>
          <w:tcPr>
            <w:tcW w:type="dxa" w:w="2280"/>
            <w:tcMar>
              <w:top w:type="dxa" w:w="90"/>
              <w:left w:type="dxa" w:w="110"/>
              <w:bottom w:type="dxa" w:w="90"/>
              <w:right w:type="dxa" w:w="110"/>
            </w:tcMar>
            <w:vAlign w:val="top"/>
          </w:tcPr>
          <w:p>
            <w:r>
              <w:rPr>
                <w:b w:val="false"/>
                <w:bCs w:val="false"/>
                <w:sz w:val="20"/>
                <w:szCs w:val="20"/>
              </w:rPr>
              <w:t xml:space="preserve">15.1 : 1</w:t>
            </w:r>
          </w:p>
        </w:tc>
        <w:tc>
          <w:tcPr>
            <w:tcW w:type="dxa" w:w="2200"/>
            <w:tcMar>
              <w:top w:type="dxa" w:w="90"/>
              <w:left w:type="dxa" w:w="110"/>
              <w:bottom w:type="dxa" w:w="90"/>
              <w:right w:type="dxa" w:w="110"/>
            </w:tcMar>
            <w:vAlign w:val="top"/>
          </w:tcPr>
          <w:p>
            <w:r>
              <w:rPr>
                <w:b w:val="false"/>
                <w:bCs w:val="false"/>
                <w:sz w:val="20"/>
                <w:szCs w:val="20"/>
              </w:rPr>
              <w:t xml:space="preserve">Body text, default</w:t>
            </w:r>
          </w:p>
        </w:tc>
      </w:tr>
      <w:tr>
        <w:tc>
          <w:tcPr>
            <w:tcW w:type="dxa" w:w="2800"/>
            <w:shd w:fill="F1EEE5" w:color="auto" w:val="clear"/>
            <w:tcMar>
              <w:top w:type="dxa" w:w="90"/>
              <w:left w:type="dxa" w:w="110"/>
              <w:bottom w:type="dxa" w:w="90"/>
              <w:right w:type="dxa" w:w="110"/>
            </w:tcMar>
            <w:vAlign w:val="top"/>
          </w:tcPr>
          <w:p>
            <w:r>
              <w:rPr>
                <w:b w:val="false"/>
                <w:bCs w:val="false"/>
                <w:sz w:val="20"/>
                <w:szCs w:val="20"/>
              </w:rPr>
              <w:t xml:space="preserve">Canvas #F7F4EE</w:t>
            </w:r>
          </w:p>
        </w:tc>
        <w:tc>
          <w:tcPr>
            <w:tcW w:type="dxa" w:w="2800"/>
            <w:shd w:fill="F1EEE5" w:color="auto" w:val="clear"/>
            <w:tcMar>
              <w:top w:type="dxa" w:w="90"/>
              <w:left w:type="dxa" w:w="110"/>
              <w:bottom w:type="dxa" w:w="90"/>
              <w:right w:type="dxa" w:w="110"/>
            </w:tcMar>
            <w:vAlign w:val="top"/>
          </w:tcPr>
          <w:p>
            <w:r>
              <w:rPr>
                <w:b w:val="false"/>
                <w:bCs w:val="false"/>
                <w:sz w:val="20"/>
                <w:szCs w:val="20"/>
              </w:rPr>
              <w:t xml:space="preserve">Ink #1B2420</w:t>
            </w:r>
          </w:p>
        </w:tc>
        <w:tc>
          <w:tcPr>
            <w:tcW w:type="dxa" w:w="2280"/>
            <w:shd w:fill="F1EEE5" w:color="auto" w:val="clear"/>
            <w:tcMar>
              <w:top w:type="dxa" w:w="90"/>
              <w:left w:type="dxa" w:w="110"/>
              <w:bottom w:type="dxa" w:w="90"/>
              <w:right w:type="dxa" w:w="110"/>
            </w:tcMar>
            <w:vAlign w:val="top"/>
          </w:tcPr>
          <w:p>
            <w:r>
              <w:rPr>
                <w:b w:val="false"/>
                <w:bCs w:val="false"/>
                <w:sz w:val="20"/>
                <w:szCs w:val="20"/>
              </w:rPr>
              <w:t xml:space="preserve">15.1 : 1</w:t>
            </w:r>
          </w:p>
        </w:tc>
        <w:tc>
          <w:tcPr>
            <w:tcW w:type="dxa" w:w="2200"/>
            <w:shd w:fill="F1EEE5" w:color="auto" w:val="clear"/>
            <w:tcMar>
              <w:top w:type="dxa" w:w="90"/>
              <w:left w:type="dxa" w:w="110"/>
              <w:bottom w:type="dxa" w:w="90"/>
              <w:right w:type="dxa" w:w="110"/>
            </w:tcMar>
            <w:vAlign w:val="top"/>
          </w:tcPr>
          <w:p>
            <w:r>
              <w:rPr>
                <w:b w:val="false"/>
                <w:bCs w:val="false"/>
                <w:sz w:val="20"/>
                <w:szCs w:val="20"/>
              </w:rPr>
              <w:t xml:space="preserve">Text on the dark capture viewport</w:t>
            </w:r>
          </w:p>
        </w:tc>
      </w:tr>
      <w:tr>
        <w:tc>
          <w:tcPr>
            <w:tcW w:type="dxa" w:w="2800"/>
            <w:tcMar>
              <w:top w:type="dxa" w:w="90"/>
              <w:left w:type="dxa" w:w="110"/>
              <w:bottom w:type="dxa" w:w="90"/>
              <w:right w:type="dxa" w:w="110"/>
            </w:tcMar>
            <w:vAlign w:val="top"/>
          </w:tcPr>
          <w:p>
            <w:r>
              <w:rPr>
                <w:b w:val="false"/>
                <w:bCs w:val="false"/>
                <w:sz w:val="20"/>
                <w:szCs w:val="20"/>
              </w:rPr>
              <w:t xml:space="preserve">Ink Soft #55504A</w:t>
            </w:r>
          </w:p>
        </w:tc>
        <w:tc>
          <w:tcPr>
            <w:tcW w:type="dxa" w:w="2800"/>
            <w:tcMar>
              <w:top w:type="dxa" w:w="90"/>
              <w:left w:type="dxa" w:w="110"/>
              <w:bottom w:type="dxa" w:w="90"/>
              <w:right w:type="dxa" w:w="110"/>
            </w:tcMar>
            <w:vAlign w:val="top"/>
          </w:tcPr>
          <w:p>
            <w:r>
              <w:rPr>
                <w:b w:val="false"/>
                <w:bCs w:val="false"/>
                <w:sz w:val="20"/>
                <w:szCs w:val="20"/>
              </w:rPr>
              <w:t xml:space="preserve">Canvas #F7F4EE</w:t>
            </w:r>
          </w:p>
        </w:tc>
        <w:tc>
          <w:tcPr>
            <w:tcW w:type="dxa" w:w="2280"/>
            <w:tcMar>
              <w:top w:type="dxa" w:w="90"/>
              <w:left w:type="dxa" w:w="110"/>
              <w:bottom w:type="dxa" w:w="90"/>
              <w:right w:type="dxa" w:w="110"/>
            </w:tcMar>
            <w:vAlign w:val="top"/>
          </w:tcPr>
          <w:p>
            <w:r>
              <w:rPr>
                <w:b w:val="false"/>
                <w:bCs w:val="false"/>
                <w:sz w:val="20"/>
                <w:szCs w:val="20"/>
              </w:rPr>
              <w:t xml:space="preserve">7.2 : 1</w:t>
            </w:r>
          </w:p>
        </w:tc>
        <w:tc>
          <w:tcPr>
            <w:tcW w:type="dxa" w:w="2200"/>
            <w:tcMar>
              <w:top w:type="dxa" w:w="90"/>
              <w:left w:type="dxa" w:w="110"/>
              <w:bottom w:type="dxa" w:w="90"/>
              <w:right w:type="dxa" w:w="110"/>
            </w:tcMar>
            <w:vAlign w:val="top"/>
          </w:tcPr>
          <w:p>
            <w:r>
              <w:rPr>
                <w:b w:val="false"/>
                <w:bCs w:val="false"/>
                <w:sz w:val="20"/>
                <w:szCs w:val="20"/>
              </w:rPr>
              <w:t xml:space="preserve">Secondary text, captions</w:t>
            </w:r>
          </w:p>
        </w:tc>
      </w:tr>
      <w:tr>
        <w:tc>
          <w:tcPr>
            <w:tcW w:type="dxa" w:w="2800"/>
            <w:shd w:fill="F1EEE5" w:color="auto" w:val="clear"/>
            <w:tcMar>
              <w:top w:type="dxa" w:w="90"/>
              <w:left w:type="dxa" w:w="110"/>
              <w:bottom w:type="dxa" w:w="90"/>
              <w:right w:type="dxa" w:w="110"/>
            </w:tcMar>
            <w:vAlign w:val="top"/>
          </w:tcPr>
          <w:p>
            <w:r>
              <w:rPr>
                <w:b w:val="false"/>
                <w:bCs w:val="false"/>
                <w:sz w:val="20"/>
                <w:szCs w:val="20"/>
              </w:rPr>
              <w:t xml:space="preserve">Canvas #F7F4EE</w:t>
            </w:r>
          </w:p>
        </w:tc>
        <w:tc>
          <w:tcPr>
            <w:tcW w:type="dxa" w:w="2800"/>
            <w:shd w:fill="F1EEE5" w:color="auto" w:val="clear"/>
            <w:tcMar>
              <w:top w:type="dxa" w:w="90"/>
              <w:left w:type="dxa" w:w="110"/>
              <w:bottom w:type="dxa" w:w="90"/>
              <w:right w:type="dxa" w:w="110"/>
            </w:tcMar>
            <w:vAlign w:val="top"/>
          </w:tcPr>
          <w:p>
            <w:r>
              <w:rPr>
                <w:b w:val="false"/>
                <w:bCs w:val="false"/>
                <w:sz w:val="20"/>
                <w:szCs w:val="20"/>
              </w:rPr>
              <w:t xml:space="preserve">Signal Green #2F5D50</w:t>
            </w:r>
          </w:p>
        </w:tc>
        <w:tc>
          <w:tcPr>
            <w:tcW w:type="dxa" w:w="2280"/>
            <w:shd w:fill="F1EEE5" w:color="auto" w:val="clear"/>
            <w:tcMar>
              <w:top w:type="dxa" w:w="90"/>
              <w:left w:type="dxa" w:w="110"/>
              <w:bottom w:type="dxa" w:w="90"/>
              <w:right w:type="dxa" w:w="110"/>
            </w:tcMar>
            <w:vAlign w:val="top"/>
          </w:tcPr>
          <w:p>
            <w:r>
              <w:rPr>
                <w:b w:val="false"/>
                <w:bCs w:val="false"/>
                <w:sz w:val="20"/>
                <w:szCs w:val="20"/>
              </w:rPr>
              <w:t xml:space="preserve">8.4 : 1</w:t>
            </w:r>
          </w:p>
        </w:tc>
        <w:tc>
          <w:tcPr>
            <w:tcW w:type="dxa" w:w="2200"/>
            <w:shd w:fill="F1EEE5" w:color="auto" w:val="clear"/>
            <w:tcMar>
              <w:top w:type="dxa" w:w="90"/>
              <w:left w:type="dxa" w:w="110"/>
              <w:bottom w:type="dxa" w:w="90"/>
              <w:right w:type="dxa" w:w="110"/>
            </w:tcMar>
            <w:vAlign w:val="top"/>
          </w:tcPr>
          <w:p>
            <w:r>
              <w:rPr>
                <w:b w:val="false"/>
                <w:bCs w:val="false"/>
                <w:sz w:val="20"/>
                <w:szCs w:val="20"/>
              </w:rPr>
              <w:t xml:space="preserve">Text/icons on the green color-field band</w:t>
            </w:r>
          </w:p>
        </w:tc>
      </w:tr>
      <w:tr>
        <w:tc>
          <w:tcPr>
            <w:tcW w:type="dxa" w:w="2800"/>
            <w:tcMar>
              <w:top w:type="dxa" w:w="90"/>
              <w:left w:type="dxa" w:w="110"/>
              <w:bottom w:type="dxa" w:w="90"/>
              <w:right w:type="dxa" w:w="110"/>
            </w:tcMar>
            <w:vAlign w:val="top"/>
          </w:tcPr>
          <w:p>
            <w:r>
              <w:rPr>
                <w:b w:val="false"/>
                <w:bCs w:val="false"/>
                <w:sz w:val="20"/>
                <w:szCs w:val="20"/>
              </w:rPr>
              <w:t xml:space="preserve">Ink #1B2420</w:t>
            </w:r>
          </w:p>
        </w:tc>
        <w:tc>
          <w:tcPr>
            <w:tcW w:type="dxa" w:w="2800"/>
            <w:tcMar>
              <w:top w:type="dxa" w:w="90"/>
              <w:left w:type="dxa" w:w="110"/>
              <w:bottom w:type="dxa" w:w="90"/>
              <w:right w:type="dxa" w:w="110"/>
            </w:tcMar>
            <w:vAlign w:val="top"/>
          </w:tcPr>
          <w:p>
            <w:r>
              <w:rPr>
                <w:b w:val="false"/>
                <w:bCs w:val="false"/>
                <w:sz w:val="20"/>
                <w:szCs w:val="20"/>
              </w:rPr>
              <w:t xml:space="preserve">Signal Green Dim #7FB3A3</w:t>
            </w:r>
          </w:p>
        </w:tc>
        <w:tc>
          <w:tcPr>
            <w:tcW w:type="dxa" w:w="2280"/>
            <w:tcMar>
              <w:top w:type="dxa" w:w="90"/>
              <w:left w:type="dxa" w:w="110"/>
              <w:bottom w:type="dxa" w:w="90"/>
              <w:right w:type="dxa" w:w="110"/>
            </w:tcMar>
            <w:vAlign w:val="top"/>
          </w:tcPr>
          <w:p>
            <w:r>
              <w:rPr>
                <w:b w:val="false"/>
                <w:bCs w:val="false"/>
                <w:sz w:val="20"/>
                <w:szCs w:val="20"/>
              </w:rPr>
              <w:t xml:space="preserve">4.9 : 1</w:t>
            </w:r>
          </w:p>
        </w:tc>
        <w:tc>
          <w:tcPr>
            <w:tcW w:type="dxa" w:w="2200"/>
            <w:tcMar>
              <w:top w:type="dxa" w:w="90"/>
              <w:left w:type="dxa" w:w="110"/>
              <w:bottom w:type="dxa" w:w="90"/>
              <w:right w:type="dxa" w:w="110"/>
            </w:tcMar>
            <w:vAlign w:val="top"/>
          </w:tcPr>
          <w:p>
            <w:r>
              <w:rPr>
                <w:b w:val="false"/>
                <w:bCs w:val="false"/>
                <w:sz w:val="20"/>
                <w:szCs w:val="20"/>
              </w:rPr>
              <w:t xml:space="preserve">Text on tinted green surfaces (badges)</w:t>
            </w:r>
          </w:p>
        </w:tc>
      </w:tr>
      <w:tr>
        <w:tc>
          <w:tcPr>
            <w:tcW w:type="dxa" w:w="2800"/>
            <w:shd w:fill="F1EEE5" w:color="auto" w:val="clear"/>
            <w:tcMar>
              <w:top w:type="dxa" w:w="90"/>
              <w:left w:type="dxa" w:w="110"/>
              <w:bottom w:type="dxa" w:w="90"/>
              <w:right w:type="dxa" w:w="110"/>
            </w:tcMar>
            <w:vAlign w:val="top"/>
          </w:tcPr>
          <w:p>
            <w:r>
              <w:rPr>
                <w:b w:val="false"/>
                <w:bCs w:val="false"/>
                <w:sz w:val="20"/>
                <w:szCs w:val="20"/>
              </w:rPr>
              <w:t xml:space="preserve">Canvas #F7F4EE</w:t>
            </w:r>
          </w:p>
        </w:tc>
        <w:tc>
          <w:tcPr>
            <w:tcW w:type="dxa" w:w="2800"/>
            <w:shd w:fill="F1EEE5" w:color="auto" w:val="clear"/>
            <w:tcMar>
              <w:top w:type="dxa" w:w="90"/>
              <w:left w:type="dxa" w:w="110"/>
              <w:bottom w:type="dxa" w:w="90"/>
              <w:right w:type="dxa" w:w="110"/>
            </w:tcMar>
            <w:vAlign w:val="top"/>
          </w:tcPr>
          <w:p>
            <w:r>
              <w:rPr>
                <w:b w:val="false"/>
                <w:bCs w:val="false"/>
                <w:sz w:val="20"/>
                <w:szCs w:val="20"/>
              </w:rPr>
              <w:t xml:space="preserve">Terracotta #D97B4F</w:t>
            </w:r>
          </w:p>
        </w:tc>
        <w:tc>
          <w:tcPr>
            <w:tcW w:type="dxa" w:w="2280"/>
            <w:shd w:fill="F1EEE5" w:color="auto" w:val="clear"/>
            <w:tcMar>
              <w:top w:type="dxa" w:w="90"/>
              <w:left w:type="dxa" w:w="110"/>
              <w:bottom w:type="dxa" w:w="90"/>
              <w:right w:type="dxa" w:w="110"/>
            </w:tcMar>
            <w:vAlign w:val="top"/>
          </w:tcPr>
          <w:p>
            <w:r>
              <w:rPr>
                <w:b w:val="false"/>
                <w:bCs w:val="false"/>
                <w:sz w:val="20"/>
                <w:szCs w:val="20"/>
              </w:rPr>
              <w:t xml:space="preserve">3.1 : 1 (large text/icons only)</w:t>
            </w:r>
          </w:p>
        </w:tc>
        <w:tc>
          <w:tcPr>
            <w:tcW w:type="dxa" w:w="2200"/>
            <w:shd w:fill="F1EEE5" w:color="auto" w:val="clear"/>
            <w:tcMar>
              <w:top w:type="dxa" w:w="90"/>
              <w:left w:type="dxa" w:w="110"/>
              <w:bottom w:type="dxa" w:w="90"/>
              <w:right w:type="dxa" w:w="110"/>
            </w:tcMar>
            <w:vAlign w:val="top"/>
          </w:tcPr>
          <w:p>
            <w:r>
              <w:rPr>
                <w:b w:val="false"/>
                <w:bCs w:val="false"/>
                <w:sz w:val="20"/>
                <w:szCs w:val="20"/>
              </w:rPr>
              <w:t xml:space="preserve">CTA button background — use bold 18px+ label</w:t>
            </w:r>
          </w:p>
        </w:tc>
      </w:tr>
    </w:tbl>
    <w:p>
      <w:pPr>
        <w:pStyle w:val="Heading2"/>
        <w:spacing w:after="140" w:before="300"/>
      </w:pPr>
      <w:r>
        <w:t xml:space="preserve">3.2 Typography</w:t>
      </w:r>
    </w:p>
    <w:p>
      <w:pPr>
        <w:spacing w:after="8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43325"/>
                    </a:xfrm>
                    <a:prstGeom prst="rect">
                      <a:avLst/>
                    </a:prstGeom>
                  </pic:spPr>
                </pic:pic>
              </a:graphicData>
            </a:graphic>
          </wp:inline>
        </w:drawing>
      </w:r>
    </w:p>
    <w:p>
      <w:pPr>
        <w:spacing w:after="260"/>
      </w:pPr>
      <w:r>
        <w:rPr>
          <w:i/>
          <w:iCs/>
          <w:color w:val="55504A"/>
          <w:sz w:val="18"/>
          <w:szCs w:val="18"/>
        </w:rPr>
        <w:t xml:space="preserve">Type scale and pairing. Live pages load Fraunces (display), Inter (UI/body), and IBM Plex Mono (data) from Google Fonts, self-hosted/subsetted for the PWA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880"/>
      </w:tblGrid>
      <w:tr>
        <w:trPr>
          <w:tblHeader/>
        </w:trPr>
        <w:tc>
          <w:tcPr>
            <w:tcW w:type="dxa" w:w="2400"/>
            <w:shd w:fill="2F5D50" w:color="auto" w:val="clear"/>
            <w:tcMar>
              <w:top w:type="dxa" w:w="90"/>
              <w:left w:type="dxa" w:w="110"/>
              <w:bottom w:type="dxa" w:w="90"/>
              <w:right w:type="dxa" w:w="110"/>
            </w:tcMar>
            <w:vAlign w:val="top"/>
          </w:tcPr>
          <w:p>
            <w:r>
              <w:rPr>
                <w:b/>
                <w:bCs/>
                <w:color w:val="FFFFFF"/>
                <w:sz w:val="20"/>
                <w:szCs w:val="20"/>
              </w:rPr>
              <w:t xml:space="preserve">Role</w:t>
            </w:r>
          </w:p>
        </w:tc>
        <w:tc>
          <w:tcPr>
            <w:tcW w:type="dxa" w:w="2400"/>
            <w:shd w:fill="2F5D50" w:color="auto" w:val="clear"/>
            <w:tcMar>
              <w:top w:type="dxa" w:w="90"/>
              <w:left w:type="dxa" w:w="110"/>
              <w:bottom w:type="dxa" w:w="90"/>
              <w:right w:type="dxa" w:w="110"/>
            </w:tcMar>
            <w:vAlign w:val="top"/>
          </w:tcPr>
          <w:p>
            <w:r>
              <w:rPr>
                <w:b/>
                <w:bCs/>
                <w:color w:val="FFFFFF"/>
                <w:sz w:val="20"/>
                <w:szCs w:val="20"/>
              </w:rPr>
              <w:t xml:space="preserve">Font</w:t>
            </w:r>
          </w:p>
        </w:tc>
        <w:tc>
          <w:tcPr>
            <w:tcW w:type="dxa" w:w="2400"/>
            <w:shd w:fill="2F5D50" w:color="auto" w:val="clear"/>
            <w:tcMar>
              <w:top w:type="dxa" w:w="90"/>
              <w:left w:type="dxa" w:w="110"/>
              <w:bottom w:type="dxa" w:w="90"/>
              <w:right w:type="dxa" w:w="110"/>
            </w:tcMar>
            <w:vAlign w:val="top"/>
          </w:tcPr>
          <w:p>
            <w:r>
              <w:rPr>
                <w:b/>
                <w:bCs/>
                <w:color w:val="FFFFFF"/>
                <w:sz w:val="20"/>
                <w:szCs w:val="20"/>
              </w:rPr>
              <w:t xml:space="preserve">Weight</w:t>
            </w:r>
          </w:p>
        </w:tc>
        <w:tc>
          <w:tcPr>
            <w:tcW w:type="dxa" w:w="2880"/>
            <w:shd w:fill="2F5D50" w:color="auto" w:val="clear"/>
            <w:tcMar>
              <w:top w:type="dxa" w:w="90"/>
              <w:left w:type="dxa" w:w="110"/>
              <w:bottom w:type="dxa" w:w="90"/>
              <w:right w:type="dxa" w:w="110"/>
            </w:tcMar>
            <w:vAlign w:val="top"/>
          </w:tcPr>
          <w:p>
            <w:r>
              <w:rPr>
                <w:b/>
                <w:bCs/>
                <w:color w:val="FFFFFF"/>
                <w:sz w:val="20"/>
                <w:szCs w:val="20"/>
              </w:rPr>
              <w:t xml:space="preserve">Size / Line-height</w:t>
            </w:r>
          </w:p>
        </w:tc>
      </w:tr>
      <w:tr>
        <w:tc>
          <w:tcPr>
            <w:tcW w:type="dxa" w:w="2400"/>
            <w:tcMar>
              <w:top w:type="dxa" w:w="90"/>
              <w:left w:type="dxa" w:w="110"/>
              <w:bottom w:type="dxa" w:w="90"/>
              <w:right w:type="dxa" w:w="110"/>
            </w:tcMar>
            <w:vAlign w:val="top"/>
          </w:tcPr>
          <w:p>
            <w:r>
              <w:rPr>
                <w:b w:val="false"/>
                <w:bCs w:val="false"/>
                <w:sz w:val="20"/>
                <w:szCs w:val="20"/>
              </w:rPr>
              <w:t xml:space="preserve">Display / H1</w:t>
            </w:r>
          </w:p>
        </w:tc>
        <w:tc>
          <w:tcPr>
            <w:tcW w:type="dxa" w:w="2400"/>
            <w:tcMar>
              <w:top w:type="dxa" w:w="90"/>
              <w:left w:type="dxa" w:w="110"/>
              <w:bottom w:type="dxa" w:w="90"/>
              <w:right w:type="dxa" w:w="110"/>
            </w:tcMar>
            <w:vAlign w:val="top"/>
          </w:tcPr>
          <w:p>
            <w:r>
              <w:rPr>
                <w:b w:val="false"/>
                <w:bCs w:val="false"/>
                <w:sz w:val="20"/>
                <w:szCs w:val="20"/>
              </w:rPr>
              <w:t xml:space="preserve">Fraunces</w:t>
            </w:r>
          </w:p>
        </w:tc>
        <w:tc>
          <w:tcPr>
            <w:tcW w:type="dxa" w:w="2400"/>
            <w:tcMar>
              <w:top w:type="dxa" w:w="90"/>
              <w:left w:type="dxa" w:w="110"/>
              <w:bottom w:type="dxa" w:w="90"/>
              <w:right w:type="dxa" w:w="110"/>
            </w:tcMar>
            <w:vAlign w:val="top"/>
          </w:tcPr>
          <w:p>
            <w:r>
              <w:rPr>
                <w:b w:val="false"/>
                <w:bCs w:val="false"/>
                <w:sz w:val="20"/>
                <w:szCs w:val="20"/>
              </w:rPr>
              <w:t xml:space="preserve">600, italic</w:t>
            </w:r>
          </w:p>
        </w:tc>
        <w:tc>
          <w:tcPr>
            <w:tcW w:type="dxa" w:w="2880"/>
            <w:tcMar>
              <w:top w:type="dxa" w:w="90"/>
              <w:left w:type="dxa" w:w="110"/>
              <w:bottom w:type="dxa" w:w="90"/>
              <w:right w:type="dxa" w:w="110"/>
            </w:tcMar>
            <w:vAlign w:val="top"/>
          </w:tcPr>
          <w:p>
            <w:r>
              <w:rPr>
                <w:b w:val="false"/>
                <w:bCs w:val="false"/>
                <w:sz w:val="20"/>
                <w:szCs w:val="20"/>
              </w:rPr>
              <w:t xml:space="preserve">56 / 64</w:t>
            </w:r>
          </w:p>
        </w:tc>
      </w:tr>
      <w:tr>
        <w:tc>
          <w:tcPr>
            <w:tcW w:type="dxa" w:w="2400"/>
            <w:shd w:fill="F1EEE5" w:color="auto" w:val="clear"/>
            <w:tcMar>
              <w:top w:type="dxa" w:w="90"/>
              <w:left w:type="dxa" w:w="110"/>
              <w:bottom w:type="dxa" w:w="90"/>
              <w:right w:type="dxa" w:w="110"/>
            </w:tcMar>
            <w:vAlign w:val="top"/>
          </w:tcPr>
          <w:p>
            <w:r>
              <w:rPr>
                <w:b w:val="false"/>
                <w:bCs w:val="false"/>
                <w:sz w:val="20"/>
                <w:szCs w:val="20"/>
              </w:rPr>
              <w:t xml:space="preserve">Headline / H2</w:t>
            </w:r>
          </w:p>
        </w:tc>
        <w:tc>
          <w:tcPr>
            <w:tcW w:type="dxa" w:w="2400"/>
            <w:shd w:fill="F1EEE5" w:color="auto" w:val="clear"/>
            <w:tcMar>
              <w:top w:type="dxa" w:w="90"/>
              <w:left w:type="dxa" w:w="110"/>
              <w:bottom w:type="dxa" w:w="90"/>
              <w:right w:type="dxa" w:w="110"/>
            </w:tcMar>
            <w:vAlign w:val="top"/>
          </w:tcPr>
          <w:p>
            <w:r>
              <w:rPr>
                <w:b w:val="false"/>
                <w:bCs w:val="false"/>
                <w:sz w:val="20"/>
                <w:szCs w:val="20"/>
              </w:rPr>
              <w:t xml:space="preserve">Fraunces</w:t>
            </w:r>
          </w:p>
        </w:tc>
        <w:tc>
          <w:tcPr>
            <w:tcW w:type="dxa" w:w="2400"/>
            <w:shd w:fill="F1EEE5" w:color="auto" w:val="clear"/>
            <w:tcMar>
              <w:top w:type="dxa" w:w="90"/>
              <w:left w:type="dxa" w:w="110"/>
              <w:bottom w:type="dxa" w:w="90"/>
              <w:right w:type="dxa" w:w="110"/>
            </w:tcMar>
            <w:vAlign w:val="top"/>
          </w:tcPr>
          <w:p>
            <w:r>
              <w:rPr>
                <w:b w:val="false"/>
                <w:bCs w:val="false"/>
                <w:sz w:val="20"/>
                <w:szCs w:val="20"/>
              </w:rPr>
              <w:t xml:space="preserve">500, italic</w:t>
            </w:r>
          </w:p>
        </w:tc>
        <w:tc>
          <w:tcPr>
            <w:tcW w:type="dxa" w:w="2880"/>
            <w:shd w:fill="F1EEE5" w:color="auto" w:val="clear"/>
            <w:tcMar>
              <w:top w:type="dxa" w:w="90"/>
              <w:left w:type="dxa" w:w="110"/>
              <w:bottom w:type="dxa" w:w="90"/>
              <w:right w:type="dxa" w:w="110"/>
            </w:tcMar>
            <w:vAlign w:val="top"/>
          </w:tcPr>
          <w:p>
            <w:r>
              <w:rPr>
                <w:b w:val="false"/>
                <w:bCs w:val="false"/>
                <w:sz w:val="20"/>
                <w:szCs w:val="20"/>
              </w:rPr>
              <w:t xml:space="preserve">34 / 42</w:t>
            </w:r>
          </w:p>
        </w:tc>
      </w:tr>
      <w:tr>
        <w:tc>
          <w:tcPr>
            <w:tcW w:type="dxa" w:w="2400"/>
            <w:tcMar>
              <w:top w:type="dxa" w:w="90"/>
              <w:left w:type="dxa" w:w="110"/>
              <w:bottom w:type="dxa" w:w="90"/>
              <w:right w:type="dxa" w:w="110"/>
            </w:tcMar>
            <w:vAlign w:val="top"/>
          </w:tcPr>
          <w:p>
            <w:r>
              <w:rPr>
                <w:b w:val="false"/>
                <w:bCs w:val="false"/>
                <w:sz w:val="20"/>
                <w:szCs w:val="20"/>
              </w:rPr>
              <w:t xml:space="preserve">Title / H3</w:t>
            </w:r>
          </w:p>
        </w:tc>
        <w:tc>
          <w:tcPr>
            <w:tcW w:type="dxa" w:w="2400"/>
            <w:tcMar>
              <w:top w:type="dxa" w:w="90"/>
              <w:left w:type="dxa" w:w="110"/>
              <w:bottom w:type="dxa" w:w="90"/>
              <w:right w:type="dxa" w:w="110"/>
            </w:tcMar>
            <w:vAlign w:val="top"/>
          </w:tcPr>
          <w:p>
            <w:r>
              <w:rPr>
                <w:b w:val="false"/>
                <w:bCs w:val="false"/>
                <w:sz w:val="20"/>
                <w:szCs w:val="20"/>
              </w:rPr>
              <w:t xml:space="preserve">Inter</w:t>
            </w:r>
          </w:p>
        </w:tc>
        <w:tc>
          <w:tcPr>
            <w:tcW w:type="dxa" w:w="2400"/>
            <w:tcMar>
              <w:top w:type="dxa" w:w="90"/>
              <w:left w:type="dxa" w:w="110"/>
              <w:bottom w:type="dxa" w:w="90"/>
              <w:right w:type="dxa" w:w="110"/>
            </w:tcMar>
            <w:vAlign w:val="top"/>
          </w:tcPr>
          <w:p>
            <w:r>
              <w:rPr>
                <w:b w:val="false"/>
                <w:bCs w:val="false"/>
                <w:sz w:val="20"/>
                <w:szCs w:val="20"/>
              </w:rPr>
              <w:t xml:space="preserve">600</w:t>
            </w:r>
          </w:p>
        </w:tc>
        <w:tc>
          <w:tcPr>
            <w:tcW w:type="dxa" w:w="2880"/>
            <w:tcMar>
              <w:top w:type="dxa" w:w="90"/>
              <w:left w:type="dxa" w:w="110"/>
              <w:bottom w:type="dxa" w:w="90"/>
              <w:right w:type="dxa" w:w="110"/>
            </w:tcMar>
            <w:vAlign w:val="top"/>
          </w:tcPr>
          <w:p>
            <w:r>
              <w:rPr>
                <w:b w:val="false"/>
                <w:bCs w:val="false"/>
                <w:sz w:val="20"/>
                <w:szCs w:val="20"/>
              </w:rPr>
              <w:t xml:space="preserve">22 / 30</w:t>
            </w:r>
          </w:p>
        </w:tc>
      </w:tr>
      <w:tr>
        <w:tc>
          <w:tcPr>
            <w:tcW w:type="dxa" w:w="2400"/>
            <w:shd w:fill="F1EEE5" w:color="auto" w:val="clear"/>
            <w:tcMar>
              <w:top w:type="dxa" w:w="90"/>
              <w:left w:type="dxa" w:w="110"/>
              <w:bottom w:type="dxa" w:w="90"/>
              <w:right w:type="dxa" w:w="110"/>
            </w:tcMar>
            <w:vAlign w:val="top"/>
          </w:tcPr>
          <w:p>
            <w:r>
              <w:rPr>
                <w:b w:val="false"/>
                <w:bCs w:val="false"/>
                <w:sz w:val="20"/>
                <w:szCs w:val="20"/>
              </w:rPr>
              <w:t xml:space="preserve">Body</w:t>
            </w:r>
          </w:p>
        </w:tc>
        <w:tc>
          <w:tcPr>
            <w:tcW w:type="dxa" w:w="2400"/>
            <w:shd w:fill="F1EEE5" w:color="auto" w:val="clear"/>
            <w:tcMar>
              <w:top w:type="dxa" w:w="90"/>
              <w:left w:type="dxa" w:w="110"/>
              <w:bottom w:type="dxa" w:w="90"/>
              <w:right w:type="dxa" w:w="110"/>
            </w:tcMar>
            <w:vAlign w:val="top"/>
          </w:tcPr>
          <w:p>
            <w:r>
              <w:rPr>
                <w:b w:val="false"/>
                <w:bCs w:val="false"/>
                <w:sz w:val="20"/>
                <w:szCs w:val="20"/>
              </w:rPr>
              <w:t xml:space="preserve">Inter</w:t>
            </w:r>
          </w:p>
        </w:tc>
        <w:tc>
          <w:tcPr>
            <w:tcW w:type="dxa" w:w="2400"/>
            <w:shd w:fill="F1EEE5" w:color="auto" w:val="clear"/>
            <w:tcMar>
              <w:top w:type="dxa" w:w="90"/>
              <w:left w:type="dxa" w:w="110"/>
              <w:bottom w:type="dxa" w:w="90"/>
              <w:right w:type="dxa" w:w="110"/>
            </w:tcMar>
            <w:vAlign w:val="top"/>
          </w:tcPr>
          <w:p>
            <w:r>
              <w:rPr>
                <w:b w:val="false"/>
                <w:bCs w:val="false"/>
                <w:sz w:val="20"/>
                <w:szCs w:val="20"/>
              </w:rPr>
              <w:t xml:space="preserve">400</w:t>
            </w:r>
          </w:p>
        </w:tc>
        <w:tc>
          <w:tcPr>
            <w:tcW w:type="dxa" w:w="2880"/>
            <w:shd w:fill="F1EEE5" w:color="auto" w:val="clear"/>
            <w:tcMar>
              <w:top w:type="dxa" w:w="90"/>
              <w:left w:type="dxa" w:w="110"/>
              <w:bottom w:type="dxa" w:w="90"/>
              <w:right w:type="dxa" w:w="110"/>
            </w:tcMar>
            <w:vAlign w:val="top"/>
          </w:tcPr>
          <w:p>
            <w:r>
              <w:rPr>
                <w:b w:val="false"/>
                <w:bCs w:val="false"/>
                <w:sz w:val="20"/>
                <w:szCs w:val="20"/>
              </w:rPr>
              <w:t xml:space="preserve">17 / 27</w:t>
            </w:r>
          </w:p>
        </w:tc>
      </w:tr>
      <w:tr>
        <w:tc>
          <w:tcPr>
            <w:tcW w:type="dxa" w:w="2400"/>
            <w:tcMar>
              <w:top w:type="dxa" w:w="90"/>
              <w:left w:type="dxa" w:w="110"/>
              <w:bottom w:type="dxa" w:w="90"/>
              <w:right w:type="dxa" w:w="110"/>
            </w:tcMar>
            <w:vAlign w:val="top"/>
          </w:tcPr>
          <w:p>
            <w:r>
              <w:rPr>
                <w:b w:val="false"/>
                <w:bCs w:val="false"/>
                <w:sz w:val="20"/>
                <w:szCs w:val="20"/>
              </w:rPr>
              <w:t xml:space="preserve">Label / caption</w:t>
            </w:r>
          </w:p>
        </w:tc>
        <w:tc>
          <w:tcPr>
            <w:tcW w:type="dxa" w:w="2400"/>
            <w:tcMar>
              <w:top w:type="dxa" w:w="90"/>
              <w:left w:type="dxa" w:w="110"/>
              <w:bottom w:type="dxa" w:w="90"/>
              <w:right w:type="dxa" w:w="110"/>
            </w:tcMar>
            <w:vAlign w:val="top"/>
          </w:tcPr>
          <w:p>
            <w:r>
              <w:rPr>
                <w:b w:val="false"/>
                <w:bCs w:val="false"/>
                <w:sz w:val="20"/>
                <w:szCs w:val="20"/>
              </w:rPr>
              <w:t xml:space="preserve">Inter</w:t>
            </w:r>
          </w:p>
        </w:tc>
        <w:tc>
          <w:tcPr>
            <w:tcW w:type="dxa" w:w="2400"/>
            <w:tcMar>
              <w:top w:type="dxa" w:w="90"/>
              <w:left w:type="dxa" w:w="110"/>
              <w:bottom w:type="dxa" w:w="90"/>
              <w:right w:type="dxa" w:w="110"/>
            </w:tcMar>
            <w:vAlign w:val="top"/>
          </w:tcPr>
          <w:p>
            <w:r>
              <w:rPr>
                <w:b w:val="false"/>
                <w:bCs w:val="false"/>
                <w:sz w:val="20"/>
                <w:szCs w:val="20"/>
              </w:rPr>
              <w:t xml:space="preserve">500, +0.02em tracking, uppercase</w:t>
            </w:r>
          </w:p>
        </w:tc>
        <w:tc>
          <w:tcPr>
            <w:tcW w:type="dxa" w:w="2880"/>
            <w:tcMar>
              <w:top w:type="dxa" w:w="90"/>
              <w:left w:type="dxa" w:w="110"/>
              <w:bottom w:type="dxa" w:w="90"/>
              <w:right w:type="dxa" w:w="110"/>
            </w:tcMar>
            <w:vAlign w:val="top"/>
          </w:tcPr>
          <w:p>
            <w:r>
              <w:rPr>
                <w:b w:val="false"/>
                <w:bCs w:val="false"/>
                <w:sz w:val="20"/>
                <w:szCs w:val="20"/>
              </w:rPr>
              <w:t xml:space="preserve">13 / 18</w:t>
            </w:r>
          </w:p>
        </w:tc>
      </w:tr>
      <w:tr>
        <w:tc>
          <w:tcPr>
            <w:tcW w:type="dxa" w:w="2400"/>
            <w:shd w:fill="F1EEE5" w:color="auto" w:val="clear"/>
            <w:tcMar>
              <w:top w:type="dxa" w:w="90"/>
              <w:left w:type="dxa" w:w="110"/>
              <w:bottom w:type="dxa" w:w="90"/>
              <w:right w:type="dxa" w:w="110"/>
            </w:tcMar>
            <w:vAlign w:val="top"/>
          </w:tcPr>
          <w:p>
            <w:r>
              <w:rPr>
                <w:b w:val="false"/>
                <w:bCs w:val="false"/>
                <w:sz w:val="20"/>
                <w:szCs w:val="20"/>
              </w:rPr>
              <w:t xml:space="preserve">Data / numeric readouts</w:t>
            </w:r>
          </w:p>
        </w:tc>
        <w:tc>
          <w:tcPr>
            <w:tcW w:type="dxa" w:w="2400"/>
            <w:shd w:fill="F1EEE5" w:color="auto" w:val="clear"/>
            <w:tcMar>
              <w:top w:type="dxa" w:w="90"/>
              <w:left w:type="dxa" w:w="110"/>
              <w:bottom w:type="dxa" w:w="90"/>
              <w:right w:type="dxa" w:w="110"/>
            </w:tcMar>
            <w:vAlign w:val="top"/>
          </w:tcPr>
          <w:p>
            <w:r>
              <w:rPr>
                <w:b w:val="false"/>
                <w:bCs w:val="false"/>
                <w:sz w:val="20"/>
                <w:szCs w:val="20"/>
              </w:rPr>
              <w:t xml:space="preserve">IBM Plex Mono</w:t>
            </w:r>
          </w:p>
        </w:tc>
        <w:tc>
          <w:tcPr>
            <w:tcW w:type="dxa" w:w="2400"/>
            <w:shd w:fill="F1EEE5" w:color="auto" w:val="clear"/>
            <w:tcMar>
              <w:top w:type="dxa" w:w="90"/>
              <w:left w:type="dxa" w:w="110"/>
              <w:bottom w:type="dxa" w:w="90"/>
              <w:right w:type="dxa" w:w="110"/>
            </w:tcMar>
            <w:vAlign w:val="top"/>
          </w:tcPr>
          <w:p>
            <w:r>
              <w:rPr>
                <w:b w:val="false"/>
                <w:bCs w:val="false"/>
                <w:sz w:val="20"/>
                <w:szCs w:val="20"/>
              </w:rPr>
              <w:t xml:space="preserve">500, tabular figures</w:t>
            </w:r>
          </w:p>
        </w:tc>
        <w:tc>
          <w:tcPr>
            <w:tcW w:type="dxa" w:w="2880"/>
            <w:shd w:fill="F1EEE5" w:color="auto" w:val="clear"/>
            <w:tcMar>
              <w:top w:type="dxa" w:w="90"/>
              <w:left w:type="dxa" w:w="110"/>
              <w:bottom w:type="dxa" w:w="90"/>
              <w:right w:type="dxa" w:w="110"/>
            </w:tcMar>
            <w:vAlign w:val="top"/>
          </w:tcPr>
          <w:p>
            <w:r>
              <w:rPr>
                <w:b w:val="false"/>
                <w:bCs w:val="false"/>
                <w:sz w:val="20"/>
                <w:szCs w:val="20"/>
              </w:rPr>
              <w:t xml:space="preserve">28 / 34 (headline data), 15/22 (inline data)</w:t>
            </w:r>
          </w:p>
        </w:tc>
      </w:tr>
    </w:tbl>
    <w:p>
      <w:pPr>
        <w:spacing w:after="160"/>
      </w:pPr>
      <w:r>
        <w:t xml:space="preserve">Why Fraunces: it is a high-contrast, warm display serif used by a number of premium wellness/health brands precisely because it reads as considered and human without sacrificing legibility — the opposite of the generic geometric sans-plus-neon-glow combination that reads as "AI dashboard." Inter carries all UI chrome because it is exceptionally legible at small sizes and has full language support for the Spanish localization. IBM Plex Mono is used deliberately (not JetBrains Mono, which reads more "developer terminal") because its slightly more humanist letterforms pair better with a serif headline while still giving tabular figures for clean numeric alignment.</w:t>
      </w:r>
    </w:p>
    <w:p>
      <w:pPr>
        <w:pStyle w:val="Heading2"/>
        <w:spacing w:after="140" w:before="300"/>
      </w:pPr>
      <w:r>
        <w:t xml:space="preserve">3.3 Spacing &amp; Grid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80"/>
      </w:tblGrid>
      <w:tr>
        <w:trPr>
          <w:tblHeader/>
        </w:trPr>
        <w:tc>
          <w:tcPr>
            <w:tcW w:type="dxa" w:w="2600"/>
            <w:shd w:fill="2F5D50" w:color="auto" w:val="clear"/>
            <w:tcMar>
              <w:top w:type="dxa" w:w="90"/>
              <w:left w:type="dxa" w:w="110"/>
              <w:bottom w:type="dxa" w:w="90"/>
              <w:right w:type="dxa" w:w="110"/>
            </w:tcMar>
            <w:vAlign w:val="top"/>
          </w:tcPr>
          <w:p>
            <w:r>
              <w:rPr>
                <w:b/>
                <w:bCs/>
                <w:color w:val="FFFFFF"/>
                <w:sz w:val="20"/>
                <w:szCs w:val="20"/>
              </w:rPr>
              <w:t xml:space="preserve">Token</w:t>
            </w:r>
          </w:p>
        </w:tc>
        <w:tc>
          <w:tcPr>
            <w:tcW w:type="dxa" w:w="3600"/>
            <w:shd w:fill="2F5D50" w:color="auto" w:val="clear"/>
            <w:tcMar>
              <w:top w:type="dxa" w:w="90"/>
              <w:left w:type="dxa" w:w="110"/>
              <w:bottom w:type="dxa" w:w="90"/>
              <w:right w:type="dxa" w:w="110"/>
            </w:tcMar>
            <w:vAlign w:val="top"/>
          </w:tcPr>
          <w:p>
            <w:r>
              <w:rPr>
                <w:b/>
                <w:bCs/>
                <w:color w:val="FFFFFF"/>
                <w:sz w:val="20"/>
                <w:szCs w:val="20"/>
              </w:rPr>
              <w:t xml:space="preserve">Value</w:t>
            </w:r>
          </w:p>
        </w:tc>
        <w:tc>
          <w:tcPr>
            <w:tcW w:type="dxa" w:w="3880"/>
            <w:shd w:fill="2F5D50" w:color="auto" w:val="clear"/>
            <w:tcMar>
              <w:top w:type="dxa" w:w="90"/>
              <w:left w:type="dxa" w:w="110"/>
              <w:bottom w:type="dxa" w:w="90"/>
              <w:right w:type="dxa" w:w="110"/>
            </w:tcMar>
            <w:vAlign w:val="top"/>
          </w:tcPr>
          <w:p>
            <w:r>
              <w:rPr>
                <w:b/>
                <w:bCs/>
                <w:color w:val="FFFFFF"/>
                <w:sz w:val="20"/>
                <w:szCs w:val="20"/>
              </w:rPr>
              <w:t xml:space="preserve">Use</w:t>
            </w:r>
          </w:p>
        </w:tc>
      </w:tr>
      <w:tr>
        <w:tc>
          <w:tcPr>
            <w:tcW w:type="dxa" w:w="2600"/>
            <w:tcMar>
              <w:top w:type="dxa" w:w="90"/>
              <w:left w:type="dxa" w:w="110"/>
              <w:bottom w:type="dxa" w:w="90"/>
              <w:right w:type="dxa" w:w="110"/>
            </w:tcMar>
            <w:vAlign w:val="top"/>
          </w:tcPr>
          <w:p>
            <w:r>
              <w:rPr>
                <w:b w:val="false"/>
                <w:bCs w:val="false"/>
                <w:sz w:val="20"/>
                <w:szCs w:val="20"/>
              </w:rPr>
              <w:t xml:space="preserve">--space-1 … --space-8</w:t>
            </w:r>
          </w:p>
        </w:tc>
        <w:tc>
          <w:tcPr>
            <w:tcW w:type="dxa" w:w="3600"/>
            <w:tcMar>
              <w:top w:type="dxa" w:w="90"/>
              <w:left w:type="dxa" w:w="110"/>
              <w:bottom w:type="dxa" w:w="90"/>
              <w:right w:type="dxa" w:w="110"/>
            </w:tcMar>
            <w:vAlign w:val="top"/>
          </w:tcPr>
          <w:p>
            <w:r>
              <w:rPr>
                <w:b w:val="false"/>
                <w:bCs w:val="false"/>
                <w:sz w:val="20"/>
                <w:szCs w:val="20"/>
              </w:rPr>
              <w:t xml:space="preserve">4 / 8 / 12 / 16 / 24 / 32 / 48 / 64 px</w:t>
            </w:r>
          </w:p>
        </w:tc>
        <w:tc>
          <w:tcPr>
            <w:tcW w:type="dxa" w:w="3880"/>
            <w:tcMar>
              <w:top w:type="dxa" w:w="90"/>
              <w:left w:type="dxa" w:w="110"/>
              <w:bottom w:type="dxa" w:w="90"/>
              <w:right w:type="dxa" w:w="110"/>
            </w:tcMar>
            <w:vAlign w:val="top"/>
          </w:tcPr>
          <w:p>
            <w:r>
              <w:rPr>
                <w:b w:val="false"/>
                <w:bCs w:val="false"/>
                <w:sz w:val="20"/>
                <w:szCs w:val="20"/>
              </w:rPr>
              <w:t xml:space="preserve">4px baseline rhythm throughout</w:t>
            </w:r>
          </w:p>
        </w:tc>
      </w:tr>
      <w:tr>
        <w:tc>
          <w:tcPr>
            <w:tcW w:type="dxa" w:w="2600"/>
            <w:shd w:fill="F1EEE5" w:color="auto" w:val="clear"/>
            <w:tcMar>
              <w:top w:type="dxa" w:w="90"/>
              <w:left w:type="dxa" w:w="110"/>
              <w:bottom w:type="dxa" w:w="90"/>
              <w:right w:type="dxa" w:w="110"/>
            </w:tcMar>
            <w:vAlign w:val="top"/>
          </w:tcPr>
          <w:p>
            <w:r>
              <w:rPr>
                <w:b w:val="false"/>
                <w:bCs w:val="false"/>
                <w:sz w:val="20"/>
                <w:szCs w:val="20"/>
              </w:rPr>
              <w:t xml:space="preserve">Content max-width</w:t>
            </w:r>
          </w:p>
        </w:tc>
        <w:tc>
          <w:tcPr>
            <w:tcW w:type="dxa" w:w="3600"/>
            <w:shd w:fill="F1EEE5" w:color="auto" w:val="clear"/>
            <w:tcMar>
              <w:top w:type="dxa" w:w="90"/>
              <w:left w:type="dxa" w:w="110"/>
              <w:bottom w:type="dxa" w:w="90"/>
              <w:right w:type="dxa" w:w="110"/>
            </w:tcMar>
            <w:vAlign w:val="top"/>
          </w:tcPr>
          <w:p>
            <w:r>
              <w:rPr>
                <w:b w:val="false"/>
                <w:bCs w:val="false"/>
                <w:sz w:val="20"/>
                <w:szCs w:val="20"/>
              </w:rPr>
              <w:t xml:space="preserve">1200px (desktop), fluid with 24px gutters below 1024px</w:t>
            </w:r>
          </w:p>
        </w:tc>
        <w:tc>
          <w:tcPr>
            <w:tcW w:type="dxa" w:w="3880"/>
            <w:shd w:fill="F1EEE5" w:color="auto" w:val="clear"/>
            <w:tcMar>
              <w:top w:type="dxa" w:w="90"/>
              <w:left w:type="dxa" w:w="110"/>
              <w:bottom w:type="dxa" w:w="90"/>
              <w:right w:type="dxa" w:w="110"/>
            </w:tcMar>
            <w:vAlign w:val="top"/>
          </w:tcPr>
          <w:p>
            <w:r>
              <w:rPr>
                <w:b w:val="false"/>
                <w:bCs w:val="false"/>
                <w:sz w:val="20"/>
                <w:szCs w:val="20"/>
              </w:rPr>
              <w:t xml:space="preserve">All screens except the full-bleed landing hero/color-field sections</w:t>
            </w:r>
          </w:p>
        </w:tc>
      </w:tr>
      <w:tr>
        <w:tc>
          <w:tcPr>
            <w:tcW w:type="dxa" w:w="2600"/>
            <w:tcMar>
              <w:top w:type="dxa" w:w="90"/>
              <w:left w:type="dxa" w:w="110"/>
              <w:bottom w:type="dxa" w:w="90"/>
              <w:right w:type="dxa" w:w="110"/>
            </w:tcMar>
            <w:vAlign w:val="top"/>
          </w:tcPr>
          <w:p>
            <w:r>
              <w:rPr>
                <w:b w:val="false"/>
                <w:bCs w:val="false"/>
                <w:sz w:val="20"/>
                <w:szCs w:val="20"/>
              </w:rPr>
              <w:t xml:space="preserve">Grid</w:t>
            </w:r>
          </w:p>
        </w:tc>
        <w:tc>
          <w:tcPr>
            <w:tcW w:type="dxa" w:w="3600"/>
            <w:tcMar>
              <w:top w:type="dxa" w:w="90"/>
              <w:left w:type="dxa" w:w="110"/>
              <w:bottom w:type="dxa" w:w="90"/>
              <w:right w:type="dxa" w:w="110"/>
            </w:tcMar>
            <w:vAlign w:val="top"/>
          </w:tcPr>
          <w:p>
            <w:r>
              <w:rPr>
                <w:b w:val="false"/>
                <w:bCs w:val="false"/>
                <w:sz w:val="20"/>
                <w:szCs w:val="20"/>
              </w:rPr>
              <w:t xml:space="preserve">12-column desktop, 8-column tablet, 4-column mobile</w:t>
            </w:r>
          </w:p>
        </w:tc>
        <w:tc>
          <w:tcPr>
            <w:tcW w:type="dxa" w:w="3880"/>
            <w:tcMar>
              <w:top w:type="dxa" w:w="90"/>
              <w:left w:type="dxa" w:w="110"/>
              <w:bottom w:type="dxa" w:w="90"/>
              <w:right w:type="dxa" w:w="110"/>
            </w:tcMar>
            <w:vAlign w:val="top"/>
          </w:tcPr>
          <w:p>
            <w:r>
              <w:rPr>
                <w:b w:val="false"/>
                <w:bCs w:val="false"/>
                <w:sz w:val="20"/>
                <w:szCs w:val="20"/>
              </w:rPr>
              <w:t xml:space="preserve">Marketing page and dashboard layouts</w:t>
            </w:r>
          </w:p>
        </w:tc>
      </w:tr>
      <w:tr>
        <w:tc>
          <w:tcPr>
            <w:tcW w:type="dxa" w:w="2600"/>
            <w:shd w:fill="F1EEE5" w:color="auto" w:val="clear"/>
            <w:tcMar>
              <w:top w:type="dxa" w:w="90"/>
              <w:left w:type="dxa" w:w="110"/>
              <w:bottom w:type="dxa" w:w="90"/>
              <w:right w:type="dxa" w:w="110"/>
            </w:tcMar>
            <w:vAlign w:val="top"/>
          </w:tcPr>
          <w:p>
            <w:r>
              <w:rPr>
                <w:b w:val="false"/>
                <w:bCs w:val="false"/>
                <w:sz w:val="20"/>
                <w:szCs w:val="20"/>
              </w:rPr>
              <w:t xml:space="preserve">Section vertical rhythm</w:t>
            </w:r>
          </w:p>
        </w:tc>
        <w:tc>
          <w:tcPr>
            <w:tcW w:type="dxa" w:w="3600"/>
            <w:shd w:fill="F1EEE5" w:color="auto" w:val="clear"/>
            <w:tcMar>
              <w:top w:type="dxa" w:w="90"/>
              <w:left w:type="dxa" w:w="110"/>
              <w:bottom w:type="dxa" w:w="90"/>
              <w:right w:type="dxa" w:w="110"/>
            </w:tcMar>
            <w:vAlign w:val="top"/>
          </w:tcPr>
          <w:p>
            <w:r>
              <w:rPr>
                <w:b w:val="false"/>
                <w:bCs w:val="false"/>
                <w:sz w:val="20"/>
                <w:szCs w:val="20"/>
              </w:rPr>
              <w:t xml:space="preserve">96px between major landing sections, 32px between dashboard cards</w:t>
            </w:r>
          </w:p>
        </w:tc>
        <w:tc>
          <w:tcPr>
            <w:tcW w:type="dxa" w:w="3880"/>
            <w:shd w:fill="F1EEE5" w:color="auto" w:val="clear"/>
            <w:tcMar>
              <w:top w:type="dxa" w:w="90"/>
              <w:left w:type="dxa" w:w="110"/>
              <w:bottom w:type="dxa" w:w="90"/>
              <w:right w:type="dxa" w:w="110"/>
            </w:tcMar>
            <w:vAlign w:val="top"/>
          </w:tcPr>
          <w:p>
            <w:r>
              <w:rPr>
                <w:b w:val="false"/>
                <w:bCs w:val="false"/>
                <w:sz w:val="20"/>
                <w:szCs w:val="20"/>
              </w:rPr>
              <w:t xml:space="preserve">Keeps the "airy, not boxed" quality from the critique in §1.3</w:t>
            </w:r>
          </w:p>
        </w:tc>
      </w:tr>
    </w:tbl>
    <w:p>
      <w:pPr>
        <w:pStyle w:val="Heading2"/>
        <w:spacing w:after="140" w:before="300"/>
      </w:pPr>
      <w:r>
        <w:t xml:space="preserve">3.4 Elevation &amp; Shape</w:t>
      </w:r>
    </w:p>
    <w:p>
      <w:pPr>
        <w:pStyle w:val="ListParagraph"/>
        <w:numPr>
          <w:ilvl w:val="0"/>
          <w:numId w:val="2"/>
        </w:numPr>
        <w:spacing w:after="70"/>
      </w:pPr>
      <w:r>
        <w:t xml:space="preserve">No drop shadows anywhere except the one active/focused capture card, which gets a single soft 8px shadow at 8% opacity — reserved for the single moment elevation communicates something (this element is live and active).</w:t>
      </w:r>
    </w:p>
    <w:p>
      <w:pPr>
        <w:pStyle w:val="ListParagraph"/>
        <w:numPr>
          <w:ilvl w:val="0"/>
          <w:numId w:val="2"/>
        </w:numPr>
        <w:spacing w:after="70"/>
      </w:pPr>
      <w:r>
        <w:t xml:space="preserve">Hierarchy elsewhere comes from a 1px hairline border (#DAD2C2), a color-field background change, or a rule line — never from stacking shadow intensity.</w:t>
      </w:r>
    </w:p>
    <w:p>
      <w:pPr>
        <w:pStyle w:val="ListParagraph"/>
        <w:numPr>
          <w:ilvl w:val="0"/>
          <w:numId w:val="2"/>
        </w:numPr>
        <w:spacing w:after="70"/>
      </w:pPr>
      <w:r>
        <w:t xml:space="preserve">Corner radius: 4px for buttons/inputs, 12px for cards/panels, full-round only for pills (nav toggle, status chips). No mixing of sharp and round corners within the same hierarchy level.</w:t>
      </w:r>
    </w:p>
    <w:p>
      <w:pPr>
        <w:pStyle w:val="Heading2"/>
        <w:spacing w:after="140" w:before="300"/>
      </w:pPr>
      <w:r>
        <w:t xml:space="preserve">3.5 Motion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80"/>
      </w:tblGrid>
      <w:tr>
        <w:trPr>
          <w:tblHeader/>
        </w:trPr>
        <w:tc>
          <w:tcPr>
            <w:tcW w:type="dxa" w:w="2600"/>
            <w:shd w:fill="2F5D50" w:color="auto" w:val="clear"/>
            <w:tcMar>
              <w:top w:type="dxa" w:w="90"/>
              <w:left w:type="dxa" w:w="110"/>
              <w:bottom w:type="dxa" w:w="90"/>
              <w:right w:type="dxa" w:w="110"/>
            </w:tcMar>
            <w:vAlign w:val="top"/>
          </w:tcPr>
          <w:p>
            <w:r>
              <w:rPr>
                <w:b/>
                <w:bCs/>
                <w:color w:val="FFFFFF"/>
                <w:sz w:val="20"/>
                <w:szCs w:val="20"/>
              </w:rPr>
              <w:t xml:space="preserve">Token</w:t>
            </w:r>
          </w:p>
        </w:tc>
        <w:tc>
          <w:tcPr>
            <w:tcW w:type="dxa" w:w="3600"/>
            <w:shd w:fill="2F5D50" w:color="auto" w:val="clear"/>
            <w:tcMar>
              <w:top w:type="dxa" w:w="90"/>
              <w:left w:type="dxa" w:w="110"/>
              <w:bottom w:type="dxa" w:w="90"/>
              <w:right w:type="dxa" w:w="110"/>
            </w:tcMar>
            <w:vAlign w:val="top"/>
          </w:tcPr>
          <w:p>
            <w:r>
              <w:rPr>
                <w:b/>
                <w:bCs/>
                <w:color w:val="FFFFFF"/>
                <w:sz w:val="20"/>
                <w:szCs w:val="20"/>
              </w:rPr>
              <w:t xml:space="preserve">Value</w:t>
            </w:r>
          </w:p>
        </w:tc>
        <w:tc>
          <w:tcPr>
            <w:tcW w:type="dxa" w:w="3880"/>
            <w:shd w:fill="2F5D50" w:color="auto" w:val="clear"/>
            <w:tcMar>
              <w:top w:type="dxa" w:w="90"/>
              <w:left w:type="dxa" w:w="110"/>
              <w:bottom w:type="dxa" w:w="90"/>
              <w:right w:type="dxa" w:w="110"/>
            </w:tcMar>
            <w:vAlign w:val="top"/>
          </w:tcPr>
          <w:p>
            <w:r>
              <w:rPr>
                <w:b/>
                <w:bCs/>
                <w:color w:val="FFFFFF"/>
                <w:sz w:val="20"/>
                <w:szCs w:val="20"/>
              </w:rPr>
              <w:t xml:space="preserve">Use</w:t>
            </w:r>
          </w:p>
        </w:tc>
      </w:tr>
      <w:tr>
        <w:tc>
          <w:tcPr>
            <w:tcW w:type="dxa" w:w="2600"/>
            <w:tcMar>
              <w:top w:type="dxa" w:w="90"/>
              <w:left w:type="dxa" w:w="110"/>
              <w:bottom w:type="dxa" w:w="90"/>
              <w:right w:type="dxa" w:w="110"/>
            </w:tcMar>
            <w:vAlign w:val="top"/>
          </w:tcPr>
          <w:p>
            <w:r>
              <w:rPr>
                <w:b w:val="false"/>
                <w:bCs w:val="false"/>
                <w:sz w:val="20"/>
                <w:szCs w:val="20"/>
              </w:rPr>
              <w:t xml:space="preserve">--ease-out</w:t>
            </w:r>
          </w:p>
        </w:tc>
        <w:tc>
          <w:tcPr>
            <w:tcW w:type="dxa" w:w="3600"/>
            <w:tcMar>
              <w:top w:type="dxa" w:w="90"/>
              <w:left w:type="dxa" w:w="110"/>
              <w:bottom w:type="dxa" w:w="90"/>
              <w:right w:type="dxa" w:w="110"/>
            </w:tcMar>
            <w:vAlign w:val="top"/>
          </w:tcPr>
          <w:p>
            <w:r>
              <w:rPr>
                <w:b w:val="false"/>
                <w:bCs w:val="false"/>
                <w:sz w:val="20"/>
                <w:szCs w:val="20"/>
              </w:rPr>
              <w:t xml:space="preserve">cubic-bezier(0.16, 1, 0.3, 1)</w:t>
            </w:r>
          </w:p>
        </w:tc>
        <w:tc>
          <w:tcPr>
            <w:tcW w:type="dxa" w:w="3880"/>
            <w:tcMar>
              <w:top w:type="dxa" w:w="90"/>
              <w:left w:type="dxa" w:w="110"/>
              <w:bottom w:type="dxa" w:w="90"/>
              <w:right w:type="dxa" w:w="110"/>
            </w:tcMar>
            <w:vAlign w:val="top"/>
          </w:tcPr>
          <w:p>
            <w:r>
              <w:rPr>
                <w:b w:val="false"/>
                <w:bCs w:val="false"/>
                <w:sz w:val="20"/>
                <w:szCs w:val="20"/>
              </w:rPr>
              <w:t xml:space="preserve">Entrances, scroll reveals</w:t>
            </w:r>
          </w:p>
        </w:tc>
      </w:tr>
      <w:tr>
        <w:tc>
          <w:tcPr>
            <w:tcW w:type="dxa" w:w="2600"/>
            <w:shd w:fill="F1EEE5" w:color="auto" w:val="clear"/>
            <w:tcMar>
              <w:top w:type="dxa" w:w="90"/>
              <w:left w:type="dxa" w:w="110"/>
              <w:bottom w:type="dxa" w:w="90"/>
              <w:right w:type="dxa" w:w="110"/>
            </w:tcMar>
            <w:vAlign w:val="top"/>
          </w:tcPr>
          <w:p>
            <w:r>
              <w:rPr>
                <w:b w:val="false"/>
                <w:bCs w:val="false"/>
                <w:sz w:val="20"/>
                <w:szCs w:val="20"/>
              </w:rPr>
              <w:t xml:space="preserve">--ease-in</w:t>
            </w:r>
          </w:p>
        </w:tc>
        <w:tc>
          <w:tcPr>
            <w:tcW w:type="dxa" w:w="3600"/>
            <w:shd w:fill="F1EEE5" w:color="auto" w:val="clear"/>
            <w:tcMar>
              <w:top w:type="dxa" w:w="90"/>
              <w:left w:type="dxa" w:w="110"/>
              <w:bottom w:type="dxa" w:w="90"/>
              <w:right w:type="dxa" w:w="110"/>
            </w:tcMar>
            <w:vAlign w:val="top"/>
          </w:tcPr>
          <w:p>
            <w:r>
              <w:rPr>
                <w:b w:val="false"/>
                <w:bCs w:val="false"/>
                <w:sz w:val="20"/>
                <w:szCs w:val="20"/>
              </w:rPr>
              <w:t xml:space="preserve">cubic-bezier(0.7, 0, 0.84, 0)</w:t>
            </w:r>
          </w:p>
        </w:tc>
        <w:tc>
          <w:tcPr>
            <w:tcW w:type="dxa" w:w="3880"/>
            <w:shd w:fill="F1EEE5" w:color="auto" w:val="clear"/>
            <w:tcMar>
              <w:top w:type="dxa" w:w="90"/>
              <w:left w:type="dxa" w:w="110"/>
              <w:bottom w:type="dxa" w:w="90"/>
              <w:right w:type="dxa" w:w="110"/>
            </w:tcMar>
            <w:vAlign w:val="top"/>
          </w:tcPr>
          <w:p>
            <w:r>
              <w:rPr>
                <w:b w:val="false"/>
                <w:bCs w:val="false"/>
                <w:sz w:val="20"/>
                <w:szCs w:val="20"/>
              </w:rPr>
              <w:t xml:space="preserve">Exits</w:t>
            </w:r>
          </w:p>
        </w:tc>
      </w:tr>
      <w:tr>
        <w:tc>
          <w:tcPr>
            <w:tcW w:type="dxa" w:w="2600"/>
            <w:tcMar>
              <w:top w:type="dxa" w:w="90"/>
              <w:left w:type="dxa" w:w="110"/>
              <w:bottom w:type="dxa" w:w="90"/>
              <w:right w:type="dxa" w:w="110"/>
            </w:tcMar>
            <w:vAlign w:val="top"/>
          </w:tcPr>
          <w:p>
            <w:r>
              <w:rPr>
                <w:b w:val="false"/>
                <w:bCs w:val="false"/>
                <w:sz w:val="20"/>
                <w:szCs w:val="20"/>
              </w:rPr>
              <w:t xml:space="preserve">--duration-micro</w:t>
            </w:r>
          </w:p>
        </w:tc>
        <w:tc>
          <w:tcPr>
            <w:tcW w:type="dxa" w:w="3600"/>
            <w:tcMar>
              <w:top w:type="dxa" w:w="90"/>
              <w:left w:type="dxa" w:w="110"/>
              <w:bottom w:type="dxa" w:w="90"/>
              <w:right w:type="dxa" w:w="110"/>
            </w:tcMar>
            <w:vAlign w:val="top"/>
          </w:tcPr>
          <w:p>
            <w:r>
              <w:rPr>
                <w:b w:val="false"/>
                <w:bCs w:val="false"/>
                <w:sz w:val="20"/>
                <w:szCs w:val="20"/>
              </w:rPr>
              <w:t xml:space="preserve">150ms</w:t>
            </w:r>
          </w:p>
        </w:tc>
        <w:tc>
          <w:tcPr>
            <w:tcW w:type="dxa" w:w="3880"/>
            <w:tcMar>
              <w:top w:type="dxa" w:w="90"/>
              <w:left w:type="dxa" w:w="110"/>
              <w:bottom w:type="dxa" w:w="90"/>
              <w:right w:type="dxa" w:w="110"/>
            </w:tcMar>
            <w:vAlign w:val="top"/>
          </w:tcPr>
          <w:p>
            <w:r>
              <w:rPr>
                <w:b w:val="false"/>
                <w:bCs w:val="false"/>
                <w:sz w:val="20"/>
                <w:szCs w:val="20"/>
              </w:rPr>
              <w:t xml:space="preserve">Button/press states, toggles</w:t>
            </w:r>
          </w:p>
        </w:tc>
      </w:tr>
      <w:tr>
        <w:tc>
          <w:tcPr>
            <w:tcW w:type="dxa" w:w="2600"/>
            <w:shd w:fill="F1EEE5" w:color="auto" w:val="clear"/>
            <w:tcMar>
              <w:top w:type="dxa" w:w="90"/>
              <w:left w:type="dxa" w:w="110"/>
              <w:bottom w:type="dxa" w:w="90"/>
              <w:right w:type="dxa" w:w="110"/>
            </w:tcMar>
            <w:vAlign w:val="top"/>
          </w:tcPr>
          <w:p>
            <w:r>
              <w:rPr>
                <w:b w:val="false"/>
                <w:bCs w:val="false"/>
                <w:sz w:val="20"/>
                <w:szCs w:val="20"/>
              </w:rPr>
              <w:t xml:space="preserve">--duration-standard</w:t>
            </w:r>
          </w:p>
        </w:tc>
        <w:tc>
          <w:tcPr>
            <w:tcW w:type="dxa" w:w="3600"/>
            <w:shd w:fill="F1EEE5" w:color="auto" w:val="clear"/>
            <w:tcMar>
              <w:top w:type="dxa" w:w="90"/>
              <w:left w:type="dxa" w:w="110"/>
              <w:bottom w:type="dxa" w:w="90"/>
              <w:right w:type="dxa" w:w="110"/>
            </w:tcMar>
            <w:vAlign w:val="top"/>
          </w:tcPr>
          <w:p>
            <w:r>
              <w:rPr>
                <w:b w:val="false"/>
                <w:bCs w:val="false"/>
                <w:sz w:val="20"/>
                <w:szCs w:val="20"/>
              </w:rPr>
              <w:t xml:space="preserve">250ms</w:t>
            </w:r>
          </w:p>
        </w:tc>
        <w:tc>
          <w:tcPr>
            <w:tcW w:type="dxa" w:w="3880"/>
            <w:shd w:fill="F1EEE5" w:color="auto" w:val="clear"/>
            <w:tcMar>
              <w:top w:type="dxa" w:w="90"/>
              <w:left w:type="dxa" w:w="110"/>
              <w:bottom w:type="dxa" w:w="90"/>
              <w:right w:type="dxa" w:w="110"/>
            </w:tcMar>
            <w:vAlign w:val="top"/>
          </w:tcPr>
          <w:p>
            <w:r>
              <w:rPr>
                <w:b w:val="false"/>
                <w:bCs w:val="false"/>
                <w:sz w:val="20"/>
                <w:szCs w:val="20"/>
              </w:rPr>
              <w:t xml:space="preserve">Card reveals, tab switches</w:t>
            </w:r>
          </w:p>
        </w:tc>
      </w:tr>
      <w:tr>
        <w:tc>
          <w:tcPr>
            <w:tcW w:type="dxa" w:w="2600"/>
            <w:tcMar>
              <w:top w:type="dxa" w:w="90"/>
              <w:left w:type="dxa" w:w="110"/>
              <w:bottom w:type="dxa" w:w="90"/>
              <w:right w:type="dxa" w:w="110"/>
            </w:tcMar>
            <w:vAlign w:val="top"/>
          </w:tcPr>
          <w:p>
            <w:r>
              <w:rPr>
                <w:b w:val="false"/>
                <w:bCs w:val="false"/>
                <w:sz w:val="20"/>
                <w:szCs w:val="20"/>
              </w:rPr>
              <w:t xml:space="preserve">--duration-scroll-reveal</w:t>
            </w:r>
          </w:p>
        </w:tc>
        <w:tc>
          <w:tcPr>
            <w:tcW w:type="dxa" w:w="3600"/>
            <w:tcMar>
              <w:top w:type="dxa" w:w="90"/>
              <w:left w:type="dxa" w:w="110"/>
              <w:bottom w:type="dxa" w:w="90"/>
              <w:right w:type="dxa" w:w="110"/>
            </w:tcMar>
            <w:vAlign w:val="top"/>
          </w:tcPr>
          <w:p>
            <w:r>
              <w:rPr>
                <w:b w:val="false"/>
                <w:bCs w:val="false"/>
                <w:sz w:val="20"/>
                <w:szCs w:val="20"/>
              </w:rPr>
              <w:t xml:space="preserve">400ms + 40ms stagger per item</w:t>
            </w:r>
          </w:p>
        </w:tc>
        <w:tc>
          <w:tcPr>
            <w:tcW w:type="dxa" w:w="3880"/>
            <w:tcMar>
              <w:top w:type="dxa" w:w="90"/>
              <w:left w:type="dxa" w:w="110"/>
              <w:bottom w:type="dxa" w:w="90"/>
              <w:right w:type="dxa" w:w="110"/>
            </w:tcMar>
            <w:vAlign w:val="top"/>
          </w:tcPr>
          <w:p>
            <w:r>
              <w:rPr>
                <w:b w:val="false"/>
                <w:bCs w:val="false"/>
                <w:sz w:val="20"/>
                <w:szCs w:val="20"/>
              </w:rPr>
              <w:t xml:space="preserve">Landing page section entrances</w:t>
            </w:r>
          </w:p>
        </w:tc>
      </w:tr>
      <w:tr>
        <w:tc>
          <w:tcPr>
            <w:tcW w:type="dxa" w:w="2600"/>
            <w:shd w:fill="F1EEE5" w:color="auto" w:val="clear"/>
            <w:tcMar>
              <w:top w:type="dxa" w:w="90"/>
              <w:left w:type="dxa" w:w="110"/>
              <w:bottom w:type="dxa" w:w="90"/>
              <w:right w:type="dxa" w:w="110"/>
            </w:tcMar>
            <w:vAlign w:val="top"/>
          </w:tcPr>
          <w:p>
            <w:r>
              <w:rPr>
                <w:b w:val="false"/>
                <w:bCs w:val="false"/>
                <w:sz w:val="20"/>
                <w:szCs w:val="20"/>
              </w:rPr>
              <w:t xml:space="preserve">prefers-reduced-motion</w:t>
            </w:r>
          </w:p>
        </w:tc>
        <w:tc>
          <w:tcPr>
            <w:tcW w:type="dxa" w:w="3600"/>
            <w:shd w:fill="F1EEE5" w:color="auto" w:val="clear"/>
            <w:tcMar>
              <w:top w:type="dxa" w:w="90"/>
              <w:left w:type="dxa" w:w="110"/>
              <w:bottom w:type="dxa" w:w="90"/>
              <w:right w:type="dxa" w:w="110"/>
            </w:tcMar>
            <w:vAlign w:val="top"/>
          </w:tcPr>
          <w:p>
            <w:r>
              <w:rPr>
                <w:b w:val="false"/>
                <w:bCs w:val="false"/>
                <w:sz w:val="20"/>
                <w:szCs w:val="20"/>
              </w:rPr>
              <w:t xml:space="preserve">disables scroll parallax, 3D auto-rotation, and stagger; crossfades replace slides</w:t>
            </w:r>
          </w:p>
        </w:tc>
        <w:tc>
          <w:tcPr>
            <w:tcW w:type="dxa" w:w="3880"/>
            <w:shd w:fill="F1EEE5" w:color="auto" w:val="clear"/>
            <w:tcMar>
              <w:top w:type="dxa" w:w="90"/>
              <w:left w:type="dxa" w:w="110"/>
              <w:bottom w:type="dxa" w:w="90"/>
              <w:right w:type="dxa" w:w="110"/>
            </w:tcMar>
            <w:vAlign w:val="top"/>
          </w:tcPr>
          <w:p>
            <w:r>
              <w:rPr>
                <w:b w:val="false"/>
                <w:bCs w:val="false"/>
                <w:sz w:val="20"/>
                <w:szCs w:val="20"/>
              </w:rPr>
              <w:t xml:space="preserve">Applies globally, no exceptions</w:t>
            </w:r>
          </w:p>
        </w:tc>
      </w:tr>
    </w:tbl>
    <w:p>
      <w:pPr>
        <w:pStyle w:val="Heading1"/>
        <w:spacing w:after="180" w:before="420"/>
      </w:pPr>
      <w:r>
        <w:t xml:space="preserve">4. Component Library</w:t>
      </w:r>
    </w:p>
    <w:p>
      <w:pPr>
        <w:pStyle w:val="Heading3"/>
        <w:spacing w:after="100" w:before="220"/>
      </w:pPr>
      <w:r>
        <w:t xml:space="preserve">Buttons</w:t>
      </w:r>
    </w:p>
    <w:p>
      <w:pPr>
        <w:pStyle w:val="ListParagraph"/>
        <w:numPr>
          <w:ilvl w:val="0"/>
          <w:numId w:val="2"/>
        </w:numPr>
        <w:spacing w:after="70"/>
      </w:pPr>
      <w:r>
        <w:t xml:space="preserve">Primary: solid Signal Green fill, Canvas text, 4px radius. One primary button per screen (per the ui-ux-pro-max single-primary-action guideline).</w:t>
      </w:r>
    </w:p>
    <w:p>
      <w:pPr>
        <w:pStyle w:val="ListParagraph"/>
        <w:numPr>
          <w:ilvl w:val="0"/>
          <w:numId w:val="2"/>
        </w:numPr>
        <w:spacing w:after="70"/>
      </w:pPr>
      <w:r>
        <w:t xml:space="preserve">CTA-on-hero: solid Terracotta fill, Ink text (bold, 18px+ for contrast compliance per §3.1).</w:t>
      </w:r>
    </w:p>
    <w:p>
      <w:pPr>
        <w:pStyle w:val="ListParagraph"/>
        <w:numPr>
          <w:ilvl w:val="0"/>
          <w:numId w:val="2"/>
        </w:numPr>
        <w:spacing w:after="70"/>
      </w:pPr>
      <w:r>
        <w:t xml:space="preserve">Ghost/secondary: transparent fill, 1px Ink border, Ink text; used for "Skip", "Cancel", nav links.</w:t>
      </w:r>
    </w:p>
    <w:p>
      <w:pPr>
        <w:pStyle w:val="ListParagraph"/>
        <w:numPr>
          <w:ilvl w:val="0"/>
          <w:numId w:val="2"/>
        </w:numPr>
        <w:spacing w:after="70"/>
      </w:pPr>
      <w:r>
        <w:t xml:space="preserve">All buttons: 44px minimum height, visible 2px focus ring in Signal Green offset 2px, 150ms ease-out press-scale (0.97) feedback.</w:t>
      </w:r>
    </w:p>
    <w:p>
      <w:pPr>
        <w:pStyle w:val="Heading3"/>
        <w:spacing w:after="100" w:before="220"/>
      </w:pPr>
      <w:r>
        <w:t xml:space="preserve">Cards / Panels</w:t>
      </w:r>
    </w:p>
    <w:p>
      <w:pPr>
        <w:pStyle w:val="ListParagraph"/>
        <w:numPr>
          <w:ilvl w:val="0"/>
          <w:numId w:val="2"/>
        </w:numPr>
        <w:spacing w:after="70"/>
      </w:pPr>
      <w:r>
        <w:t xml:space="preserve">Used only where content is genuinely a discrete, movable unit (a metric card, a history row) — not as a default wrapper for every section.</w:t>
      </w:r>
    </w:p>
    <w:p>
      <w:pPr>
        <w:pStyle w:val="ListParagraph"/>
        <w:numPr>
          <w:ilvl w:val="0"/>
          <w:numId w:val="2"/>
        </w:numPr>
        <w:spacing w:after="70"/>
      </w:pPr>
      <w:r>
        <w:t xml:space="preserve">White fill on Canvas background, 1px Hairline border, 12px radius, no shadow (see §3.4).</w:t>
      </w:r>
    </w:p>
    <w:p>
      <w:pPr>
        <w:pStyle w:val="Heading3"/>
        <w:spacing w:after="100" w:before="220"/>
      </w:pPr>
      <w:r>
        <w:t xml:space="preserve">Data readouts</w:t>
      </w:r>
    </w:p>
    <w:p>
      <w:pPr>
        <w:pStyle w:val="ListParagraph"/>
        <w:numPr>
          <w:ilvl w:val="0"/>
          <w:numId w:val="2"/>
        </w:numPr>
        <w:spacing w:after="70"/>
      </w:pPr>
      <w:r>
        <w:t xml:space="preserve">Numeric values always in IBM Plex Mono with tabular figures; unit label immediately adjacent in Inter, smaller, Ink Soft color — never color alone to convey a good/bad reading.</w:t>
      </w:r>
    </w:p>
    <w:p>
      <w:pPr>
        <w:pStyle w:val="Heading3"/>
        <w:spacing w:after="100" w:before="220"/>
      </w:pPr>
      <w:r>
        <w:t xml:space="preserve">Status chips</w:t>
      </w:r>
    </w:p>
    <w:p>
      <w:pPr>
        <w:pStyle w:val="ListParagraph"/>
        <w:numPr>
          <w:ilvl w:val="0"/>
          <w:numId w:val="2"/>
        </w:numPr>
        <w:spacing w:after="70"/>
      </w:pPr>
      <w:r>
        <w:t xml:space="preserve">Pill-shaped, tinted background at 12% of the semantic color + a solid-color left dot (not fill) — dot shape differs (circle/triangle/square) by status type so color-blind users have a non-color cue.</w:t>
      </w:r>
    </w:p>
    <w:p>
      <w:pPr>
        <w:pStyle w:val="Heading3"/>
        <w:spacing w:after="100" w:before="220"/>
      </w:pPr>
      <w:r>
        <w:t xml:space="preserve">The 3D capture viewport</w:t>
      </w:r>
    </w:p>
    <w:p>
      <w:pPr>
        <w:pStyle w:val="ListParagraph"/>
        <w:numPr>
          <w:ilvl w:val="0"/>
          <w:numId w:val="2"/>
        </w:numPr>
        <w:spacing w:after="70"/>
      </w:pPr>
      <w:r>
        <w:t xml:space="preserve">The one intentionally dark surface (#0F1613) in the product. Contains the live camera feed (dimmed 40%), the Three.js skeleton overlay, a Hairline-colored pose-guide silhouette, and a circular progress ring for the countdown.</w:t>
      </w:r>
    </w:p>
    <w:p>
      <w:pPr>
        <w:pStyle w:val="Heading3"/>
        <w:spacing w:after="100" w:before="220"/>
      </w:pPr>
      <w:r>
        <w:t xml:space="preserve">Navigation</w:t>
      </w:r>
    </w:p>
    <w:p>
      <w:pPr>
        <w:pStyle w:val="ListParagraph"/>
        <w:numPr>
          <w:ilvl w:val="0"/>
          <w:numId w:val="2"/>
        </w:numPr>
        <w:spacing w:after="70"/>
      </w:pPr>
      <w:r>
        <w:t xml:space="preserve">Persistent top bar on all post-onboarding screens: wordmark (left), Patient/Clinician mode toggle (center-right), settings icon (right). No bottom tab bar on desktop; a bottom tab bar (Home / History / Settings, 3 items, icon + label) appears only below 768px, per the bottom-nav-limit guideline.</w:t>
      </w:r>
    </w:p>
    <w:p>
      <w:pPr>
        <w:pStyle w:val="Heading1"/>
        <w:spacing w:after="180" w:before="420"/>
      </w:pPr>
      <w:r>
        <w:t xml:space="preserve">5. Motion &amp; Interaction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shd w:fill="2F5D50" w:color="auto" w:val="clear"/>
            <w:tcMar>
              <w:top w:type="dxa" w:w="90"/>
              <w:left w:type="dxa" w:w="110"/>
              <w:bottom w:type="dxa" w:w="90"/>
              <w:right w:type="dxa" w:w="110"/>
            </w:tcMar>
            <w:vAlign w:val="top"/>
          </w:tcPr>
          <w:p>
            <w:r>
              <w:rPr>
                <w:b/>
                <w:bCs/>
                <w:color w:val="FFFFFF"/>
                <w:sz w:val="20"/>
                <w:szCs w:val="20"/>
              </w:rPr>
              <w:t xml:space="preserve">Interaction</w:t>
            </w:r>
          </w:p>
        </w:tc>
        <w:tc>
          <w:tcPr>
            <w:tcW w:type="dxa" w:w="7280"/>
            <w:shd w:fill="2F5D50" w:color="auto" w:val="clear"/>
            <w:tcMar>
              <w:top w:type="dxa" w:w="90"/>
              <w:left w:type="dxa" w:w="110"/>
              <w:bottom w:type="dxa" w:w="90"/>
              <w:right w:type="dxa" w:w="110"/>
            </w:tcMar>
            <w:vAlign w:val="top"/>
          </w:tcPr>
          <w:p>
            <w:r>
              <w:rPr>
                <w:b/>
                <w:bCs/>
                <w:color w:val="FFFFFF"/>
                <w:sz w:val="20"/>
                <w:szCs w:val="20"/>
              </w:rPr>
              <w:t xml:space="preserve">Behavior</w:t>
            </w:r>
          </w:p>
        </w:tc>
      </w:tr>
      <w:tr>
        <w:tc>
          <w:tcPr>
            <w:tcW w:type="dxa" w:w="2800"/>
            <w:tcMar>
              <w:top w:type="dxa" w:w="90"/>
              <w:left w:type="dxa" w:w="110"/>
              <w:bottom w:type="dxa" w:w="90"/>
              <w:right w:type="dxa" w:w="110"/>
            </w:tcMar>
            <w:vAlign w:val="top"/>
          </w:tcPr>
          <w:p>
            <w:r>
              <w:rPr>
                <w:b w:val="false"/>
                <w:bCs w:val="false"/>
                <w:sz w:val="20"/>
                <w:szCs w:val="20"/>
              </w:rPr>
              <w:t xml:space="preserve">Landing page scroll</w:t>
            </w:r>
          </w:p>
        </w:tc>
        <w:tc>
          <w:tcPr>
            <w:tcW w:type="dxa" w:w="7280"/>
            <w:tcMar>
              <w:top w:type="dxa" w:w="90"/>
              <w:left w:type="dxa" w:w="110"/>
              <w:bottom w:type="dxa" w:w="90"/>
              <w:right w:type="dxa" w:w="110"/>
            </w:tcMar>
            <w:vAlign w:val="top"/>
          </w:tcPr>
          <w:p>
            <w:r>
              <w:rPr>
                <w:b w:val="false"/>
                <w:bCs w:val="false"/>
                <w:sz w:val="20"/>
                <w:szCs w:val="20"/>
              </w:rPr>
              <w:t xml:space="preserve">Each section fades in (opacity 0→1) and translates up 24px as it crosses 70% viewport height; children within a section stagger by 40ms. Hero 3D tremor-signature plot auto-rotates slowly and continuously (paused under reduced-motion).</w:t>
            </w:r>
          </w:p>
        </w:tc>
      </w:tr>
      <w:tr>
        <w:tc>
          <w:tcPr>
            <w:tcW w:type="dxa" w:w="2800"/>
            <w:shd w:fill="F1EEE5" w:color="auto" w:val="clear"/>
            <w:tcMar>
              <w:top w:type="dxa" w:w="90"/>
              <w:left w:type="dxa" w:w="110"/>
              <w:bottom w:type="dxa" w:w="90"/>
              <w:right w:type="dxa" w:w="110"/>
            </w:tcMar>
            <w:vAlign w:val="top"/>
          </w:tcPr>
          <w:p>
            <w:r>
              <w:rPr>
                <w:b w:val="false"/>
                <w:bCs w:val="false"/>
                <w:sz w:val="20"/>
                <w:szCs w:val="20"/>
              </w:rPr>
              <w:t xml:space="preserve">Task countdown</w:t>
            </w:r>
          </w:p>
        </w:tc>
        <w:tc>
          <w:tcPr>
            <w:tcW w:type="dxa" w:w="7280"/>
            <w:shd w:fill="F1EEE5" w:color="auto" w:val="clear"/>
            <w:tcMar>
              <w:top w:type="dxa" w:w="90"/>
              <w:left w:type="dxa" w:w="110"/>
              <w:bottom w:type="dxa" w:w="90"/>
              <w:right w:type="dxa" w:w="110"/>
            </w:tcMar>
            <w:vAlign w:val="top"/>
          </w:tcPr>
          <w:p>
            <w:r>
              <w:rPr>
                <w:b w:val="false"/>
                <w:bCs w:val="false"/>
                <w:sz w:val="20"/>
                <w:szCs w:val="20"/>
              </w:rPr>
              <w:t xml:space="preserve">3-2-1 numerals scale-and-fade (spring, not linear) in the capture viewport; the progress ring sweeps clockwise over the 10s recording, giving continuous, non-verbal feedback.</w:t>
            </w:r>
          </w:p>
        </w:tc>
      </w:tr>
      <w:tr>
        <w:tc>
          <w:tcPr>
            <w:tcW w:type="dxa" w:w="2800"/>
            <w:tcMar>
              <w:top w:type="dxa" w:w="90"/>
              <w:left w:type="dxa" w:w="110"/>
              <w:bottom w:type="dxa" w:w="90"/>
              <w:right w:type="dxa" w:w="110"/>
            </w:tcMar>
            <w:vAlign w:val="top"/>
          </w:tcPr>
          <w:p>
            <w:r>
              <w:rPr>
                <w:b w:val="false"/>
                <w:bCs w:val="false"/>
                <w:sz w:val="20"/>
                <w:szCs w:val="20"/>
              </w:rPr>
              <w:t xml:space="preserve">3D skeleton joints</w:t>
            </w:r>
          </w:p>
        </w:tc>
        <w:tc>
          <w:tcPr>
            <w:tcW w:type="dxa" w:w="7280"/>
            <w:tcMar>
              <w:top w:type="dxa" w:w="90"/>
              <w:left w:type="dxa" w:w="110"/>
              <w:bottom w:type="dxa" w:w="90"/>
              <w:right w:type="dxa" w:w="110"/>
            </w:tcMar>
            <w:vAlign w:val="top"/>
          </w:tcPr>
          <w:p>
            <w:r>
              <w:rPr>
                <w:b w:val="false"/>
                <w:bCs w:val="false"/>
                <w:sz w:val="20"/>
                <w:szCs w:val="20"/>
              </w:rPr>
              <w:t xml:space="preserve">Each joint sphere recolors continuously (not steppped) along the calm-blue -&gt; hot-amber ramp as rolling jitter changes — this is a data-driven animation, not decorative.</w:t>
            </w:r>
          </w:p>
        </w:tc>
      </w:tr>
      <w:tr>
        <w:tc>
          <w:tcPr>
            <w:tcW w:type="dxa" w:w="2800"/>
            <w:shd w:fill="F1EEE5" w:color="auto" w:val="clear"/>
            <w:tcMar>
              <w:top w:type="dxa" w:w="90"/>
              <w:left w:type="dxa" w:w="110"/>
              <w:bottom w:type="dxa" w:w="90"/>
              <w:right w:type="dxa" w:w="110"/>
            </w:tcMar>
            <w:vAlign w:val="top"/>
          </w:tcPr>
          <w:p>
            <w:r>
              <w:rPr>
                <w:b w:val="false"/>
                <w:bCs w:val="false"/>
                <w:sz w:val="20"/>
                <w:szCs w:val="20"/>
              </w:rPr>
              <w:t xml:space="preserve">Result reveal</w:t>
            </w:r>
          </w:p>
        </w:tc>
        <w:tc>
          <w:tcPr>
            <w:tcW w:type="dxa" w:w="7280"/>
            <w:shd w:fill="F1EEE5" w:color="auto" w:val="clear"/>
            <w:tcMar>
              <w:top w:type="dxa" w:w="90"/>
              <w:left w:type="dxa" w:w="110"/>
              <w:bottom w:type="dxa" w:w="90"/>
              <w:right w:type="dxa" w:w="110"/>
            </w:tcMar>
            <w:vAlign w:val="top"/>
          </w:tcPr>
          <w:p>
            <w:r>
              <w:rPr>
                <w:b w:val="false"/>
                <w:bCs w:val="false"/>
                <w:sz w:val="20"/>
                <w:szCs w:val="20"/>
              </w:rPr>
              <w:t xml:space="preserve">Metric cards count up from 0 to their final value over 400ms when the results screen mounts — confirms "this just happened", not decoration.</w:t>
            </w:r>
          </w:p>
        </w:tc>
      </w:tr>
      <w:tr>
        <w:tc>
          <w:tcPr>
            <w:tcW w:type="dxa" w:w="2800"/>
            <w:tcMar>
              <w:top w:type="dxa" w:w="90"/>
              <w:left w:type="dxa" w:w="110"/>
              <w:bottom w:type="dxa" w:w="90"/>
              <w:right w:type="dxa" w:w="110"/>
            </w:tcMar>
            <w:vAlign w:val="top"/>
          </w:tcPr>
          <w:p>
            <w:r>
              <w:rPr>
                <w:b w:val="false"/>
                <w:bCs w:val="false"/>
                <w:sz w:val="20"/>
                <w:szCs w:val="20"/>
              </w:rPr>
              <w:t xml:space="preserve">Page-to-page navigation</w:t>
            </w:r>
          </w:p>
        </w:tc>
        <w:tc>
          <w:tcPr>
            <w:tcW w:type="dxa" w:w="7280"/>
            <w:tcMar>
              <w:top w:type="dxa" w:w="90"/>
              <w:left w:type="dxa" w:w="110"/>
              <w:bottom w:type="dxa" w:w="90"/>
              <w:right w:type="dxa" w:w="110"/>
            </w:tcMar>
            <w:vAlign w:val="top"/>
          </w:tcPr>
          <w:p>
            <w:r>
              <w:rPr>
                <w:b w:val="false"/>
                <w:bCs w:val="false"/>
                <w:sz w:val="20"/>
                <w:szCs w:val="20"/>
              </w:rPr>
              <w:t xml:space="preserve">Forward navigation slides content in from the right / fades up; back navigation reverses — consistent directional logic throughout, per navigation-direction guidance.</w:t>
            </w:r>
          </w:p>
        </w:tc>
      </w:tr>
      <w:tr>
        <w:tc>
          <w:tcPr>
            <w:tcW w:type="dxa" w:w="2800"/>
            <w:shd w:fill="F1EEE5" w:color="auto" w:val="clear"/>
            <w:tcMar>
              <w:top w:type="dxa" w:w="90"/>
              <w:left w:type="dxa" w:w="110"/>
              <w:bottom w:type="dxa" w:w="90"/>
              <w:right w:type="dxa" w:w="110"/>
            </w:tcMar>
            <w:vAlign w:val="top"/>
          </w:tcPr>
          <w:p>
            <w:r>
              <w:rPr>
                <w:b w:val="false"/>
                <w:bCs w:val="false"/>
                <w:sz w:val="20"/>
                <w:szCs w:val="20"/>
              </w:rPr>
              <w:t xml:space="preserve">Toasts (save confirmation, export ready)</w:t>
            </w:r>
          </w:p>
        </w:tc>
        <w:tc>
          <w:tcPr>
            <w:tcW w:type="dxa" w:w="7280"/>
            <w:shd w:fill="F1EEE5" w:color="auto" w:val="clear"/>
            <w:tcMar>
              <w:top w:type="dxa" w:w="90"/>
              <w:left w:type="dxa" w:w="110"/>
              <w:bottom w:type="dxa" w:w="90"/>
              <w:right w:type="dxa" w:w="110"/>
            </w:tcMar>
            <w:vAlign w:val="top"/>
          </w:tcPr>
          <w:p>
            <w:r>
              <w:rPr>
                <w:b w:val="false"/>
                <w:bCs w:val="false"/>
                <w:sz w:val="20"/>
                <w:szCs w:val="20"/>
              </w:rPr>
              <w:t xml:space="preserve">Slide up from bottom, auto-dismiss 4s, aria-live="polite" for screen readers.</w:t>
            </w:r>
          </w:p>
        </w:tc>
      </w:tr>
    </w:tbl>
    <w:p>
      <w:pPr>
        <w:pStyle w:val="Heading1"/>
        <w:spacing w:after="180" w:before="420"/>
      </w:pPr>
      <w:r>
        <w:t xml:space="preserve">6. Screen-by-Screen Visual Specification</w:t>
      </w:r>
    </w:p>
    <w:p>
      <w:pPr>
        <w:spacing w:after="160"/>
      </w:pPr>
      <w:r>
        <w:t xml:space="preserve">This section is the visual companion to PRD §10. Each screen below shows its layout wireframe (structure and composition) plus the specific token usage that turns the structure into the finished look.</w:t>
      </w:r>
    </w:p>
    <w:p>
      <w:pPr>
        <w:pStyle w:val="Heading2"/>
        <w:spacing w:after="140" w:before="300"/>
      </w:pPr>
      <w:r>
        <w:t xml:space="preserve">6.1 Landing / Marketing Page</w:t>
      </w:r>
    </w:p>
    <w:p>
      <w:pPr>
        <w:spacing w:after="80"/>
        <w:jc w:val="center"/>
      </w:pPr>
      <w:r>
        <w:drawing>
          <wp:inline distT="0" distB="0" distL="0" distR="0">
            <wp:extent cx="4381500" cy="720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7200900"/>
                    </a:xfrm>
                    <a:prstGeom prst="rect">
                      <a:avLst/>
                    </a:prstGeom>
                  </pic:spPr>
                </pic:pic>
              </a:graphicData>
            </a:graphic>
          </wp:inline>
        </w:drawing>
      </w:r>
    </w:p>
    <w:p>
      <w:pPr>
        <w:spacing w:after="260"/>
      </w:pPr>
      <w:r>
        <w:rPr>
          <w:i/>
          <w:iCs/>
          <w:color w:val="55504A"/>
          <w:sz w:val="18"/>
          <w:szCs w:val="18"/>
        </w:rPr>
        <w:t xml:space="preserve">Full-bleed, single-column scroll story. Every section boundary is a scroll-triggered reveal (§5).</w:t>
      </w:r>
    </w:p>
    <w:p>
      <w:pPr>
        <w:spacing w:after="160"/>
      </w:pPr>
      <w:r>
        <w:t xml:space="preserve">Visual detail: the hero is the only place the 3D tremor-signature plot appears without a live camera behind it — it runs on a small loop of pre-recorded/synthetic data, clearly not implying a live reading. Headline is set in Fraunces italic at 56-72px depending on viewport. The "Privacy and credibility" section is the one full-bleed Signal Green color-field band on the page — used exactly once, so it carries maximum weight when it appears. Task preview cards use a subtle line-art icon per task (matching the hero mark's line-art language) rather than photography or 3D renders, keeping the page fast and avoiding stock-photo/AI-image clichés.</w:t>
      </w:r>
    </w:p>
    <w:p>
      <w:pPr>
        <w:pStyle w:val="Heading2"/>
        <w:spacing w:after="140" w:before="300"/>
      </w:pPr>
      <w:r>
        <w:t xml:space="preserve">6.2 Task Capture Screen</w:t>
      </w:r>
    </w:p>
    <w:p>
      <w:pPr>
        <w:spacing w:after="8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743325"/>
                    </a:xfrm>
                    <a:prstGeom prst="rect">
                      <a:avLst/>
                    </a:prstGeom>
                  </pic:spPr>
                </pic:pic>
              </a:graphicData>
            </a:graphic>
          </wp:inline>
        </w:drawing>
      </w:r>
    </w:p>
    <w:p>
      <w:pPr>
        <w:spacing w:after="260"/>
      </w:pPr>
      <w:r>
        <w:rPr>
          <w:i/>
          <w:iCs/>
          <w:color w:val="55504A"/>
          <w:sz w:val="18"/>
          <w:szCs w:val="18"/>
        </w:rPr>
        <w:t xml:space="preserve">The one screen with a dark surface — reserved for the functional capture viewport.</w:t>
      </w:r>
    </w:p>
    <w:p>
      <w:pPr>
        <w:spacing w:after="160"/>
      </w:pPr>
      <w:r>
        <w:t xml:space="preserve">Visual detail: the instructions card, live chart, and bilateral-status card in the right column all share the white/hairline card treatment; the viewport on the left is the single visual anchor of the screen specifically because everywhere else in the product deliberately avoids heavy dark surfaces — the contrast makes this screen feel focused rather than just "another dark-mode dashboard."</w:t>
      </w:r>
    </w:p>
    <w:p>
      <w:pPr>
        <w:pStyle w:val="Heading2"/>
        <w:spacing w:after="140" w:before="300"/>
      </w:pPr>
      <w:r>
        <w:t xml:space="preserve">6.3 History / Trends Dashboard</w:t>
      </w:r>
    </w:p>
    <w:p>
      <w:pPr>
        <w:spacing w:after="80"/>
        <w:jc w:val="center"/>
      </w:pPr>
      <w:r>
        <w:drawing>
          <wp:inline distT="0" distB="0" distL="0" distR="0">
            <wp:extent cx="5905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038600"/>
                    </a:xfrm>
                    <a:prstGeom prst="rect">
                      <a:avLst/>
                    </a:prstGeom>
                  </pic:spPr>
                </pic:pic>
              </a:graphicData>
            </a:graphic>
          </wp:inline>
        </w:drawing>
      </w:r>
    </w:p>
    <w:p>
      <w:pPr>
        <w:spacing w:after="260"/>
      </w:pPr>
      <w:r>
        <w:rPr>
          <w:i/>
          <w:iCs/>
          <w:color w:val="55504A"/>
          <w:sz w:val="18"/>
          <w:szCs w:val="18"/>
        </w:rPr>
        <w:t xml:space="preserve">Paired trend charts, sortable history table, empty state replaces the whole content region on a first-time visit rather than showing empty axes.</w:t>
      </w:r>
    </w:p>
    <w:p>
      <w:pPr>
        <w:pStyle w:val="Heading2"/>
        <w:spacing w:after="140" w:before="300"/>
      </w:pPr>
      <w:r>
        <w:t xml:space="preserve">6.4 Session Results, Consent, Profile, Settings</w:t>
      </w:r>
    </w:p>
    <w:p>
      <w:pPr>
        <w:spacing w:after="160"/>
      </w:pPr>
      <w:r>
        <w:t xml:space="preserve">These screens share a single-column, generously-spaced template (max-width 640px, centered) rather than needing their own dedicated wireframe: a Fraunces headline, one or two hairline-bordered content cards, and a single primary action at the bottom. Session Results additionally includes the classifier pattern-match card (tinted Muted Gold background, per the PRD's ML module) with the disclaimer set in Ink Soft directly beneath it — never smaller than the surrounding body text, and never dismissible.</w:t>
      </w:r>
    </w:p>
    <w:p>
      <w:pPr>
        <w:pStyle w:val="Heading1"/>
        <w:spacing w:after="180" w:before="420"/>
      </w:pPr>
      <w:r>
        <w:t xml:space="preserve">7. Illustration &amp; Graphic Direction</w:t>
      </w:r>
    </w:p>
    <w:p>
      <w:pPr>
        <w:spacing w:after="8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260"/>
      </w:pPr>
      <w:r>
        <w:rPr>
          <w:i/>
          <w:iCs/>
          <w:color w:val="55504A"/>
          <w:sz w:val="18"/>
          <w:szCs w:val="18"/>
        </w:rPr>
        <w:t xml:space="preserve">The brand mark: a five-arc "motion fan" radiating from a tracked joint, standing in for the five fingers/five tasks without attempting a literal, uncanny illustration of a hand. Paired with a hand-drawn signal waveform and the Fraunces wordmark.</w:t>
      </w:r>
    </w:p>
    <w:p>
      <w:pPr>
        <w:spacing w:after="160"/>
      </w:pPr>
      <w:r>
        <w:t xml:space="preserve">This is the illustration system for the whole product: abstracted, line-based, generated from the product's own geometry (arcs, a signal line, a single accent dot) rather than stock photography, generic 3D-rendered icons, or — as in the original mockups — a literal glowing brain scan that overstates what the product measures. Every icon in the product follows the same rules: single 1.5-2px stroke weight, rounded caps, no fill except the small accent-color dot used as a consistent "tracked point" motif across the hero mark, task icons, and the 3D skeleton joints themselves.</w:t>
      </w:r>
    </w:p>
    <w:p>
      <w:pPr>
        <w:spacing w:after="8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905000"/>
                    </a:xfrm>
                    <a:prstGeom prst="rect">
                      <a:avLst/>
                    </a:prstGeom>
                  </pic:spPr>
                </pic:pic>
              </a:graphicData>
            </a:graphic>
          </wp:inline>
        </w:drawing>
      </w:r>
    </w:p>
    <w:p>
      <w:pPr>
        <w:spacing w:after="260"/>
      </w:pPr>
      <w:r>
        <w:rPr>
          <w:i/>
          <w:iCs/>
          <w:color w:val="55504A"/>
          <w:sz w:val="18"/>
          <w:szCs w:val="18"/>
        </w:rPr>
        <w:t xml:space="preserve">App icon / favicon lockup: the same fan-and-dot mark on the Ink background, for install icons and browser tabs.</w:t>
      </w:r>
    </w:p>
    <w:p>
      <w:pPr>
        <w:pStyle w:val="Heading1"/>
        <w:spacing w:after="180" w:before="420"/>
      </w:pPr>
      <w:r>
        <w:t xml:space="preserve">8. Accessibility &amp; Responsive Specification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shd w:fill="2F5D50" w:color="auto" w:val="clear"/>
            <w:tcMar>
              <w:top w:type="dxa" w:w="90"/>
              <w:left w:type="dxa" w:w="110"/>
              <w:bottom w:type="dxa" w:w="90"/>
              <w:right w:type="dxa" w:w="110"/>
            </w:tcMar>
            <w:vAlign w:val="top"/>
          </w:tcPr>
          <w:p>
            <w:r>
              <w:rPr>
                <w:b/>
                <w:bCs/>
                <w:color w:val="FFFFFF"/>
                <w:sz w:val="20"/>
                <w:szCs w:val="20"/>
              </w:rPr>
              <w:t xml:space="preserve">Breakpoint</w:t>
            </w:r>
          </w:p>
        </w:tc>
        <w:tc>
          <w:tcPr>
            <w:tcW w:type="dxa" w:w="7480"/>
            <w:shd w:fill="2F5D50" w:color="auto" w:val="clear"/>
            <w:tcMar>
              <w:top w:type="dxa" w:w="90"/>
              <w:left w:type="dxa" w:w="110"/>
              <w:bottom w:type="dxa" w:w="90"/>
              <w:right w:type="dxa" w:w="110"/>
            </w:tcMar>
            <w:vAlign w:val="top"/>
          </w:tcPr>
          <w:p>
            <w:r>
              <w:rPr>
                <w:b/>
                <w:bCs/>
                <w:color w:val="FFFFFF"/>
                <w:sz w:val="20"/>
                <w:szCs w:val="20"/>
              </w:rPr>
              <w:t xml:space="preserve">Layout behavior</w:t>
            </w:r>
          </w:p>
        </w:tc>
      </w:tr>
      <w:tr>
        <w:tc>
          <w:tcPr>
            <w:tcW w:type="dxa" w:w="2600"/>
            <w:tcMar>
              <w:top w:type="dxa" w:w="90"/>
              <w:left w:type="dxa" w:w="110"/>
              <w:bottom w:type="dxa" w:w="90"/>
              <w:right w:type="dxa" w:w="110"/>
            </w:tcMar>
            <w:vAlign w:val="top"/>
          </w:tcPr>
          <w:p>
            <w:r>
              <w:rPr>
                <w:b w:val="false"/>
                <w:bCs w:val="false"/>
                <w:sz w:val="20"/>
                <w:szCs w:val="20"/>
              </w:rPr>
              <w:t xml:space="preserve">&lt; 480px (phone)</w:t>
            </w:r>
          </w:p>
        </w:tc>
        <w:tc>
          <w:tcPr>
            <w:tcW w:type="dxa" w:w="7480"/>
            <w:tcMar>
              <w:top w:type="dxa" w:w="90"/>
              <w:left w:type="dxa" w:w="110"/>
              <w:bottom w:type="dxa" w:w="90"/>
              <w:right w:type="dxa" w:w="110"/>
            </w:tcMar>
            <w:vAlign w:val="top"/>
          </w:tcPr>
          <w:p>
            <w:r>
              <w:rPr>
                <w:b w:val="false"/>
                <w:bCs w:val="false"/>
                <w:sz w:val="20"/>
                <w:szCs w:val="20"/>
              </w:rPr>
              <w:t xml:space="preserve">Single column everywhere; bottom tab bar (Home / History / Settings) appears; capture viewport goes full-width, instructions/chart stack below it.</w:t>
            </w:r>
          </w:p>
        </w:tc>
      </w:tr>
      <w:tr>
        <w:tc>
          <w:tcPr>
            <w:tcW w:type="dxa" w:w="2600"/>
            <w:shd w:fill="F1EEE5" w:color="auto" w:val="clear"/>
            <w:tcMar>
              <w:top w:type="dxa" w:w="90"/>
              <w:left w:type="dxa" w:w="110"/>
              <w:bottom w:type="dxa" w:w="90"/>
              <w:right w:type="dxa" w:w="110"/>
            </w:tcMar>
            <w:vAlign w:val="top"/>
          </w:tcPr>
          <w:p>
            <w:r>
              <w:rPr>
                <w:b w:val="false"/>
                <w:bCs w:val="false"/>
                <w:sz w:val="20"/>
                <w:szCs w:val="20"/>
              </w:rPr>
              <w:t xml:space="preserve">480-768px (large phone / small tablet)</w:t>
            </w:r>
          </w:p>
        </w:tc>
        <w:tc>
          <w:tcPr>
            <w:tcW w:type="dxa" w:w="7480"/>
            <w:shd w:fill="F1EEE5" w:color="auto" w:val="clear"/>
            <w:tcMar>
              <w:top w:type="dxa" w:w="90"/>
              <w:left w:type="dxa" w:w="110"/>
              <w:bottom w:type="dxa" w:w="90"/>
              <w:right w:type="dxa" w:w="110"/>
            </w:tcMar>
            <w:vAlign w:val="top"/>
          </w:tcPr>
          <w:p>
            <w:r>
              <w:rPr>
                <w:b w:val="false"/>
                <w:bCs w:val="false"/>
                <w:sz w:val="20"/>
                <w:szCs w:val="20"/>
              </w:rPr>
              <w:t xml:space="preserve">Same as mobile with wider gutters (24px); dashboard trend charts stack vertically.</w:t>
            </w:r>
          </w:p>
        </w:tc>
      </w:tr>
      <w:tr>
        <w:tc>
          <w:tcPr>
            <w:tcW w:type="dxa" w:w="2600"/>
            <w:tcMar>
              <w:top w:type="dxa" w:w="90"/>
              <w:left w:type="dxa" w:w="110"/>
              <w:bottom w:type="dxa" w:w="90"/>
              <w:right w:type="dxa" w:w="110"/>
            </w:tcMar>
            <w:vAlign w:val="top"/>
          </w:tcPr>
          <w:p>
            <w:r>
              <w:rPr>
                <w:b w:val="false"/>
                <w:bCs w:val="false"/>
                <w:sz w:val="20"/>
                <w:szCs w:val="20"/>
              </w:rPr>
              <w:t xml:space="preserve">768-1024px (tablet)</w:t>
            </w:r>
          </w:p>
        </w:tc>
        <w:tc>
          <w:tcPr>
            <w:tcW w:type="dxa" w:w="7480"/>
            <w:tcMar>
              <w:top w:type="dxa" w:w="90"/>
              <w:left w:type="dxa" w:w="110"/>
              <w:bottom w:type="dxa" w:w="90"/>
              <w:right w:type="dxa" w:w="110"/>
            </w:tcMar>
            <w:vAlign w:val="top"/>
          </w:tcPr>
          <w:p>
            <w:r>
              <w:rPr>
                <w:b w:val="false"/>
                <w:bCs w:val="false"/>
                <w:sz w:val="20"/>
                <w:szCs w:val="20"/>
              </w:rPr>
              <w:t xml:space="preserve">8-column grid; capture screen splits 60/40 instead of 65/35; nav becomes the full top bar (no bottom tabs).</w:t>
            </w:r>
          </w:p>
        </w:tc>
      </w:tr>
      <w:tr>
        <w:tc>
          <w:tcPr>
            <w:tcW w:type="dxa" w:w="2600"/>
            <w:shd w:fill="F1EEE5" w:color="auto" w:val="clear"/>
            <w:tcMar>
              <w:top w:type="dxa" w:w="90"/>
              <w:left w:type="dxa" w:w="110"/>
              <w:bottom w:type="dxa" w:w="90"/>
              <w:right w:type="dxa" w:w="110"/>
            </w:tcMar>
            <w:vAlign w:val="top"/>
          </w:tcPr>
          <w:p>
            <w:r>
              <w:rPr>
                <w:b w:val="false"/>
                <w:bCs w:val="false"/>
                <w:sz w:val="20"/>
                <w:szCs w:val="20"/>
              </w:rPr>
              <w:t xml:space="preserve">&gt; 1024px (desktop)</w:t>
            </w:r>
          </w:p>
        </w:tc>
        <w:tc>
          <w:tcPr>
            <w:tcW w:type="dxa" w:w="7480"/>
            <w:shd w:fill="F1EEE5" w:color="auto" w:val="clear"/>
            <w:tcMar>
              <w:top w:type="dxa" w:w="90"/>
              <w:left w:type="dxa" w:w="110"/>
              <w:bottom w:type="dxa" w:w="90"/>
              <w:right w:type="dxa" w:w="110"/>
            </w:tcMar>
            <w:vAlign w:val="top"/>
          </w:tcPr>
          <w:p>
            <w:r>
              <w:rPr>
                <w:b w:val="false"/>
                <w:bCs w:val="false"/>
                <w:sz w:val="20"/>
                <w:szCs w:val="20"/>
              </w:rPr>
              <w:t xml:space="preserve">Full 12-column layout as specified in the wireframes above; max content width 1200px, centered.</w:t>
            </w:r>
          </w:p>
        </w:tc>
      </w:tr>
    </w:tbl>
    <w:p>
      <w:pPr>
        <w:spacing w:after="160"/>
      </w:pPr>
      <w:r>
        <w:t xml:space="preserve">Additional requirements (see PRD §11.3 for the full checklist): large-text mode scales the entire type ramp up one step (body becomes 19px) without truncating any data readout; the tremor heatmap ramp (calm-blue → hot-amber) was deliberately chosen instead of blue→red specifically because red/green and blue/red gradients are the two most common colorblind-failure pairings, and amplitude is always additionally shown as a numeric value and line-thickness change, never color alone.</w:t>
      </w:r>
    </w:p>
    <w:p>
      <w:pPr>
        <w:pStyle w:val="Heading1"/>
        <w:spacing w:after="180" w:before="420"/>
      </w:pPr>
      <w:r>
        <w:t xml:space="preserve">9. Do's and Don'ts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2F5D50" w:color="auto" w:val="clear"/>
            <w:tcMar>
              <w:top w:type="dxa" w:w="90"/>
              <w:left w:type="dxa" w:w="110"/>
              <w:bottom w:type="dxa" w:w="90"/>
              <w:right w:type="dxa" w:w="110"/>
            </w:tcMar>
            <w:vAlign w:val="top"/>
          </w:tcPr>
          <w:p>
            <w:r>
              <w:rPr>
                <w:b/>
                <w:bCs/>
                <w:color w:val="FFFFFF"/>
                <w:sz w:val="20"/>
                <w:szCs w:val="20"/>
              </w:rPr>
              <w:t xml:space="preserve">Do</w:t>
            </w:r>
          </w:p>
        </w:tc>
        <w:tc>
          <w:tcPr>
            <w:tcW w:type="dxa" w:w="5040"/>
            <w:shd w:fill="B3261E" w:color="auto" w:val="clear"/>
            <w:tcMar>
              <w:top w:type="dxa" w:w="90"/>
              <w:left w:type="dxa" w:w="110"/>
              <w:bottom w:type="dxa" w:w="90"/>
              <w:right w:type="dxa" w:w="110"/>
            </w:tcMar>
            <w:vAlign w:val="top"/>
          </w:tcPr>
          <w:p>
            <w:r>
              <w:rPr>
                <w:b/>
                <w:bCs/>
                <w:color w:val="FFFFFF"/>
                <w:sz w:val="20"/>
                <w:szCs w:val="20"/>
              </w:rPr>
              <w:t xml:space="preserve">Don't</w:t>
            </w:r>
          </w:p>
        </w:tc>
      </w:tr>
      <w:tr>
        <w:tc>
          <w:tcPr>
            <w:tcW w:type="dxa" w:w="5040"/>
            <w:tcMar>
              <w:top w:type="dxa" w:w="90"/>
              <w:left w:type="dxa" w:w="110"/>
              <w:bottom w:type="dxa" w:w="90"/>
              <w:right w:type="dxa" w:w="110"/>
            </w:tcMar>
            <w:vAlign w:val="top"/>
          </w:tcPr>
          <w:p>
            <w:r>
              <w:rPr>
                <w:b w:val="false"/>
                <w:bCs w:val="false"/>
                <w:sz w:val="20"/>
                <w:szCs w:val="20"/>
              </w:rPr>
              <w:t xml:space="preserve">Use a hairline border or a color-field band to separate sections.</w:t>
            </w:r>
          </w:p>
        </w:tc>
        <w:tc>
          <w:tcPr>
            <w:tcW w:type="dxa" w:w="5040"/>
            <w:tcMar>
              <w:top w:type="dxa" w:w="90"/>
              <w:left w:type="dxa" w:w="110"/>
              <w:bottom w:type="dxa" w:w="90"/>
              <w:right w:type="dxa" w:w="110"/>
            </w:tcMar>
            <w:vAlign w:val="top"/>
          </w:tcPr>
          <w:p>
            <w:r>
              <w:rPr>
                <w:b w:val="false"/>
                <w:bCs w:val="false"/>
                <w:sz w:val="20"/>
                <w:szCs w:val="20"/>
              </w:rPr>
              <w:t xml:space="preserve">Wrap every section in its own bordered, shadowed card.</w:t>
            </w:r>
          </w:p>
        </w:tc>
      </w:tr>
      <w:tr>
        <w:tc>
          <w:tcPr>
            <w:tcW w:type="dxa" w:w="5040"/>
            <w:shd w:fill="F1EEE5" w:color="auto" w:val="clear"/>
            <w:tcMar>
              <w:top w:type="dxa" w:w="90"/>
              <w:left w:type="dxa" w:w="110"/>
              <w:bottom w:type="dxa" w:w="90"/>
              <w:right w:type="dxa" w:w="110"/>
            </w:tcMar>
            <w:vAlign w:val="top"/>
          </w:tcPr>
          <w:p>
            <w:r>
              <w:rPr>
                <w:b w:val="false"/>
                <w:bCs w:val="false"/>
                <w:sz w:val="20"/>
                <w:szCs w:val="20"/>
              </w:rPr>
              <w:t xml:space="preserve">Reserve dark backgrounds for the live capture viewport only.</w:t>
            </w:r>
          </w:p>
        </w:tc>
        <w:tc>
          <w:tcPr>
            <w:tcW w:type="dxa" w:w="5040"/>
            <w:shd w:fill="F1EEE5" w:color="auto" w:val="clear"/>
            <w:tcMar>
              <w:top w:type="dxa" w:w="90"/>
              <w:left w:type="dxa" w:w="110"/>
              <w:bottom w:type="dxa" w:w="90"/>
              <w:right w:type="dxa" w:w="110"/>
            </w:tcMar>
            <w:vAlign w:val="top"/>
          </w:tcPr>
          <w:p>
            <w:r>
              <w:rPr>
                <w:b w:val="false"/>
                <w:bCs w:val="false"/>
                <w:sz w:val="20"/>
                <w:szCs w:val="20"/>
              </w:rPr>
              <w:t xml:space="preserve">Use neon cyan-on-navy or any glassmorphism-heavy 'AI dashboard' styling.</w:t>
            </w:r>
          </w:p>
        </w:tc>
      </w:tr>
      <w:tr>
        <w:tc>
          <w:tcPr>
            <w:tcW w:type="dxa" w:w="5040"/>
            <w:tcMar>
              <w:top w:type="dxa" w:w="90"/>
              <w:left w:type="dxa" w:w="110"/>
              <w:bottom w:type="dxa" w:w="90"/>
              <w:right w:type="dxa" w:w="110"/>
            </w:tcMar>
            <w:vAlign w:val="top"/>
          </w:tcPr>
          <w:p>
            <w:r>
              <w:rPr>
                <w:b w:val="false"/>
                <w:bCs w:val="false"/>
                <w:sz w:val="20"/>
                <w:szCs w:val="20"/>
              </w:rPr>
              <w:t xml:space="preserve">Use Fraunces for headlines, sparingly, to create a distinctive editorial moment.</w:t>
            </w:r>
          </w:p>
        </w:tc>
        <w:tc>
          <w:tcPr>
            <w:tcW w:type="dxa" w:w="5040"/>
            <w:tcMar>
              <w:top w:type="dxa" w:w="90"/>
              <w:left w:type="dxa" w:w="110"/>
              <w:bottom w:type="dxa" w:w="90"/>
              <w:right w:type="dxa" w:w="110"/>
            </w:tcMar>
            <w:vAlign w:val="top"/>
          </w:tcPr>
          <w:p>
            <w:r>
              <w:rPr>
                <w:b w:val="false"/>
                <w:bCs w:val="false"/>
                <w:sz w:val="20"/>
                <w:szCs w:val="20"/>
              </w:rPr>
              <w:t xml:space="preserve">Set body copy or dense UI chrome in the display serif.</w:t>
            </w:r>
          </w:p>
        </w:tc>
      </w:tr>
      <w:tr>
        <w:tc>
          <w:tcPr>
            <w:tcW w:type="dxa" w:w="5040"/>
            <w:shd w:fill="F1EEE5" w:color="auto" w:val="clear"/>
            <w:tcMar>
              <w:top w:type="dxa" w:w="90"/>
              <w:left w:type="dxa" w:w="110"/>
              <w:bottom w:type="dxa" w:w="90"/>
              <w:right w:type="dxa" w:w="110"/>
            </w:tcMar>
            <w:vAlign w:val="top"/>
          </w:tcPr>
          <w:p>
            <w:r>
              <w:rPr>
                <w:b w:val="false"/>
                <w:bCs w:val="false"/>
                <w:sz w:val="20"/>
                <w:szCs w:val="20"/>
              </w:rPr>
              <w:t xml:space="preserve">Show a disclaimer on every results/classifier screen, same size as body text.</w:t>
            </w:r>
          </w:p>
        </w:tc>
        <w:tc>
          <w:tcPr>
            <w:tcW w:type="dxa" w:w="5040"/>
            <w:shd w:fill="F1EEE5" w:color="auto" w:val="clear"/>
            <w:tcMar>
              <w:top w:type="dxa" w:w="90"/>
              <w:left w:type="dxa" w:w="110"/>
              <w:bottom w:type="dxa" w:w="90"/>
              <w:right w:type="dxa" w:w="110"/>
            </w:tcMar>
            <w:vAlign w:val="top"/>
          </w:tcPr>
          <w:p>
            <w:r>
              <w:rPr>
                <w:b w:val="false"/>
                <w:bCs w:val="false"/>
                <w:sz w:val="20"/>
                <w:szCs w:val="20"/>
              </w:rPr>
              <w:t xml:space="preserve">Make the disclaimer small, low-contrast, or dismissible.</w:t>
            </w:r>
          </w:p>
        </w:tc>
      </w:tr>
      <w:tr>
        <w:tc>
          <w:tcPr>
            <w:tcW w:type="dxa" w:w="5040"/>
            <w:tcMar>
              <w:top w:type="dxa" w:w="90"/>
              <w:left w:type="dxa" w:w="110"/>
              <w:bottom w:type="dxa" w:w="90"/>
              <w:right w:type="dxa" w:w="110"/>
            </w:tcMar>
            <w:vAlign w:val="top"/>
          </w:tcPr>
          <w:p>
            <w:r>
              <w:rPr>
                <w:b w:val="false"/>
                <w:bCs w:val="false"/>
                <w:sz w:val="20"/>
                <w:szCs w:val="20"/>
              </w:rPr>
              <w:t xml:space="preserve">Let the 3D skeleton and charts be the visual centerpiece — they're real data.</w:t>
            </w:r>
          </w:p>
        </w:tc>
        <w:tc>
          <w:tcPr>
            <w:tcW w:type="dxa" w:w="5040"/>
            <w:tcMar>
              <w:top w:type="dxa" w:w="90"/>
              <w:left w:type="dxa" w:w="110"/>
              <w:bottom w:type="dxa" w:w="90"/>
              <w:right w:type="dxa" w:w="110"/>
            </w:tcMar>
            <w:vAlign w:val="top"/>
          </w:tcPr>
          <w:p>
            <w:r>
              <w:rPr>
                <w:b w:val="false"/>
                <w:bCs w:val="false"/>
                <w:sz w:val="20"/>
                <w:szCs w:val="20"/>
              </w:rPr>
              <w:t xml:space="preserve">Add decorative 3D or motion that doesn't represent real data or confirm an action.</w:t>
            </w:r>
          </w:p>
        </w:tc>
      </w:tr>
      <w:tr>
        <w:tc>
          <w:tcPr>
            <w:tcW w:type="dxa" w:w="5040"/>
            <w:shd w:fill="F1EEE5" w:color="auto" w:val="clear"/>
            <w:tcMar>
              <w:top w:type="dxa" w:w="90"/>
              <w:left w:type="dxa" w:w="110"/>
              <w:bottom w:type="dxa" w:w="90"/>
              <w:right w:type="dxa" w:w="110"/>
            </w:tcMar>
            <w:vAlign w:val="top"/>
          </w:tcPr>
          <w:p>
            <w:r>
              <w:rPr>
                <w:b w:val="false"/>
                <w:bCs w:val="false"/>
                <w:sz w:val="20"/>
                <w:szCs w:val="20"/>
              </w:rPr>
              <w:t xml:space="preserve">Use the blue-to-amber heatmap ramp with a numeric value alongside it.</w:t>
            </w:r>
          </w:p>
        </w:tc>
        <w:tc>
          <w:tcPr>
            <w:tcW w:type="dxa" w:w="5040"/>
            <w:shd w:fill="F1EEE5" w:color="auto" w:val="clear"/>
            <w:tcMar>
              <w:top w:type="dxa" w:w="90"/>
              <w:left w:type="dxa" w:w="110"/>
              <w:bottom w:type="dxa" w:w="90"/>
              <w:right w:type="dxa" w:w="110"/>
            </w:tcMar>
            <w:vAlign w:val="top"/>
          </w:tcPr>
          <w:p>
            <w:r>
              <w:rPr>
                <w:b w:val="false"/>
                <w:bCs w:val="false"/>
                <w:sz w:val="20"/>
                <w:szCs w:val="20"/>
              </w:rPr>
              <w:t xml:space="preserve">Rely on a red/green or blue/red gradient, or color alone, to convey a reading.</w:t>
            </w:r>
          </w:p>
        </w:tc>
      </w:tr>
    </w:tbl>
    <w:p>
      <w:pPr>
        <w:pBdr>
          <w:bottom w:val="single" w:color="DAD2C2" w:sz="6" w:space="1"/>
        </w:pBdr>
        <w:spacing w:after="200"/>
      </w:pPr>
    </w:p>
    <w:p>
      <w:pPr>
        <w:spacing w:after="160"/>
      </w:pPr>
      <w:r>
        <w:rPr>
          <w:i/>
          <w:iCs/>
          <w:color w:val="55504A"/>
        </w:rPr>
        <w:t xml:space="preserve">End of Design System. Paired with the NeuraTrack PRD for functional specification, and the HTML mockups (landing.html, capture.html, dashboard.html) for a working, in-browser expression of everything specified above.</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2F5D50"/>
      <w:sz w:val="32"/>
      <w:szCs w:val="32"/>
    </w:rPr>
  </w:style>
  <w:style w:type="paragraph" w:styleId="Heading2">
    <w:name w:val="Heading 2"/>
    <w:basedOn w:val="Normal"/>
    <w:next w:val="Normal"/>
    <w:qFormat/>
    <w:pPr>
      <w:spacing w:after="120" w:before="260"/>
      <w:outlineLvl w:val="1"/>
    </w:pPr>
    <w:rPr>
      <w:b/>
      <w:bCs/>
      <w:color w:val="1B2420"/>
      <w:sz w:val="26"/>
      <w:szCs w:val="26"/>
    </w:rPr>
  </w:style>
  <w:style w:type="paragraph" w:styleId="Heading3">
    <w:name w:val="Heading 3"/>
    <w:basedOn w:val="Normal"/>
    <w:next w:val="Normal"/>
    <w:qFormat/>
    <w:pPr>
      <w:spacing w:after="90" w:before="200"/>
      <w:outlineLvl w:val="2"/>
    </w:pPr>
    <w:rPr>
      <w:b/>
      <w:bCs/>
      <w:color w:val="1B24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b347d22dd05ff7d6aa623cefb973afc2b026580.png"/><Relationship Id="rId8" Type="http://schemas.openxmlformats.org/officeDocument/2006/relationships/image" Target="media/4af085cb2bb30bcd81d59d5f966cf384a9d99842.png"/><Relationship Id="rId9" Type="http://schemas.openxmlformats.org/officeDocument/2006/relationships/image" Target="media/b46a6780c494c55bbc320a59357cec9239cf9944.png"/><Relationship Id="rId10" Type="http://schemas.openxmlformats.org/officeDocument/2006/relationships/image" Target="media/340f2ea315085eb6549a5710b8b3bbf228134114.png"/><Relationship Id="rId11" Type="http://schemas.openxmlformats.org/officeDocument/2006/relationships/image" Target="media/03e6f0b8d1b99ee36de85cc0c9a60f49dfe03af2.png"/><Relationship Id="rId12" Type="http://schemas.openxmlformats.org/officeDocument/2006/relationships/image" Target="media/acf37be10d2b12718bf3804bb4b971136ad6f297.png"/><Relationship Id="rId13" Type="http://schemas.openxmlformats.org/officeDocument/2006/relationships/image" Target="media/5c89391aa0ce895315c3c9b9b66574b05d68f25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2026-07-11T23:20:06.004Z</dcterms:created>
  <dcterms:modified xsi:type="dcterms:W3CDTF">2026-07-11T23:20:06.004Z</dcterms:modified>
</cp:coreProperties>
</file>

<file path=docProps/custom.xml><?xml version="1.0" encoding="utf-8"?>
<Properties xmlns="http://schemas.openxmlformats.org/officeDocument/2006/custom-properties" xmlns:vt="http://schemas.openxmlformats.org/officeDocument/2006/docPropsVTypes"/>
</file>