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5Ws + How analysis for the 6 entities in WalStore Operations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.5607476635514"/>
        <w:gridCol w:w="1180.9345794392523"/>
        <w:gridCol w:w="1443.3644859813082"/>
        <w:gridCol w:w="1443.3644859813082"/>
        <w:gridCol w:w="1443.3644859813082"/>
        <w:gridCol w:w="1560"/>
        <w:gridCol w:w="1268.411214953271"/>
        <w:tblGridChange w:id="0">
          <w:tblGrid>
            <w:gridCol w:w="1020.5607476635514"/>
            <w:gridCol w:w="1180.9345794392523"/>
            <w:gridCol w:w="1443.3644859813082"/>
            <w:gridCol w:w="1443.3644859813082"/>
            <w:gridCol w:w="1443.3644859813082"/>
            <w:gridCol w:w="1560"/>
            <w:gridCol w:w="1268.411214953271"/>
          </w:tblGrid>
        </w:tblGridChange>
      </w:tblGrid>
      <w:tr>
        <w:trPr>
          <w:trHeight w:val="10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Warehouse Transporter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Warehouse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Warehouse-to-store transporter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</w:tr>
      <w:tr>
        <w:trPr>
          <w:trHeight w:val="3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----------?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are the types of contracts they have?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is the size of the buffer supply area?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-----------?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----------?</w:t>
            </w:r>
          </w:p>
        </w:tc>
      </w:tr>
      <w:tr>
        <w:trPr>
          <w:trHeight w:val="3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are the schedules arrived at?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-----------?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is the store layout optimized?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Who are the transporters?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------?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When do the warehouses receive goods from the transporters?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When do they visit the store?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 are the suppliers located?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1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Which prominent routes are used by the transporters for navigating between the suppliers and the warehouses?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>
        <w:rtl w:val="0"/>
      </w:rPr>
      <w:t xml:space="preserve">         © Copyright 2020. UpGrad Education Pvt. Ltd. All rights reserved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