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 xml:space="preserve">VII. Requisitos de Acceso al Mercado </w:t>
      </w:r>
      <w:r>
        <w:rPr>
          <w:b w:val="false"/>
          <w:sz w:val="18"/>
          <w:szCs w:val="18"/>
          <w:highlight w:val="yellow"/>
          <w:lang w:val="es-CL"/>
        </w:rPr>
        <w:t>(market access map)</w:t>
      </w:r>
      <w:r>
        <w:rPr>
          <w:b w:val="false"/>
          <w:sz w:val="18"/>
          <w:szCs w:val="18"/>
          <w:lang w:val="es-CL"/>
        </w:rPr>
        <w:t xml:space="preserve"> </w:t>
      </w:r>
    </w:p>
    <w:p>
      <w:pPr>
        <w:pStyle w:val="Heading1"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>6.1 Medidas Arancelarias</w:t>
      </w:r>
    </w:p>
    <w:p>
      <w:pPr>
        <w:pStyle w:val="Heading1"/>
        <w:widowControl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>6.2 Medidas No Arancelarias</w:t>
      </w:r>
    </w:p>
    <w:p>
      <w:pPr>
        <w:pStyle w:val="Heading1"/>
        <w:widowControl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 xml:space="preserve">       </w:t>
      </w:r>
      <w:r>
        <w:rPr>
          <w:b w:val="false"/>
          <w:sz w:val="18"/>
          <w:szCs w:val="18"/>
          <w:lang w:val="es-CL"/>
        </w:rPr>
        <w:t>6.2.1 Medidas Técnicas</w:t>
      </w:r>
    </w:p>
    <w:p>
      <w:pPr>
        <w:pStyle w:val="Heading1"/>
        <w:widowControl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lang w:val="es-CL"/>
        </w:rPr>
      </w:pPr>
      <w:r>
        <w:rPr>
          <w:b w:val="false"/>
          <w:sz w:val="18"/>
          <w:szCs w:val="18"/>
          <w:lang w:val="es-CL"/>
        </w:rPr>
        <w:t xml:space="preserve">       </w:t>
      </w:r>
      <w:r>
        <w:rPr>
          <w:b w:val="false"/>
          <w:sz w:val="18"/>
          <w:szCs w:val="18"/>
          <w:lang w:val="es-CL"/>
        </w:rPr>
        <w:t>6.2.2 Medidas No Técnicas</w:t>
      </w:r>
    </w:p>
    <w:p>
      <w:pPr>
        <w:pStyle w:val="Heading1"/>
        <w:widowControl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 xml:space="preserve">6.3 Normas Privadas </w:t>
      </w:r>
    </w:p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</w:r>
    </w:p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 xml:space="preserve">VII. Logística </w:t>
      </w:r>
      <w:r>
        <w:rPr>
          <w:b w:val="false"/>
          <w:sz w:val="18"/>
          <w:szCs w:val="18"/>
          <w:highlight w:val="yellow"/>
          <w:lang w:val="es-CL"/>
        </w:rPr>
        <w:t>(Promperu – rutas marítimas)</w:t>
      </w:r>
      <w:r>
        <w:rPr>
          <w:b w:val="false"/>
          <w:sz w:val="18"/>
          <w:szCs w:val="18"/>
          <w:lang w:val="es-CL"/>
        </w:rPr>
        <w:t xml:space="preserve"> solicitar cotización real.</w:t>
      </w:r>
    </w:p>
    <w:p>
      <w:pPr>
        <w:pStyle w:val="Heading1"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>7.1 Canales de Distribución</w:t>
      </w:r>
    </w:p>
    <w:p>
      <w:pPr>
        <w:pStyle w:val="Heading1"/>
        <w:tabs>
          <w:tab w:val="clear" w:pos="708"/>
          <w:tab w:val="left" w:pos="471" w:leader="none"/>
        </w:tabs>
        <w:ind w:firstLine="112" w:left="1066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>7.1.1 Rutas de Acceso</w:t>
      </w:r>
    </w:p>
    <w:p>
      <w:pPr>
        <w:pStyle w:val="Heading1"/>
        <w:tabs>
          <w:tab w:val="clear" w:pos="708"/>
          <w:tab w:val="left" w:pos="471" w:leader="none"/>
        </w:tabs>
        <w:ind w:firstLine="112" w:left="1066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>7.1.2 Costos Logísticos (simulador de costos)</w:t>
      </w:r>
    </w:p>
    <w:p>
      <w:pPr>
        <w:pStyle w:val="Heading1"/>
        <w:tabs>
          <w:tab w:val="clear" w:pos="708"/>
          <w:tab w:val="left" w:pos="471" w:leader="none"/>
        </w:tabs>
        <w:ind w:firstLine="112" w:left="1066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>7.1.3 Principales Agencias de Transporte</w:t>
      </w:r>
    </w:p>
    <w:p>
      <w:pPr>
        <w:pStyle w:val="Heading1"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 xml:space="preserve">7.2 Canales de Comercialización </w:t>
      </w:r>
      <w:r>
        <w:rPr>
          <w:b w:val="false"/>
          <w:sz w:val="18"/>
          <w:szCs w:val="18"/>
          <w:highlight w:val="magenta"/>
          <w:lang w:val="es-CL"/>
        </w:rPr>
        <w:t>(¿Qué ruta siguen las pastas en España?)</w:t>
      </w:r>
    </w:p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</w:r>
    </w:p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 xml:space="preserve">VIII. Actividades de Promoción Comercial </w:t>
      </w:r>
      <w:r>
        <w:rPr>
          <w:b w:val="false"/>
          <w:sz w:val="18"/>
          <w:szCs w:val="18"/>
          <w:highlight w:val="yellow"/>
          <w:lang w:val="es-CL"/>
        </w:rPr>
        <w:t>(investigación) nferias.com</w:t>
      </w:r>
      <w:r>
        <w:rPr>
          <w:b w:val="false"/>
          <w:sz w:val="18"/>
          <w:szCs w:val="18"/>
          <w:lang w:val="es-CL"/>
        </w:rPr>
        <w:t xml:space="preserve"> </w:t>
      </w:r>
    </w:p>
    <w:p>
      <w:pPr>
        <w:pStyle w:val="Heading1"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 xml:space="preserve">8.1 Ferias </w:t>
      </w:r>
    </w:p>
    <w:p>
      <w:pPr>
        <w:pStyle w:val="Heading1"/>
        <w:tabs>
          <w:tab w:val="clear" w:pos="708"/>
          <w:tab w:val="left" w:pos="471" w:leader="none"/>
        </w:tabs>
        <w:ind w:firstLine="112" w:left="828"/>
        <w:jc w:val="center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>Cuadro N.º 8.1.1</w:t>
      </w:r>
    </w:p>
    <w:p>
      <w:pPr>
        <w:pStyle w:val="Heading1"/>
        <w:tabs>
          <w:tab w:val="clear" w:pos="708"/>
          <w:tab w:val="left" w:pos="471" w:leader="none"/>
        </w:tabs>
        <w:ind w:firstLine="112" w:left="828"/>
        <w:jc w:val="center"/>
        <w:rPr>
          <w:b/>
          <w:bCs/>
          <w:sz w:val="18"/>
          <w:szCs w:val="18"/>
          <w:lang w:val="es-CL"/>
        </w:rPr>
      </w:pPr>
      <w:r>
        <w:rPr>
          <w:b/>
          <w:bCs/>
          <w:sz w:val="18"/>
          <w:szCs w:val="18"/>
          <w:lang w:val="es-CL"/>
        </w:rPr>
        <w:t>FERIAS INTERNACIONALES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946"/>
        <w:gridCol w:w="2946"/>
        <w:gridCol w:w="2946"/>
      </w:tblGrid>
      <w:tr>
        <w:trPr/>
        <w:tc>
          <w:tcPr>
            <w:tcW w:w="29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40640</wp:posOffset>
                  </wp:positionV>
                  <wp:extent cx="1800860" cy="900430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860" cy="900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Nombre de la feria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Natural Products Expo East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Fecha Aproximada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Sep/Oct 2025 (típico)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Principales intereses en la feria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 Alimentos orgánicos y naturales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 Superalimentos y productos saludables</w:t>
            </w:r>
          </w:p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 Networking industrial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Link (inglés)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3" w:tgtFrame="_blank">
              <w:r>
                <w:rPr>
                  <w:rStyle w:val="Hyperlink"/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https://www.expoeast.com/</w:t>
              </w:r>
            </w:hyperlink>
          </w:p>
        </w:tc>
      </w:tr>
      <w:tr>
        <w:trPr/>
        <w:tc>
          <w:tcPr>
            <w:tcW w:w="294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-116205</wp:posOffset>
                  </wp:positionH>
                  <wp:positionV relativeFrom="paragraph">
                    <wp:posOffset>71120</wp:posOffset>
                  </wp:positionV>
                  <wp:extent cx="1800860" cy="56261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860" cy="562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Nombre de la feria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SupplySide Global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Fecha Aproximada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27 - 30 oct 2025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Principales intereses en la feria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 Ingredientes nutracéuticos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 Productos de salud y nutrición</w:t>
            </w:r>
          </w:p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 Alimentos funcionales y naturales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Link (inglés)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5">
              <w:r>
                <w:rPr>
                  <w:rStyle w:val="Hyperlink"/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https://www.supplysidewest.com/</w:t>
              </w:r>
            </w:hyperlink>
          </w:p>
        </w:tc>
      </w:tr>
      <w:tr>
        <w:trPr/>
        <w:tc>
          <w:tcPr>
            <w:tcW w:w="294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635</wp:posOffset>
                  </wp:positionV>
                  <wp:extent cx="1800860" cy="458470"/>
                  <wp:effectExtent l="0" t="0" r="0" b="0"/>
                  <wp:wrapSquare wrapText="largest"/>
                  <wp:docPr id="3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860" cy="458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Nombre de la feria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IBIE (International Baking Expo)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Fecha Aproximada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13 - 17 sep 2025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Principales intereses en la feria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 Industria panadera y productos de harina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 Productos procesados</w:t>
            </w:r>
          </w:p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 Innovación en alimentos con granos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Link (inglés)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7">
              <w:r>
                <w:rPr>
                  <w:rStyle w:val="Hyperlink"/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https://www.ibie2025.com/</w:t>
              </w:r>
            </w:hyperlink>
          </w:p>
        </w:tc>
      </w:tr>
      <w:tr>
        <w:trPr/>
        <w:tc>
          <w:tcPr>
            <w:tcW w:w="294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110490</wp:posOffset>
                  </wp:positionV>
                  <wp:extent cx="894715" cy="762000"/>
                  <wp:effectExtent l="0" t="0" r="0" b="0"/>
                  <wp:wrapSquare wrapText="largest"/>
                  <wp:docPr id="4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715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Nombre de la feria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World Dairy Expo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Fecha Aproximada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30 sep - 3 oct 2025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Principales intereses en la feria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 Sector lácteo innovador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 Productos agroalimentarios naturales</w:t>
            </w:r>
          </w:p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 Producción y tecnología en alimentos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Link (inglés)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9">
              <w:r>
                <w:rPr>
                  <w:rStyle w:val="Hyperlink"/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https://www.worlddairyexpo.com/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1"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>8.2 Exhibiciones</w:t>
      </w:r>
    </w:p>
    <w:p>
      <w:pPr>
        <w:pStyle w:val="Heading1"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 xml:space="preserve">8.3 Publicaciones Especializadas </w:t>
      </w:r>
      <w:r>
        <w:rPr>
          <w:b w:val="false"/>
          <w:sz w:val="18"/>
          <w:szCs w:val="18"/>
          <w:highlight w:val="yellow"/>
          <w:lang w:val="es-CL"/>
        </w:rPr>
        <w:t>(investigación – 2 (market place/boletines/ revistas especializadas / publicación)</w:t>
      </w:r>
    </w:p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</w:r>
    </w:p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 xml:space="preserve">IX. Contactos de Interés </w:t>
      </w:r>
      <w:r>
        <w:rPr>
          <w:b w:val="false"/>
          <w:sz w:val="18"/>
          <w:szCs w:val="18"/>
          <w:highlight w:val="yellow"/>
          <w:lang w:val="es-CL"/>
        </w:rPr>
        <w:t>(Promperu – Requisitos de acceso)</w:t>
      </w:r>
      <w:r>
        <w:rPr>
          <w:b w:val="false"/>
          <w:sz w:val="18"/>
          <w:szCs w:val="18"/>
          <w:lang w:val="es-CL"/>
        </w:rPr>
        <w:t xml:space="preserve"> </w:t>
      </w:r>
      <w:r>
        <w:rPr>
          <w:b w:val="false"/>
          <w:sz w:val="18"/>
          <w:szCs w:val="18"/>
          <w:highlight w:val="yellow"/>
          <w:lang w:val="es-CL"/>
        </w:rPr>
        <w:t>RAM</w:t>
      </w:r>
      <w:r>
        <w:rPr>
          <w:b w:val="false"/>
          <w:sz w:val="18"/>
          <w:szCs w:val="18"/>
          <w:lang w:val="es-CL"/>
        </w:rPr>
        <w:t xml:space="preserve"> </w:t>
      </w:r>
    </w:p>
    <w:p>
      <w:pPr>
        <w:pStyle w:val="Heading1"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>9.1 Institucionales</w:t>
      </w:r>
    </w:p>
    <w:p>
      <w:pPr>
        <w:pStyle w:val="Heading1"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80645</wp:posOffset>
            </wp:positionH>
            <wp:positionV relativeFrom="paragraph">
              <wp:posOffset>3681730</wp:posOffset>
            </wp:positionV>
            <wp:extent cx="1800860" cy="37719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377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946"/>
        <w:gridCol w:w="2946"/>
        <w:gridCol w:w="2946"/>
      </w:tblGrid>
      <w:tr>
        <w:trPr/>
        <w:tc>
          <w:tcPr>
            <w:tcW w:w="29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200660</wp:posOffset>
                  </wp:positionV>
                  <wp:extent cx="1523365" cy="1047750"/>
                  <wp:effectExtent l="0" t="0" r="0" b="0"/>
                  <wp:wrapSquare wrapText="largest"/>
                  <wp:docPr id="6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365" cy="1047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Institución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Departamento de Agricultura de los Estados Unidos (USDA)</w:t>
            </w:r>
          </w:p>
        </w:tc>
      </w:tr>
      <w:tr>
        <w:trPr/>
        <w:tc>
          <w:tcPr>
            <w:tcW w:w="29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Función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Entidad encargada de la seguridad y regulación de productos agropecuarios, incluyendo inspección fitosanitaria</w:t>
            </w:r>
          </w:p>
        </w:tc>
      </w:tr>
      <w:tr>
        <w:trPr/>
        <w:tc>
          <w:tcPr>
            <w:tcW w:w="29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Correo electrónico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2">
              <w:r>
                <w:rPr>
                  <w:rStyle w:val="Hyperlink"/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askusda@usda.gov</w:t>
              </w:r>
            </w:hyperlink>
          </w:p>
        </w:tc>
      </w:tr>
      <w:tr>
        <w:trPr/>
        <w:tc>
          <w:tcPr>
            <w:tcW w:w="29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Central telefónica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(833) ONE-USDA (833-663-7873)</w:t>
            </w:r>
          </w:p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(202) 720-2791</w:t>
            </w:r>
          </w:p>
        </w:tc>
      </w:tr>
      <w:tr>
        <w:trPr/>
        <w:tc>
          <w:tcPr>
            <w:tcW w:w="29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Página web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3">
              <w:r>
                <w:rPr>
                  <w:rStyle w:val="Hyperlink"/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www.usda.gov</w:t>
              </w:r>
            </w:hyperlink>
          </w:p>
        </w:tc>
      </w:tr>
      <w:tr>
        <w:trPr/>
        <w:tc>
          <w:tcPr>
            <w:tcW w:w="294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Institución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Administración de Alimentos y Medicamentos (FDA)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Función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Regula y verifica cumplimiento de normas de seguridad alimentaria, medicamentos y cosméticos en alimentos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Correo electrónico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Central telefónica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1-888-INFO-FDA (1-888-463-6332)</w:t>
            </w:r>
          </w:p>
        </w:tc>
      </w:tr>
      <w:tr>
        <w:trPr>
          <w:trHeight w:val="616" w:hRule="atLeast"/>
        </w:trPr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Página web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4">
              <w:r>
                <w:rPr>
                  <w:rStyle w:val="Hyperlink"/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www.fda.gov</w:t>
              </w:r>
            </w:hyperlink>
          </w:p>
        </w:tc>
      </w:tr>
      <w:tr>
        <w:trPr/>
        <w:tc>
          <w:tcPr>
            <w:tcW w:w="294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635</wp:posOffset>
                  </wp:positionV>
                  <wp:extent cx="1800860" cy="299720"/>
                  <wp:effectExtent l="0" t="0" r="0" b="0"/>
                  <wp:wrapSquare wrapText="largest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860" cy="299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Institución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Agencia de Protección Ambiental (EPA)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Función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Regula límites de residuos químicos, plaguicidas y contaminantes en alimentos para proteger el medio ambiente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Correo electrónico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Central telefónica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Página web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6">
              <w:r>
                <w:rPr>
                  <w:rStyle w:val="Hyperlink"/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www.epa.gov</w:t>
              </w:r>
            </w:hyperlink>
          </w:p>
        </w:tc>
      </w:tr>
      <w:tr>
        <w:trPr/>
        <w:tc>
          <w:tcPr>
            <w:tcW w:w="294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60960</wp:posOffset>
                  </wp:positionV>
                  <wp:extent cx="1800860" cy="563880"/>
                  <wp:effectExtent l="0" t="0" r="0" b="0"/>
                  <wp:wrapSquare wrapText="largest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860" cy="563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Institución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Protección Aduanera y Control Fronterizo (US Customs and Border Protection - CBP)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Función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Agencia federal que regula y facilita el comercio internacional, aplica aranceles y normas aduaneras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Correo electrónico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Central telefónica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Página web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8">
              <w:r>
                <w:rPr>
                  <w:rStyle w:val="Hyperlink"/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www.cbp.gov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1"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>9.2 Comerciales</w:t>
      </w:r>
    </w:p>
    <w:p>
      <w:pPr>
        <w:pStyle w:val="Heading1"/>
        <w:tabs>
          <w:tab w:val="clear" w:pos="708"/>
          <w:tab w:val="left" w:pos="471" w:leader="none"/>
        </w:tabs>
        <w:ind w:firstLine="112" w:left="828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946"/>
        <w:gridCol w:w="2946"/>
        <w:gridCol w:w="2946"/>
      </w:tblGrid>
      <w:tr>
        <w:trPr/>
        <w:tc>
          <w:tcPr>
            <w:tcW w:w="29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posOffset>-75565</wp:posOffset>
                  </wp:positionH>
                  <wp:positionV relativeFrom="paragraph">
                    <wp:posOffset>50800</wp:posOffset>
                  </wp:positionV>
                  <wp:extent cx="1057275" cy="456565"/>
                  <wp:effectExtent l="0" t="0" r="0" b="0"/>
                  <wp:wrapSquare wrapText="largest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456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Institución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PromPerú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Correo electrónico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20">
              <w:r>
                <w:rPr>
                  <w:rStyle w:val="Hyperlink"/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mesadepartes@promperu.gob.pe</w:t>
              </w:r>
            </w:hyperlink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Central telefónica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(511) 616 7300 / 616 7400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Ministerio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Ministerio de Comercio</w:t>
            </w:r>
          </w:p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Exterior y Turismo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Sede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OCEX Houston</w:t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Persona de contacto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Correo electrónico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Sede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Persona de contacto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Correo electrónico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Sede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Persona de contacto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Correo electrónico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Sede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Persona de contacto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Correo electrónico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94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Web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</w:r>
    </w:p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 xml:space="preserve">X. Conclusiones y Recomendaciones </w:t>
      </w:r>
    </w:p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</w:r>
    </w:p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 xml:space="preserve">XI. Perfil de Compradores </w:t>
      </w:r>
      <w:r>
        <w:rPr>
          <w:b w:val="false"/>
          <w:sz w:val="18"/>
          <w:szCs w:val="18"/>
          <w:highlight w:val="yellow"/>
          <w:lang w:val="es-CL"/>
        </w:rPr>
        <w:t>(panjiva, veritrade, herramientas de estudio, trademap, linkedin)</w:t>
      </w:r>
    </w:p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 xml:space="preserve">XII. Bibliografía </w:t>
      </w:r>
    </w:p>
    <w:p>
      <w:pPr>
        <w:pStyle w:val="Heading1"/>
        <w:tabs>
          <w:tab w:val="clear" w:pos="708"/>
          <w:tab w:val="left" w:pos="471" w:leader="none"/>
        </w:tabs>
        <w:ind w:hanging="0" w:left="0"/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</w:r>
    </w:p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</w:r>
    </w:p>
    <w:p>
      <w:pPr>
        <w:pStyle w:val="Heading1"/>
        <w:tabs>
          <w:tab w:val="clear" w:pos="708"/>
          <w:tab w:val="left" w:pos="471" w:leader="none"/>
        </w:tabs>
        <w:jc w:val="both"/>
        <w:rPr>
          <w:b w:val="false"/>
          <w:sz w:val="18"/>
          <w:szCs w:val="18"/>
          <w:lang w:val="es-CL"/>
        </w:rPr>
      </w:pPr>
      <w:r>
        <w:rPr>
          <w:b w:val="false"/>
          <w:sz w:val="18"/>
          <w:szCs w:val="18"/>
          <w:lang w:val="es-CL"/>
        </w:rPr>
        <w:t xml:space="preserve">XIII. Anexos 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link w:val="Ttulo1Car"/>
    <w:uiPriority w:val="9"/>
    <w:qFormat/>
    <w:rsid w:val="008974e6"/>
    <w:pPr>
      <w:widowControl w:val="false"/>
      <w:spacing w:lineRule="auto" w:line="240" w:before="0" w:after="0"/>
      <w:ind w:hanging="358" w:left="470"/>
      <w:outlineLvl w:val="0"/>
    </w:pPr>
    <w:rPr>
      <w:rFonts w:ascii="Calibri" w:hAnsi="Calibri" w:eastAsia="Calibri" w:cs="Calibri"/>
      <w:b/>
      <w:bCs/>
      <w:sz w:val="20"/>
      <w:szCs w:val="20"/>
      <w:lang w:val="en-US" w:eastAsia="es-P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8974e6"/>
    <w:rPr>
      <w:rFonts w:ascii="Calibri" w:hAnsi="Calibri" w:eastAsia="Calibri" w:cs="Calibri"/>
      <w:b/>
      <w:bCs/>
      <w:sz w:val="20"/>
      <w:szCs w:val="20"/>
      <w:lang w:val="en-US" w:eastAsia="es-PE"/>
    </w:rPr>
  </w:style>
  <w:style w:type="character" w:styleId="LineNumber">
    <w:name w:val="line number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 SemiCondensed"/>
      <w:sz w:val="24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 SemiCondensed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 SemiCondensed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 SemiCondensed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expoeast.com/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www.supplysidewest.com/" TargetMode="External"/><Relationship Id="rId6" Type="http://schemas.openxmlformats.org/officeDocument/2006/relationships/image" Target="media/image3.png"/><Relationship Id="rId7" Type="http://schemas.openxmlformats.org/officeDocument/2006/relationships/hyperlink" Target="https://www.ibie2025.com/" TargetMode="External"/><Relationship Id="rId8" Type="http://schemas.openxmlformats.org/officeDocument/2006/relationships/image" Target="media/image4.png"/><Relationship Id="rId9" Type="http://schemas.openxmlformats.org/officeDocument/2006/relationships/hyperlink" Target="https://www.worlddairyexpo.com/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mailto:askusda@usda.gov" TargetMode="External"/><Relationship Id="rId13" Type="http://schemas.openxmlformats.org/officeDocument/2006/relationships/hyperlink" Target="http://www.usda.gov/" TargetMode="External"/><Relationship Id="rId14" Type="http://schemas.openxmlformats.org/officeDocument/2006/relationships/hyperlink" Target="http://www.fda.gov/" TargetMode="External"/><Relationship Id="rId15" Type="http://schemas.openxmlformats.org/officeDocument/2006/relationships/image" Target="media/image7.png"/><Relationship Id="rId16" Type="http://schemas.openxmlformats.org/officeDocument/2006/relationships/hyperlink" Target="http://www.epa.gov/" TargetMode="External"/><Relationship Id="rId17" Type="http://schemas.openxmlformats.org/officeDocument/2006/relationships/image" Target="media/image8.png"/><Relationship Id="rId18" Type="http://schemas.openxmlformats.org/officeDocument/2006/relationships/hyperlink" Target="http://www.cbp.gov/" TargetMode="External"/><Relationship Id="rId19" Type="http://schemas.openxmlformats.org/officeDocument/2006/relationships/image" Target="media/image9.png"/><Relationship Id="rId20" Type="http://schemas.openxmlformats.org/officeDocument/2006/relationships/hyperlink" Target="mailto:mesadepartes@promperu.gob.pe" TargetMode="Externa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Application>LibreOffice/25.2.4.3$Linux_X86_64 LibreOffice_project/520$Build-3</Application>
  <AppVersion>15.0000</AppVersion>
  <Pages>5</Pages>
  <Words>446</Words>
  <Characters>2979</Characters>
  <CharactersWithSpaces>3326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2025-08-16T19:20:00Z</dcterms:created>
  <dc:creator>Sofia</dc:creator>
  <dc:description/>
  <dc:language>es-PE</dc:language>
  <cp:lastModifiedBy>Edison Achalma</cp:lastModifiedBy>
  <dcterms:modified xsi:type="dcterms:W3CDTF">2025-09-04T07:45:49Z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