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1D4F9" w14:textId="1FAFA32F" w:rsidR="00413E1A" w:rsidRDefault="00C555A4">
      <w:pPr>
        <w:spacing w:before="120"/>
        <w:jc w:val="center"/>
        <w:rPr>
          <w:rFonts w:ascii="Verdana" w:eastAsia="Verdana" w:hAnsi="Verdana" w:cs="Verdana"/>
          <w:b/>
          <w:sz w:val="32"/>
          <w:szCs w:val="32"/>
        </w:rPr>
      </w:pPr>
      <w:r>
        <w:rPr>
          <w:rFonts w:ascii="Verdana" w:eastAsia="Verdana" w:hAnsi="Verdana" w:cs="Verdana"/>
          <w:b/>
          <w:sz w:val="32"/>
          <w:szCs w:val="32"/>
        </w:rPr>
        <w:t>CASO PRÁCTICO</w:t>
      </w:r>
    </w:p>
    <w:p w14:paraId="1DD441DB" w14:textId="09317680" w:rsidR="00413E1A" w:rsidRPr="00BC652D" w:rsidRDefault="000770B1" w:rsidP="00BC652D">
      <w:pPr>
        <w:spacing w:before="120"/>
        <w:jc w:val="center"/>
        <w:rPr>
          <w:rFonts w:ascii="Century Gothic" w:eastAsia="Century Gothic" w:hAnsi="Century Gothic" w:cs="Century Gothic"/>
          <w:color w:val="AEAAAA"/>
          <w:sz w:val="28"/>
          <w:szCs w:val="28"/>
        </w:rPr>
      </w:pPr>
      <w:r>
        <w:rPr>
          <w:rFonts w:ascii="Verdana" w:eastAsia="Verdana" w:hAnsi="Verdana" w:cs="Verdana"/>
          <w:b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sz w:val="28"/>
          <w:szCs w:val="28"/>
        </w:rPr>
        <w:t>(</w:t>
      </w:r>
      <w:r w:rsidR="00AE639F">
        <w:rPr>
          <w:rFonts w:ascii="Century Gothic" w:eastAsia="Century Gothic" w:hAnsi="Century Gothic" w:cs="Century Gothic"/>
          <w:color w:val="AEAAAA"/>
          <w:sz w:val="28"/>
          <w:szCs w:val="28"/>
        </w:rPr>
        <w:t xml:space="preserve">RED </w:t>
      </w:r>
      <w:r w:rsidR="00BC652D" w:rsidRPr="00BC652D">
        <w:rPr>
          <w:rFonts w:ascii="Century Gothic" w:eastAsia="Century Gothic" w:hAnsi="Century Gothic" w:cs="Century Gothic"/>
          <w:color w:val="AEAAAA"/>
          <w:sz w:val="28"/>
          <w:szCs w:val="28"/>
        </w:rPr>
        <w:t>DE INTELIGENCIA COMERCIAL</w:t>
      </w:r>
      <w:r w:rsidR="00AE639F">
        <w:rPr>
          <w:rFonts w:ascii="Century Gothic" w:eastAsia="Century Gothic" w:hAnsi="Century Gothic" w:cs="Century Gothic"/>
          <w:color w:val="AEAAAA"/>
          <w:sz w:val="28"/>
          <w:szCs w:val="28"/>
        </w:rPr>
        <w:t xml:space="preserve"> AYACUCHO</w:t>
      </w:r>
      <w:r>
        <w:rPr>
          <w:rFonts w:ascii="Century Gothic" w:eastAsia="Century Gothic" w:hAnsi="Century Gothic" w:cs="Century Gothic"/>
          <w:sz w:val="28"/>
          <w:szCs w:val="28"/>
        </w:rPr>
        <w:t>)</w:t>
      </w:r>
    </w:p>
    <w:p w14:paraId="44EF4828" w14:textId="76299A2D" w:rsidR="00413E1A" w:rsidRPr="00335C7D" w:rsidRDefault="00413E1A" w:rsidP="00C555A4">
      <w:pPr>
        <w:spacing w:line="276" w:lineRule="auto"/>
        <w:jc w:val="center"/>
        <w:rPr>
          <w:rFonts w:ascii="Century Gothic" w:eastAsia="Century Gothic" w:hAnsi="Century Gothic" w:cs="Century Gothic"/>
          <w:color w:val="AEAAAA"/>
          <w:sz w:val="20"/>
          <w:szCs w:val="20"/>
        </w:rPr>
      </w:pPr>
    </w:p>
    <w:p w14:paraId="2AB001CC" w14:textId="77777777" w:rsidR="00413E1A" w:rsidRDefault="00413E1A">
      <w:pPr>
        <w:tabs>
          <w:tab w:val="left" w:pos="2940"/>
        </w:tabs>
        <w:spacing w:line="276" w:lineRule="auto"/>
        <w:ind w:left="426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3D41ABBA" w14:textId="5306BA57" w:rsidR="00413E1A" w:rsidRPr="00335C7D" w:rsidRDefault="00335C7D">
      <w:pPr>
        <w:numPr>
          <w:ilvl w:val="0"/>
          <w:numId w:val="2"/>
        </w:numPr>
        <w:tabs>
          <w:tab w:val="left" w:pos="2940"/>
        </w:tabs>
        <w:spacing w:after="200" w:line="276" w:lineRule="auto"/>
        <w:ind w:left="426" w:hanging="426"/>
        <w:contextualSpacing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CASO 1: </w:t>
      </w:r>
      <w:r w:rsidR="000770B1">
        <w:rPr>
          <w:rFonts w:ascii="Century Gothic" w:eastAsia="Century Gothic" w:hAnsi="Century Gothic" w:cs="Century Gothic"/>
          <w:b/>
          <w:sz w:val="20"/>
          <w:szCs w:val="20"/>
        </w:rPr>
        <w:t>Descripción o presentación del caso</w:t>
      </w:r>
      <w:r w:rsidR="005B1604">
        <w:rPr>
          <w:rFonts w:ascii="Century Gothic" w:eastAsia="Century Gothic" w:hAnsi="Century Gothic" w:cs="Century Gothic"/>
          <w:b/>
          <w:sz w:val="20"/>
          <w:szCs w:val="20"/>
        </w:rPr>
        <w:t xml:space="preserve"> (</w:t>
      </w:r>
      <w:r w:rsidR="00F465B5">
        <w:rPr>
          <w:rFonts w:ascii="Century Gothic" w:eastAsia="Century Gothic" w:hAnsi="Century Gothic" w:cs="Century Gothic"/>
          <w:b/>
          <w:sz w:val="20"/>
          <w:szCs w:val="20"/>
        </w:rPr>
        <w:t>2</w:t>
      </w:r>
      <w:r w:rsidR="00D0174C">
        <w:rPr>
          <w:rFonts w:ascii="Century Gothic" w:eastAsia="Century Gothic" w:hAnsi="Century Gothic" w:cs="Century Gothic"/>
          <w:b/>
          <w:sz w:val="20"/>
          <w:szCs w:val="20"/>
        </w:rPr>
        <w:t>0</w:t>
      </w:r>
      <w:r w:rsidR="005B1604">
        <w:rPr>
          <w:rFonts w:ascii="Century Gothic" w:eastAsia="Century Gothic" w:hAnsi="Century Gothic" w:cs="Century Gothic"/>
          <w:b/>
          <w:sz w:val="20"/>
          <w:szCs w:val="20"/>
        </w:rPr>
        <w:t xml:space="preserve"> puntos)</w:t>
      </w:r>
    </w:p>
    <w:p w14:paraId="22C8C874" w14:textId="550F6A04" w:rsidR="005B1604" w:rsidRDefault="005B1604" w:rsidP="005B1604">
      <w:pPr>
        <w:tabs>
          <w:tab w:val="left" w:pos="2940"/>
        </w:tabs>
        <w:jc w:val="both"/>
        <w:rPr>
          <w:rFonts w:ascii="Century Gothic" w:eastAsia="Century Gothic" w:hAnsi="Century Gothic" w:cs="Century Gothic"/>
          <w:sz w:val="20"/>
          <w:szCs w:val="20"/>
        </w:rPr>
      </w:pPr>
      <w:r w:rsidRPr="005B1604">
        <w:rPr>
          <w:rFonts w:ascii="Century Gothic" w:eastAsia="Century Gothic" w:hAnsi="Century Gothic" w:cs="Century Gothic"/>
          <w:sz w:val="20"/>
          <w:szCs w:val="20"/>
        </w:rPr>
        <w:t>La empresa “</w:t>
      </w:r>
      <w:r w:rsidR="00F465B5">
        <w:rPr>
          <w:rFonts w:ascii="Century Gothic" w:eastAsia="Century Gothic" w:hAnsi="Century Gothic" w:cs="Century Gothic"/>
          <w:sz w:val="20"/>
          <w:szCs w:val="20"/>
        </w:rPr>
        <w:t>Granos del sol</w:t>
      </w:r>
      <w:r w:rsidRPr="005B1604">
        <w:rPr>
          <w:rFonts w:ascii="Century Gothic" w:eastAsia="Century Gothic" w:hAnsi="Century Gothic" w:cs="Century Gothic"/>
          <w:sz w:val="20"/>
          <w:szCs w:val="20"/>
        </w:rPr>
        <w:t xml:space="preserve">” ubicada en la región </w:t>
      </w:r>
      <w:r w:rsidR="00F465B5">
        <w:rPr>
          <w:rFonts w:ascii="Century Gothic" w:eastAsia="Century Gothic" w:hAnsi="Century Gothic" w:cs="Century Gothic"/>
          <w:sz w:val="20"/>
          <w:szCs w:val="20"/>
        </w:rPr>
        <w:t>Ayacucho</w:t>
      </w:r>
      <w:r w:rsidRPr="005B1604">
        <w:rPr>
          <w:rFonts w:ascii="Century Gothic" w:eastAsia="Century Gothic" w:hAnsi="Century Gothic" w:cs="Century Gothic"/>
          <w:sz w:val="20"/>
          <w:szCs w:val="20"/>
        </w:rPr>
        <w:t xml:space="preserve">, </w:t>
      </w:r>
      <w:r w:rsidR="00F465B5">
        <w:rPr>
          <w:rFonts w:ascii="Century Gothic" w:eastAsia="Century Gothic" w:hAnsi="Century Gothic" w:cs="Century Gothic"/>
          <w:sz w:val="20"/>
          <w:szCs w:val="20"/>
        </w:rPr>
        <w:t xml:space="preserve">se </w:t>
      </w:r>
      <w:r w:rsidRPr="005B1604">
        <w:rPr>
          <w:rFonts w:ascii="Century Gothic" w:eastAsia="Century Gothic" w:hAnsi="Century Gothic" w:cs="Century Gothic"/>
          <w:sz w:val="20"/>
          <w:szCs w:val="20"/>
        </w:rPr>
        <w:t xml:space="preserve">dedica netamente a la </w:t>
      </w:r>
      <w:r w:rsidR="00F465B5">
        <w:rPr>
          <w:rFonts w:ascii="Century Gothic" w:eastAsia="Century Gothic" w:hAnsi="Century Gothic" w:cs="Century Gothic"/>
          <w:sz w:val="20"/>
          <w:szCs w:val="20"/>
        </w:rPr>
        <w:t xml:space="preserve">producción </w:t>
      </w:r>
      <w:r w:rsidRPr="005B1604">
        <w:rPr>
          <w:rFonts w:ascii="Century Gothic" w:eastAsia="Century Gothic" w:hAnsi="Century Gothic" w:cs="Century Gothic"/>
          <w:sz w:val="20"/>
          <w:szCs w:val="20"/>
        </w:rPr>
        <w:t xml:space="preserve">de </w:t>
      </w:r>
      <w:r w:rsidR="00F465B5">
        <w:rPr>
          <w:rFonts w:ascii="Century Gothic" w:eastAsia="Century Gothic" w:hAnsi="Century Gothic" w:cs="Century Gothic"/>
          <w:sz w:val="20"/>
          <w:szCs w:val="20"/>
        </w:rPr>
        <w:t>quinua orgánica</w:t>
      </w:r>
      <w:r w:rsidRPr="005B1604">
        <w:rPr>
          <w:rFonts w:ascii="Century Gothic" w:eastAsia="Century Gothic" w:hAnsi="Century Gothic" w:cs="Century Gothic"/>
          <w:sz w:val="20"/>
          <w:szCs w:val="20"/>
        </w:rPr>
        <w:t xml:space="preserve">, </w:t>
      </w:r>
      <w:r w:rsidR="00F465B5">
        <w:rPr>
          <w:rFonts w:ascii="Century Gothic" w:eastAsia="Century Gothic" w:hAnsi="Century Gothic" w:cs="Century Gothic"/>
          <w:sz w:val="20"/>
          <w:szCs w:val="20"/>
        </w:rPr>
        <w:t>actualmente distribuye su producto (Quinua orgánica en grano) a diversas empresas a nivel nacional, muchas de ellas exportadoras. La empresa, al ver que cuenta con la calidad de producto y capacidad productiva necesaria para un</w:t>
      </w:r>
      <w:r w:rsidR="00497161">
        <w:rPr>
          <w:rFonts w:ascii="Century Gothic" w:eastAsia="Century Gothic" w:hAnsi="Century Gothic" w:cs="Century Gothic"/>
          <w:sz w:val="20"/>
          <w:szCs w:val="20"/>
        </w:rPr>
        <w:t xml:space="preserve"> mercado internacional</w:t>
      </w:r>
      <w:r w:rsidR="00F465B5">
        <w:rPr>
          <w:rFonts w:ascii="Century Gothic" w:eastAsia="Century Gothic" w:hAnsi="Century Gothic" w:cs="Century Gothic"/>
          <w:sz w:val="20"/>
          <w:szCs w:val="20"/>
        </w:rPr>
        <w:t xml:space="preserve">, desea comenzar a realizar exportaciones directas. Sin embargo, no cuentan con información internacional </w:t>
      </w:r>
      <w:r w:rsidR="001F0ABF">
        <w:rPr>
          <w:rFonts w:ascii="Century Gothic" w:eastAsia="Century Gothic" w:hAnsi="Century Gothic" w:cs="Century Gothic"/>
          <w:sz w:val="20"/>
          <w:szCs w:val="20"/>
        </w:rPr>
        <w:t>ni conocimientos sobre cuál sería un mercado potencial para su producto.</w:t>
      </w:r>
    </w:p>
    <w:p w14:paraId="0D89BF7D" w14:textId="77777777" w:rsidR="001F0ABF" w:rsidRDefault="001F0ABF" w:rsidP="005B1604">
      <w:pPr>
        <w:tabs>
          <w:tab w:val="left" w:pos="2940"/>
        </w:tabs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36B4CC64" w14:textId="2734E244" w:rsidR="005B1604" w:rsidRDefault="001F0ABF" w:rsidP="005B1604">
      <w:pPr>
        <w:tabs>
          <w:tab w:val="left" w:pos="2940"/>
        </w:tabs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Para ello, </w:t>
      </w:r>
      <w:r w:rsidR="00A16176">
        <w:rPr>
          <w:rFonts w:ascii="Century Gothic" w:eastAsia="Century Gothic" w:hAnsi="Century Gothic" w:cs="Century Gothic"/>
          <w:sz w:val="20"/>
          <w:szCs w:val="20"/>
        </w:rPr>
        <w:t>la empresa contrata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a un especialista en inteligencia comercial, </w:t>
      </w:r>
      <w:r w:rsidR="00A16176">
        <w:rPr>
          <w:rFonts w:ascii="Century Gothic" w:eastAsia="Century Gothic" w:hAnsi="Century Gothic" w:cs="Century Gothic"/>
          <w:sz w:val="20"/>
          <w:szCs w:val="20"/>
        </w:rPr>
        <w:t>para que oriente y brinde información valiosa que les ayudará a la toma de decisiones</w:t>
      </w:r>
      <w:r w:rsidR="00497161">
        <w:rPr>
          <w:rFonts w:ascii="Century Gothic" w:eastAsia="Century Gothic" w:hAnsi="Century Gothic" w:cs="Century Gothic"/>
          <w:sz w:val="20"/>
          <w:szCs w:val="20"/>
        </w:rPr>
        <w:t>, elección del mercado de destino y disminuirá los mayores riesgos posibles en su proceso de exportación.</w:t>
      </w:r>
    </w:p>
    <w:p w14:paraId="75906B7C" w14:textId="70BA7EDB" w:rsidR="00335C7D" w:rsidRDefault="00335C7D" w:rsidP="00335C7D">
      <w:pPr>
        <w:tabs>
          <w:tab w:val="left" w:pos="2940"/>
        </w:tabs>
        <w:spacing w:after="200" w:line="276" w:lineRule="auto"/>
        <w:contextualSpacing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7BFCFD83" w14:textId="02E01EE5" w:rsidR="005B1604" w:rsidRPr="005B1604" w:rsidRDefault="005B1604" w:rsidP="005B1604">
      <w:pPr>
        <w:pStyle w:val="Prrafodelista"/>
        <w:numPr>
          <w:ilvl w:val="0"/>
          <w:numId w:val="3"/>
        </w:numPr>
        <w:tabs>
          <w:tab w:val="left" w:pos="2940"/>
        </w:tabs>
        <w:spacing w:after="200" w:line="276" w:lineRule="auto"/>
        <w:ind w:left="567" w:hanging="283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Desarrolle las siguientes preguntas:</w:t>
      </w:r>
    </w:p>
    <w:p w14:paraId="44D04C12" w14:textId="32C12F92" w:rsidR="00196CBD" w:rsidRDefault="005B1604" w:rsidP="005B1604">
      <w:p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a)</w:t>
      </w:r>
      <w:r w:rsidR="00196CBD">
        <w:rPr>
          <w:rFonts w:ascii="Century Gothic" w:eastAsia="Century Gothic" w:hAnsi="Century Gothic" w:cs="Century Gothic"/>
          <w:sz w:val="20"/>
          <w:szCs w:val="20"/>
        </w:rPr>
        <w:t xml:space="preserve"> Identifica la partida arancelaria del producto en mención</w:t>
      </w:r>
      <w:r w:rsidR="0008194A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094A613E" w14:textId="6B16FA20" w:rsidR="00497161" w:rsidRDefault="00D015EE" w:rsidP="00497161">
      <w:p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b</w:t>
      </w:r>
      <w:r w:rsidR="00497161">
        <w:rPr>
          <w:rFonts w:ascii="Century Gothic" w:eastAsia="Century Gothic" w:hAnsi="Century Gothic" w:cs="Century Gothic"/>
          <w:sz w:val="20"/>
          <w:szCs w:val="20"/>
        </w:rPr>
        <w:t>) Calcular el VCR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(Ventaja Comparativa Revelada)</w:t>
      </w:r>
      <w:r w:rsidR="00497161">
        <w:rPr>
          <w:rFonts w:ascii="Century Gothic" w:eastAsia="Century Gothic" w:hAnsi="Century Gothic" w:cs="Century Gothic"/>
          <w:sz w:val="20"/>
          <w:szCs w:val="20"/>
        </w:rPr>
        <w:t xml:space="preserve"> y CRC 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(Capacidad Relativa de Compra) </w:t>
      </w:r>
      <w:r w:rsidR="00497161">
        <w:rPr>
          <w:rFonts w:ascii="Century Gothic" w:eastAsia="Century Gothic" w:hAnsi="Century Gothic" w:cs="Century Gothic"/>
          <w:sz w:val="20"/>
          <w:szCs w:val="20"/>
        </w:rPr>
        <w:t>del producto o grupo de productos para determinar un mercado potencial.</w:t>
      </w:r>
      <w:r w:rsidR="008A48A1">
        <w:rPr>
          <w:rFonts w:ascii="Century Gothic" w:eastAsia="Century Gothic" w:hAnsi="Century Gothic" w:cs="Century Gothic"/>
          <w:sz w:val="20"/>
          <w:szCs w:val="20"/>
        </w:rPr>
        <w:t xml:space="preserve"> (sustentar el mercado elegido)</w:t>
      </w:r>
    </w:p>
    <w:p w14:paraId="1E0B5E44" w14:textId="22738D07" w:rsidR="005B1604" w:rsidRDefault="00D015EE" w:rsidP="005B1604">
      <w:p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</w:t>
      </w:r>
      <w:r w:rsidR="005B1604">
        <w:rPr>
          <w:rFonts w:ascii="Century Gothic" w:eastAsia="Century Gothic" w:hAnsi="Century Gothic" w:cs="Century Gothic"/>
          <w:sz w:val="20"/>
          <w:szCs w:val="20"/>
        </w:rPr>
        <w:t>)</w:t>
      </w:r>
      <w:r w:rsidR="00196CBD"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 w:rsidR="008A48A1">
        <w:rPr>
          <w:rFonts w:ascii="Century Gothic" w:eastAsia="Century Gothic" w:hAnsi="Century Gothic" w:cs="Century Gothic"/>
          <w:sz w:val="20"/>
          <w:szCs w:val="20"/>
        </w:rPr>
        <w:t>U</w:t>
      </w:r>
      <w:r w:rsidR="005D0403">
        <w:rPr>
          <w:rFonts w:ascii="Century Gothic" w:eastAsia="Century Gothic" w:hAnsi="Century Gothic" w:cs="Century Gothic"/>
          <w:sz w:val="20"/>
          <w:szCs w:val="20"/>
        </w:rPr>
        <w:t xml:space="preserve">sando </w:t>
      </w:r>
      <w:r w:rsidR="008A48A1">
        <w:rPr>
          <w:rFonts w:ascii="Century Gothic" w:eastAsia="Century Gothic" w:hAnsi="Century Gothic" w:cs="Century Gothic"/>
          <w:sz w:val="20"/>
          <w:szCs w:val="20"/>
        </w:rPr>
        <w:t xml:space="preserve">el </w:t>
      </w:r>
      <w:proofErr w:type="spellStart"/>
      <w:r w:rsidR="005D0403">
        <w:rPr>
          <w:rFonts w:ascii="Century Gothic" w:eastAsia="Century Gothic" w:hAnsi="Century Gothic" w:cs="Century Gothic"/>
          <w:sz w:val="20"/>
          <w:szCs w:val="20"/>
        </w:rPr>
        <w:t>Power</w:t>
      </w:r>
      <w:proofErr w:type="spellEnd"/>
      <w:r w:rsidR="005D0403">
        <w:rPr>
          <w:rFonts w:ascii="Century Gothic" w:eastAsia="Century Gothic" w:hAnsi="Century Gothic" w:cs="Century Gothic"/>
          <w:sz w:val="20"/>
          <w:szCs w:val="20"/>
        </w:rPr>
        <w:t xml:space="preserve"> BI</w:t>
      </w:r>
      <w:r w:rsidR="008A48A1">
        <w:rPr>
          <w:rFonts w:ascii="Century Gothic" w:eastAsia="Century Gothic" w:hAnsi="Century Gothic" w:cs="Century Gothic"/>
          <w:sz w:val="20"/>
          <w:szCs w:val="20"/>
        </w:rPr>
        <w:t xml:space="preserve">, identifica los principales países de destino de las exportaciones peruanas de quinua. A la vez identifica las principales regiones del </w:t>
      </w:r>
      <w:r w:rsidR="008A48A1" w:rsidRPr="008A48A1">
        <w:rPr>
          <w:rFonts w:ascii="Century Gothic" w:eastAsia="Century Gothic" w:hAnsi="Century Gothic" w:cs="Century Gothic"/>
          <w:sz w:val="20"/>
          <w:szCs w:val="20"/>
        </w:rPr>
        <w:t xml:space="preserve">Perú </w:t>
      </w:r>
      <w:r w:rsidR="008A48A1">
        <w:rPr>
          <w:rFonts w:ascii="Century Gothic" w:eastAsia="Century Gothic" w:hAnsi="Century Gothic" w:cs="Century Gothic"/>
          <w:sz w:val="20"/>
          <w:szCs w:val="20"/>
        </w:rPr>
        <w:t>con mayores niveles de exportación.</w:t>
      </w:r>
    </w:p>
    <w:p w14:paraId="574A5A71" w14:textId="0CCB938A" w:rsidR="002908C6" w:rsidRDefault="00D015EE" w:rsidP="005B1604">
      <w:p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d</w:t>
      </w:r>
      <w:r w:rsidR="002908C6">
        <w:rPr>
          <w:rFonts w:ascii="Century Gothic" w:eastAsia="Century Gothic" w:hAnsi="Century Gothic" w:cs="Century Gothic"/>
          <w:sz w:val="20"/>
          <w:szCs w:val="20"/>
        </w:rPr>
        <w:t>)</w:t>
      </w:r>
      <w:r w:rsidR="003B1546"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 w:rsidR="008A48A1">
        <w:rPr>
          <w:rFonts w:ascii="Century Gothic" w:eastAsia="Century Gothic" w:hAnsi="Century Gothic" w:cs="Century Gothic"/>
          <w:sz w:val="20"/>
          <w:szCs w:val="20"/>
        </w:rPr>
        <w:t>Identificar que tratado de libre comercio o acuerdo comercial existe entre el Perú y el país elegido en el punto C. Además, identifica si existe o no arancel preferencial.</w:t>
      </w:r>
    </w:p>
    <w:p w14:paraId="46883ECE" w14:textId="6D197096" w:rsidR="008A48A1" w:rsidRPr="005B1604" w:rsidRDefault="00D015EE" w:rsidP="005B1604">
      <w:p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e</w:t>
      </w:r>
      <w:r w:rsidR="008A48A1">
        <w:rPr>
          <w:rFonts w:ascii="Century Gothic" w:eastAsia="Century Gothic" w:hAnsi="Century Gothic" w:cs="Century Gothic"/>
          <w:sz w:val="20"/>
          <w:szCs w:val="20"/>
        </w:rPr>
        <w:t>)</w:t>
      </w:r>
      <w:r w:rsidR="00C03A3F">
        <w:rPr>
          <w:rFonts w:ascii="Century Gothic" w:eastAsia="Century Gothic" w:hAnsi="Century Gothic" w:cs="Century Gothic"/>
          <w:sz w:val="20"/>
          <w:szCs w:val="20"/>
        </w:rPr>
        <w:t xml:space="preserve"> Identifica las principales actividades de promoción comercial para el producto en mención en el país de destino.</w:t>
      </w:r>
    </w:p>
    <w:p w14:paraId="602EC18D" w14:textId="7CC43282" w:rsidR="00D0174C" w:rsidRDefault="00D0174C" w:rsidP="00335C7D">
      <w:pPr>
        <w:tabs>
          <w:tab w:val="left" w:pos="2940"/>
        </w:tabs>
        <w:spacing w:after="200" w:line="276" w:lineRule="auto"/>
        <w:contextualSpacing/>
        <w:rPr>
          <w:rFonts w:ascii="Century Gothic" w:eastAsia="Century Gothic" w:hAnsi="Century Gothic" w:cs="Century Gothic"/>
          <w:b/>
          <w:sz w:val="20"/>
          <w:szCs w:val="20"/>
        </w:rPr>
      </w:pPr>
    </w:p>
    <w:sectPr w:rsidR="00D0174C">
      <w:headerReference w:type="default" r:id="rId7"/>
      <w:pgSz w:w="11900" w:h="16840"/>
      <w:pgMar w:top="1418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DAA48" w14:textId="77777777" w:rsidR="00B11B9E" w:rsidRDefault="00B11B9E">
      <w:r>
        <w:separator/>
      </w:r>
    </w:p>
  </w:endnote>
  <w:endnote w:type="continuationSeparator" w:id="0">
    <w:p w14:paraId="3604B855" w14:textId="77777777" w:rsidR="00B11B9E" w:rsidRDefault="00B11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2864B" w14:textId="77777777" w:rsidR="00B11B9E" w:rsidRDefault="00B11B9E">
      <w:r>
        <w:separator/>
      </w:r>
    </w:p>
  </w:footnote>
  <w:footnote w:type="continuationSeparator" w:id="0">
    <w:p w14:paraId="040B5586" w14:textId="77777777" w:rsidR="00B11B9E" w:rsidRDefault="00B11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3B56F" w14:textId="7C92CC3A" w:rsidR="00413E1A" w:rsidRDefault="000770B1">
    <w:pPr>
      <w:tabs>
        <w:tab w:val="center" w:pos="4419"/>
        <w:tab w:val="right" w:pos="8838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8A85E4E" wp14:editId="26B1D3DE">
              <wp:simplePos x="0" y="0"/>
              <wp:positionH relativeFrom="margin">
                <wp:posOffset>3073400</wp:posOffset>
              </wp:positionH>
              <wp:positionV relativeFrom="paragraph">
                <wp:posOffset>-88899</wp:posOffset>
              </wp:positionV>
              <wp:extent cx="3171825" cy="31877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64850" y="3625378"/>
                        <a:ext cx="3162300" cy="30924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txbx>
                      <w:txbxContent>
                        <w:p w14:paraId="676A6785" w14:textId="0656CFB0" w:rsidR="00C555A4" w:rsidRPr="00C555A4" w:rsidRDefault="00AE639F" w:rsidP="00C555A4">
                          <w:pPr>
                            <w:jc w:val="center"/>
                            <w:textDirection w:val="btLr"/>
                            <w:rPr>
                              <w:rFonts w:ascii="Century Gothic" w:eastAsia="Century Gothic" w:hAnsi="Century Gothic" w:cs="Century Gothic"/>
                              <w:sz w:val="18"/>
                              <w:lang w:val="es-MX"/>
                            </w:rPr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sz w:val="18"/>
                              <w:lang w:val="es-MX"/>
                            </w:rPr>
                            <w:t>AYACUCHO</w:t>
                          </w:r>
                          <w:r w:rsidR="00BC652D">
                            <w:rPr>
                              <w:rFonts w:ascii="Century Gothic" w:eastAsia="Century Gothic" w:hAnsi="Century Gothic" w:cs="Century Gothic"/>
                              <w:sz w:val="18"/>
                              <w:lang w:val="es-MX"/>
                            </w:rPr>
                            <w:t xml:space="preserve"> </w:t>
                          </w:r>
                          <w:r w:rsidR="00C555A4">
                            <w:rPr>
                              <w:rFonts w:ascii="Century Gothic" w:eastAsia="Century Gothic" w:hAnsi="Century Gothic" w:cs="Century Gothic"/>
                              <w:sz w:val="18"/>
                              <w:lang w:val="es-MX"/>
                            </w:rPr>
                            <w:t>–</w:t>
                          </w:r>
                          <w:r w:rsidR="00BC652D">
                            <w:rPr>
                              <w:rFonts w:ascii="Century Gothic" w:eastAsia="Century Gothic" w:hAnsi="Century Gothic" w:cs="Century Gothic"/>
                              <w:sz w:val="18"/>
                              <w:lang w:val="es-MX"/>
                            </w:rPr>
                            <w:t xml:space="preserve"> 202</w:t>
                          </w:r>
                          <w:r w:rsidR="00C555A4">
                            <w:rPr>
                              <w:rFonts w:ascii="Century Gothic" w:eastAsia="Century Gothic" w:hAnsi="Century Gothic" w:cs="Century Gothic"/>
                              <w:sz w:val="18"/>
                              <w:lang w:val="es-MX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/>
                  </wps:wsp>
                </a:graphicData>
              </a:graphic>
            </wp:anchor>
          </w:drawing>
        </mc:Choice>
        <mc:Fallback>
          <w:pict>
            <v:rect w14:anchorId="18A85E4E" id="Rectángulo 3" o:spid="_x0000_s1026" style="position:absolute;margin-left:242pt;margin-top:-7pt;width:249.75pt;height:25.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" fillcolor="#f2f2f2" stroked="f">
              <v:textbox inset="2.53958mm,1.2694mm,2.53958mm,1.2694mm">
                <w:txbxContent>
                  <w:p w14:paraId="676A6785" w14:textId="0656CFB0" w:rsidR="00C555A4" w:rsidRPr="00C555A4" w:rsidRDefault="00AE639F" w:rsidP="00C555A4">
                    <w:pPr>
                      <w:jc w:val="center"/>
                      <w:textDirection w:val="btLr"/>
                      <w:rPr>
                        <w:rFonts w:ascii="Century Gothic" w:eastAsia="Century Gothic" w:hAnsi="Century Gothic" w:cs="Century Gothic"/>
                        <w:sz w:val="18"/>
                        <w:lang w:val="es-MX"/>
                      </w:rPr>
                    </w:pPr>
                    <w:r>
                      <w:rPr>
                        <w:rFonts w:ascii="Century Gothic" w:eastAsia="Century Gothic" w:hAnsi="Century Gothic" w:cs="Century Gothic"/>
                        <w:sz w:val="18"/>
                        <w:lang w:val="es-MX"/>
                      </w:rPr>
                      <w:t>AYACUCHO</w:t>
                    </w:r>
                    <w:r w:rsidR="00BC652D">
                      <w:rPr>
                        <w:rFonts w:ascii="Century Gothic" w:eastAsia="Century Gothic" w:hAnsi="Century Gothic" w:cs="Century Gothic"/>
                        <w:sz w:val="18"/>
                        <w:lang w:val="es-MX"/>
                      </w:rPr>
                      <w:t xml:space="preserve"> </w:t>
                    </w:r>
                    <w:r w:rsidR="00C555A4">
                      <w:rPr>
                        <w:rFonts w:ascii="Century Gothic" w:eastAsia="Century Gothic" w:hAnsi="Century Gothic" w:cs="Century Gothic"/>
                        <w:sz w:val="18"/>
                        <w:lang w:val="es-MX"/>
                      </w:rPr>
                      <w:t>–</w:t>
                    </w:r>
                    <w:r w:rsidR="00BC652D">
                      <w:rPr>
                        <w:rFonts w:ascii="Century Gothic" w:eastAsia="Century Gothic" w:hAnsi="Century Gothic" w:cs="Century Gothic"/>
                        <w:sz w:val="18"/>
                        <w:lang w:val="es-MX"/>
                      </w:rPr>
                      <w:t xml:space="preserve"> 202</w:t>
                    </w:r>
                    <w:r w:rsidR="00C555A4">
                      <w:rPr>
                        <w:rFonts w:ascii="Century Gothic" w:eastAsia="Century Gothic" w:hAnsi="Century Gothic" w:cs="Century Gothic"/>
                        <w:sz w:val="18"/>
                        <w:lang w:val="es-MX"/>
                      </w:rPr>
                      <w:t>5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7250F"/>
    <w:multiLevelType w:val="hybridMultilevel"/>
    <w:tmpl w:val="E7A669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300E3"/>
    <w:multiLevelType w:val="multilevel"/>
    <w:tmpl w:val="5DD8AC1C"/>
    <w:lvl w:ilvl="0">
      <w:start w:val="1"/>
      <w:numFmt w:val="upperRoman"/>
      <w:lvlText w:val="%1."/>
      <w:lvlJc w:val="left"/>
      <w:pPr>
        <w:ind w:left="1080" w:hanging="72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</w:lvl>
    <w:lvl w:ilvl="2">
      <w:start w:val="1"/>
      <w:numFmt w:val="decimal"/>
      <w:lvlText w:val="%1.%2.%3."/>
      <w:lvlJc w:val="left"/>
      <w:pPr>
        <w:ind w:left="2880" w:hanging="1080"/>
      </w:pPr>
    </w:lvl>
    <w:lvl w:ilvl="3">
      <w:start w:val="1"/>
      <w:numFmt w:val="decimal"/>
      <w:lvlText w:val="%1.%2.%3.%4."/>
      <w:lvlJc w:val="left"/>
      <w:pPr>
        <w:ind w:left="3960" w:hanging="1440"/>
      </w:pPr>
    </w:lvl>
    <w:lvl w:ilvl="4">
      <w:start w:val="1"/>
      <w:numFmt w:val="decimal"/>
      <w:lvlText w:val="%1.%2.%3.%4.%5."/>
      <w:lvlJc w:val="left"/>
      <w:pPr>
        <w:ind w:left="4680" w:hanging="1440"/>
      </w:pPr>
    </w:lvl>
    <w:lvl w:ilvl="5">
      <w:start w:val="1"/>
      <w:numFmt w:val="decimal"/>
      <w:lvlText w:val="%1.%2.%3.%4.%5.%6."/>
      <w:lvlJc w:val="left"/>
      <w:pPr>
        <w:ind w:left="5760" w:hanging="1800"/>
      </w:pPr>
    </w:lvl>
    <w:lvl w:ilvl="6">
      <w:start w:val="1"/>
      <w:numFmt w:val="decimal"/>
      <w:lvlText w:val="%1.%2.%3.%4.%5.%6.%7."/>
      <w:lvlJc w:val="left"/>
      <w:pPr>
        <w:ind w:left="6840" w:hanging="2160"/>
      </w:pPr>
    </w:lvl>
    <w:lvl w:ilvl="7">
      <w:start w:val="1"/>
      <w:numFmt w:val="decimal"/>
      <w:lvlText w:val="%1.%2.%3.%4.%5.%6.%7.%8."/>
      <w:lvlJc w:val="left"/>
      <w:pPr>
        <w:ind w:left="7920" w:hanging="2520"/>
      </w:pPr>
    </w:lvl>
    <w:lvl w:ilvl="8">
      <w:start w:val="1"/>
      <w:numFmt w:val="decimal"/>
      <w:lvlText w:val="%1.%2.%3.%4.%5.%6.%7.%8.%9."/>
      <w:lvlJc w:val="left"/>
      <w:pPr>
        <w:ind w:left="8640" w:hanging="2520"/>
      </w:pPr>
    </w:lvl>
  </w:abstractNum>
  <w:abstractNum w:abstractNumId="2" w15:restartNumberingAfterBreak="0">
    <w:nsid w:val="37475E21"/>
    <w:multiLevelType w:val="multilevel"/>
    <w:tmpl w:val="B0DA2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E1A"/>
    <w:rsid w:val="00055D3B"/>
    <w:rsid w:val="000669EB"/>
    <w:rsid w:val="00073CCA"/>
    <w:rsid w:val="000770B1"/>
    <w:rsid w:val="0008194A"/>
    <w:rsid w:val="000B7FD6"/>
    <w:rsid w:val="000C0765"/>
    <w:rsid w:val="001047D9"/>
    <w:rsid w:val="00121DC7"/>
    <w:rsid w:val="001756CD"/>
    <w:rsid w:val="00196CBD"/>
    <w:rsid w:val="001F0ABF"/>
    <w:rsid w:val="002908C6"/>
    <w:rsid w:val="00335C7D"/>
    <w:rsid w:val="003B1546"/>
    <w:rsid w:val="00413E1A"/>
    <w:rsid w:val="004157B5"/>
    <w:rsid w:val="00422605"/>
    <w:rsid w:val="00432633"/>
    <w:rsid w:val="00497161"/>
    <w:rsid w:val="004E1F8D"/>
    <w:rsid w:val="0053393E"/>
    <w:rsid w:val="00585F85"/>
    <w:rsid w:val="005A4B99"/>
    <w:rsid w:val="005B1604"/>
    <w:rsid w:val="005D0403"/>
    <w:rsid w:val="005E4E13"/>
    <w:rsid w:val="005E746F"/>
    <w:rsid w:val="00607102"/>
    <w:rsid w:val="006475BC"/>
    <w:rsid w:val="006809EA"/>
    <w:rsid w:val="006B25E9"/>
    <w:rsid w:val="006C0B8C"/>
    <w:rsid w:val="007045E2"/>
    <w:rsid w:val="00713597"/>
    <w:rsid w:val="007612CC"/>
    <w:rsid w:val="0076795D"/>
    <w:rsid w:val="008602CC"/>
    <w:rsid w:val="00883C3F"/>
    <w:rsid w:val="008A48A1"/>
    <w:rsid w:val="008B40E9"/>
    <w:rsid w:val="00903D96"/>
    <w:rsid w:val="00970B74"/>
    <w:rsid w:val="009B2116"/>
    <w:rsid w:val="009D0925"/>
    <w:rsid w:val="009E15C8"/>
    <w:rsid w:val="00A16176"/>
    <w:rsid w:val="00AA56A2"/>
    <w:rsid w:val="00AE639F"/>
    <w:rsid w:val="00B11B9E"/>
    <w:rsid w:val="00B823EB"/>
    <w:rsid w:val="00BC652D"/>
    <w:rsid w:val="00C03A3F"/>
    <w:rsid w:val="00C221BA"/>
    <w:rsid w:val="00C460AD"/>
    <w:rsid w:val="00C555A4"/>
    <w:rsid w:val="00CD4AE9"/>
    <w:rsid w:val="00D015EE"/>
    <w:rsid w:val="00D0174C"/>
    <w:rsid w:val="00D5413F"/>
    <w:rsid w:val="00D957EE"/>
    <w:rsid w:val="00E127FB"/>
    <w:rsid w:val="00ED7C5E"/>
    <w:rsid w:val="00F2663D"/>
    <w:rsid w:val="00F34599"/>
    <w:rsid w:val="00F465B5"/>
    <w:rsid w:val="00F76603"/>
    <w:rsid w:val="00FA4878"/>
    <w:rsid w:val="00FD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44492A"/>
  <w15:docId w15:val="{34AFBB4B-8F74-4EB2-97C4-D4EF24BE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PE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97161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CD4AE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4AE9"/>
  </w:style>
  <w:style w:type="paragraph" w:styleId="Piedepgina">
    <w:name w:val="footer"/>
    <w:basedOn w:val="Normal"/>
    <w:link w:val="PiedepginaCar"/>
    <w:uiPriority w:val="99"/>
    <w:unhideWhenUsed/>
    <w:rsid w:val="00CD4A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4AE9"/>
  </w:style>
  <w:style w:type="character" w:styleId="Hipervnculo">
    <w:name w:val="Hyperlink"/>
    <w:basedOn w:val="Fuentedeprrafopredeter"/>
    <w:uiPriority w:val="99"/>
    <w:unhideWhenUsed/>
    <w:rsid w:val="00F76603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67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Geraldine</dc:creator>
  <cp:lastModifiedBy>Sofia</cp:lastModifiedBy>
  <cp:revision>2</cp:revision>
  <dcterms:created xsi:type="dcterms:W3CDTF">2025-05-14T19:07:00Z</dcterms:created>
  <dcterms:modified xsi:type="dcterms:W3CDTF">2025-05-14T19:07:00Z</dcterms:modified>
</cp:coreProperties>
</file>