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rFonts w:ascii="Arial" w:hAnsi="Arial" w:eastAsia="Arial" w:cs="Arial"/>
          <w:b/>
          <w:color w:val="auto"/>
          <w:sz w:val="48"/>
          <w:szCs w:val="48"/>
        </w:rPr>
      </w:pPr>
      <w:r>
        <w:rPr>
          <w:rFonts w:eastAsia="Arial" w:cs="Arial" w:ascii="Arial" w:hAnsi="Arial"/>
          <w:b/>
          <w:color w:val="auto"/>
          <w:sz w:val="48"/>
          <w:szCs w:val="48"/>
        </w:rPr>
      </w:r>
    </w:p>
    <w:p>
      <w:pPr>
        <w:pStyle w:val="normal1"/>
        <w:spacing w:lineRule="auto" w:line="360"/>
        <w:jc w:val="center"/>
        <w:rPr>
          <w:rFonts w:ascii="Arial" w:hAnsi="Arial" w:eastAsia="Arial" w:cs="Arial"/>
          <w:b/>
          <w:color w:val="auto"/>
          <w:sz w:val="48"/>
          <w:szCs w:val="48"/>
        </w:rPr>
      </w:pPr>
      <w:r>
        <w:rPr>
          <w:rFonts w:eastAsia="Arial" w:cs="Arial" w:ascii="Arial" w:hAnsi="Arial"/>
          <w:b/>
          <w:color w:val="auto"/>
          <w:sz w:val="48"/>
          <w:szCs w:val="48"/>
        </w:rPr>
      </w:r>
    </w:p>
    <w:p>
      <w:pPr>
        <w:pStyle w:val="normal1"/>
        <w:spacing w:lineRule="auto" w:line="360"/>
        <w:jc w:val="center"/>
        <w:rPr>
          <w:rFonts w:ascii="Arial" w:hAnsi="Arial" w:eastAsia="Arial" w:cs="Arial"/>
          <w:b/>
          <w:color w:val="auto"/>
          <w:sz w:val="48"/>
          <w:szCs w:val="48"/>
        </w:rPr>
      </w:pPr>
      <w:r>
        <w:rPr>
          <w:rFonts w:eastAsia="Arial" w:cs="Arial" w:ascii="Arial" w:hAnsi="Arial"/>
          <w:b/>
          <w:color w:val="auto"/>
          <w:sz w:val="48"/>
          <w:szCs w:val="48"/>
        </w:rPr>
      </w:r>
    </w:p>
    <w:p>
      <w:pPr>
        <w:pStyle w:val="normal1"/>
        <w:spacing w:lineRule="auto" w:line="360"/>
        <w:jc w:val="center"/>
        <w:rPr>
          <w:rFonts w:ascii="Arial" w:hAnsi="Arial" w:eastAsia="Arial" w:cs="Arial"/>
          <w:b/>
          <w:color w:val="auto"/>
          <w:sz w:val="48"/>
          <w:szCs w:val="48"/>
        </w:rPr>
      </w:pPr>
      <w:r>
        <w:rPr>
          <w:rFonts w:eastAsia="Arial" w:cs="Arial" w:ascii="Arial" w:hAnsi="Arial"/>
          <w:b/>
          <w:color w:val="auto"/>
          <w:sz w:val="48"/>
          <w:szCs w:val="48"/>
        </w:rPr>
      </w:r>
    </w:p>
    <w:p>
      <w:pPr>
        <w:pStyle w:val="normal1"/>
        <w:spacing w:lineRule="auto" w:line="360"/>
        <w:jc w:val="center"/>
        <w:rPr>
          <w:rFonts w:ascii="Arial" w:hAnsi="Arial" w:eastAsia="Arial" w:cs="Arial"/>
          <w:b/>
          <w:color w:val="auto"/>
          <w:sz w:val="48"/>
          <w:szCs w:val="48"/>
        </w:rPr>
      </w:pPr>
      <w:r>
        <w:rPr>
          <w:rFonts w:eastAsia="Arial" w:cs="Arial" w:ascii="Arial" w:hAnsi="Arial"/>
          <w:b/>
          <w:color w:val="auto"/>
          <w:sz w:val="48"/>
          <w:szCs w:val="48"/>
        </w:rPr>
      </w:r>
    </w:p>
    <w:p>
      <w:pPr>
        <w:pStyle w:val="normal1"/>
        <w:spacing w:lineRule="auto" w:line="360"/>
        <w:jc w:val="center"/>
        <w:rPr>
          <w:rFonts w:ascii="Arial" w:hAnsi="Arial" w:eastAsia="Arial" w:cs="Arial"/>
          <w:b/>
          <w:color w:val="auto"/>
          <w:sz w:val="48"/>
          <w:szCs w:val="48"/>
        </w:rPr>
      </w:pPr>
      <w:r>
        <w:rPr>
          <w:rFonts w:eastAsia="Arial" w:cs="Arial" w:ascii="Arial" w:hAnsi="Arial"/>
          <w:b/>
          <w:color w:val="auto"/>
          <w:sz w:val="48"/>
          <w:szCs w:val="48"/>
        </w:rPr>
      </w:r>
    </w:p>
    <w:p>
      <w:pPr>
        <w:pStyle w:val="normal1"/>
        <w:spacing w:lineRule="auto" w:line="360"/>
        <w:jc w:val="center"/>
        <w:rPr>
          <w:color w:val="auto"/>
        </w:rPr>
      </w:pPr>
      <w:r>
        <w:rPr>
          <w:rFonts w:eastAsia="Arial" w:cs="Arial" w:ascii="Arial" w:hAnsi="Arial"/>
          <w:b/>
          <w:color w:val="auto"/>
          <w:sz w:val="48"/>
          <w:szCs w:val="48"/>
        </w:rPr>
        <w:t xml:space="preserve">Alcance del estudio </w:t>
      </w:r>
    </w:p>
    <w:p>
      <w:pPr>
        <w:pStyle w:val="normal1"/>
        <w:spacing w:lineRule="auto" w:line="360"/>
        <w:jc w:val="center"/>
        <w:rPr>
          <w:color w:val="auto"/>
        </w:rPr>
      </w:pPr>
      <w:r>
        <w:rPr>
          <w:rFonts w:eastAsia="Arial" w:cs="Arial" w:ascii="Arial" w:hAnsi="Arial"/>
          <w:b/>
          <w:color w:val="auto"/>
          <w:sz w:val="48"/>
          <w:szCs w:val="48"/>
        </w:rPr>
        <w:t xml:space="preserve">Joyas Andinas </w:t>
      </w:r>
      <w:r>
        <w:br w:type="page"/>
      </w:r>
    </w:p>
    <w:p>
      <w:pPr>
        <w:pStyle w:val="normal1"/>
        <w:spacing w:lineRule="auto" w:line="360" w:before="0" w:after="200"/>
        <w:jc w:val="center"/>
        <w:rPr>
          <w:color w:val="auto"/>
        </w:rPr>
      </w:pPr>
      <w:r>
        <w:rPr>
          <w:rFonts w:eastAsia="Arial" w:cs="Arial" w:ascii="Arial" w:hAnsi="Arial"/>
          <w:b/>
          <w:color w:val="auto"/>
          <w:sz w:val="24"/>
          <w:szCs w:val="24"/>
        </w:rPr>
        <w:t>CAPÍTULO I: ALCANCE DEL ESTUDIO DE MERCADO</w:t>
      </w:r>
    </w:p>
    <w:p>
      <w:pPr>
        <w:pStyle w:val="normal1"/>
        <w:spacing w:lineRule="auto" w:line="360"/>
        <w:jc w:val="both"/>
        <w:rPr>
          <w:rFonts w:ascii="Arial" w:hAnsi="Arial" w:eastAsia="Arial" w:cs="Arial"/>
          <w:color w:val="auto"/>
        </w:rPr>
      </w:pPr>
      <w:r>
        <w:rPr>
          <w:rFonts w:eastAsia="Arial" w:cs="Arial" w:ascii="Arial" w:hAnsi="Arial"/>
          <w:color w:val="auto"/>
        </w:rPr>
      </w:r>
    </w:p>
    <w:p>
      <w:pPr>
        <w:pStyle w:val="normal1"/>
        <w:spacing w:lineRule="auto" w:line="360"/>
        <w:jc w:val="both"/>
        <w:rPr>
          <w:color w:val="auto"/>
        </w:rPr>
      </w:pPr>
      <w:r>
        <w:rPr>
          <w:rFonts w:eastAsia="Arial" w:cs="Arial" w:ascii="Arial" w:hAnsi="Arial"/>
          <w:color w:val="auto"/>
        </w:rPr>
        <w:t>El siguiente capítulo se enfocará en un análisis detallado del alcance de estudio de mercado para la empresa Joyas Andinas S.A.C., en el cual se incluye variables como las exportaciones mundiales y la ventaja comparativa revelada, así como las importaciones mundiales y la capacidad relativa de compra sobre el producto de mayor producción en la empresa, el tarwi. Igualmente se ha empleado la metodología CEPAL para identificar los tipos de mercado para evaluar el destino de las exportaciones e importaciones de los países de interés. Finalmente, el análisis presentará de forma objetiva los requisitos de entrada a los mercados de interés y los indicadores macroeconómicos de dichos países, así como de la competencia identificada.</w:t>
      </w:r>
    </w:p>
    <w:p>
      <w:pPr>
        <w:pStyle w:val="normal1"/>
        <w:spacing w:lineRule="auto" w:line="360"/>
        <w:jc w:val="both"/>
        <w:rPr>
          <w:color w:val="auto"/>
        </w:rPr>
      </w:pPr>
      <w:r>
        <w:rPr>
          <w:rFonts w:eastAsia="Arial" w:cs="Arial" w:ascii="Arial" w:hAnsi="Arial"/>
          <w:color w:val="auto"/>
        </w:rPr>
        <w:t xml:space="preserve">El presente estudio se basa en la partida internacional </w:t>
      </w:r>
      <w:r>
        <w:rPr>
          <w:rFonts w:eastAsia="Arial" w:cs="Arial" w:ascii="Arial" w:hAnsi="Arial"/>
          <w:b/>
          <w:color w:val="auto"/>
        </w:rPr>
        <w:t>0713.90 se refiere a “hortalizas (incluidas las silvestres) secas, desvainadas, aunque estén mondadas o partidas, de otras clases”</w:t>
      </w:r>
      <w:r>
        <w:rPr>
          <w:rFonts w:eastAsia="Arial" w:cs="Arial" w:ascii="Arial" w:hAnsi="Arial"/>
          <w:color w:val="auto"/>
        </w:rPr>
        <w:t>. Como objetivo principal se propone evaluar las oportunidades existentes en el mercado, así como el análisis de la oferta y demanda del mismo. Asimismo, se pretende identificar mercados potenciales de exportación y la competencia que actualmente enfrenta la asociación.</w:t>
      </w:r>
    </w:p>
    <w:p>
      <w:pPr>
        <w:pStyle w:val="normal1"/>
        <w:spacing w:lineRule="auto" w:line="360"/>
        <w:jc w:val="both"/>
        <w:rPr>
          <w:color w:val="auto"/>
        </w:rPr>
      </w:pPr>
      <w:r>
        <w:rPr>
          <w:rFonts w:eastAsia="Arial" w:cs="Arial" w:ascii="Arial" w:hAnsi="Arial"/>
          <w:color w:val="auto"/>
        </w:rPr>
        <w:t>A continuación, se plantean las preguntas para delimitar la investigación y proporcionar un estudio acorde a las expectativas de la asociación.</w:t>
      </w:r>
    </w:p>
    <w:p>
      <w:pPr>
        <w:pStyle w:val="normal1"/>
        <w:numPr>
          <w:ilvl w:val="0"/>
          <w:numId w:val="1"/>
        </w:numPr>
        <w:spacing w:lineRule="auto" w:line="360" w:before="0" w:afterAutospacing="0" w:after="0"/>
        <w:ind w:hanging="360" w:left="720"/>
        <w:jc w:val="both"/>
        <w:rPr>
          <w:color w:val="auto"/>
        </w:rPr>
      </w:pPr>
      <w:r>
        <w:rPr>
          <w:rFonts w:eastAsia="Arial" w:cs="Arial" w:ascii="Arial" w:hAnsi="Arial"/>
          <w:color w:val="auto"/>
        </w:rPr>
        <w:t>¿Qué países presentan el mercado de importación más atractivo para la situación actual de la empresa?</w:t>
      </w:r>
    </w:p>
    <w:p>
      <w:pPr>
        <w:pStyle w:val="normal1"/>
        <w:numPr>
          <w:ilvl w:val="0"/>
          <w:numId w:val="1"/>
        </w:numPr>
        <w:spacing w:lineRule="auto" w:line="360" w:before="0" w:afterAutospacing="0" w:after="0"/>
        <w:ind w:hanging="360" w:left="720"/>
        <w:jc w:val="both"/>
        <w:rPr>
          <w:color w:val="auto"/>
        </w:rPr>
      </w:pPr>
      <w:r>
        <w:rPr>
          <w:rFonts w:eastAsia="Arial" w:cs="Arial" w:ascii="Arial" w:hAnsi="Arial"/>
          <w:color w:val="auto"/>
        </w:rPr>
        <w:t>¿Qué países representan una alta competencia para el producto peruano en estos mercados de interés?</w:t>
      </w:r>
    </w:p>
    <w:p>
      <w:pPr>
        <w:pStyle w:val="normal1"/>
        <w:numPr>
          <w:ilvl w:val="0"/>
          <w:numId w:val="1"/>
        </w:numPr>
        <w:spacing w:lineRule="auto" w:line="360"/>
        <w:ind w:hanging="360" w:left="720"/>
        <w:jc w:val="both"/>
        <w:rPr>
          <w:color w:val="auto"/>
        </w:rPr>
      </w:pPr>
      <w:r>
        <w:rPr>
          <w:rFonts w:eastAsia="Arial" w:cs="Arial" w:ascii="Arial" w:hAnsi="Arial"/>
          <w:color w:val="auto"/>
        </w:rPr>
        <w:t>¿Qué mercados objetivos presentan un panorama optimista para la exportación de tarwi?</w:t>
      </w:r>
    </w:p>
    <w:p>
      <w:pPr>
        <w:pStyle w:val="normal1"/>
        <w:spacing w:lineRule="auto" w:line="360"/>
        <w:rPr>
          <w:color w:val="auto"/>
        </w:rPr>
      </w:pPr>
      <w:r>
        <w:rPr>
          <w:rFonts w:eastAsia="Arial" w:cs="Arial" w:ascii="Arial" w:hAnsi="Arial"/>
          <w:b/>
          <w:color w:val="auto"/>
        </w:rPr>
        <w:t>1.1. Las exportaciones mundiales</w:t>
      </w:r>
    </w:p>
    <w:p>
      <w:pPr>
        <w:pStyle w:val="normal1"/>
        <w:spacing w:lineRule="auto" w:line="360"/>
        <w:jc w:val="both"/>
        <w:rPr>
          <w:color w:val="auto"/>
        </w:rPr>
      </w:pPr>
      <w:r>
        <w:rPr>
          <w:rFonts w:eastAsia="Arial" w:cs="Arial" w:ascii="Arial" w:hAnsi="Arial"/>
          <w:color w:val="auto"/>
        </w:rPr>
        <w:t>Las exportaciones mundiales de leguminosas incluidos el Tarwi llegaron a un total de 421 millones de dólares en el año 2024, presentando una disminución de las exportaciones de -22% respecto al año anterior; sin embargo, muestra una tasa de crecimiento promedio en el periodo 2020-2024 que ascendió a un 2%. Entre los principales países exportadores destacan Mozambique, India, Myanmar, Reino Unido y España.</w:t>
      </w:r>
    </w:p>
    <w:p>
      <w:pPr>
        <w:pStyle w:val="normal1"/>
        <w:spacing w:lineRule="auto" w:line="360"/>
        <w:jc w:val="both"/>
        <w:rPr>
          <w:color w:val="auto"/>
        </w:rPr>
      </w:pPr>
      <w:r>
        <w:rPr>
          <w:rFonts w:eastAsia="Arial" w:cs="Arial" w:ascii="Arial" w:hAnsi="Arial"/>
          <w:color w:val="auto"/>
        </w:rPr>
        <w:t>Mozambique e India destacan como los países con mayor especialización exportadora, con un VCRn de 1.00 y 0.79 respectivamente. Además, representan una participación de 36.1% y 15.7% respectivamente, reflejando una clara ventaja comparativa en su estructura productiva. Myanmar y Afganistán presentan las VCRn más altas (0.99), aunque con menor participación. Por el contrario, países como China (-0.70) y Estados Unidos (-0.74) tienen una desventaja comparativa, exportando menos de lo esperado según su tamaño económico. España (VCRn 0.51) y Emiratos Árabes Unidos (0.60) poseen una ventaja moderada, con posibilidades de crecimiento si consolidan su posicionamiento externo. En este contexto, países con alto VCRn y crecimiento en los últimos años, como Mozambique (+12 % de variación y TCP de 36 %) representan referentes fuertes frente a otros competidores con tendencia decreciente.</w:t>
      </w:r>
    </w:p>
    <w:p>
      <w:pPr>
        <w:pStyle w:val="normal1"/>
        <w:spacing w:lineRule="auto" w:line="360" w:before="0" w:after="0"/>
        <w:jc w:val="center"/>
        <w:rPr>
          <w:color w:val="auto"/>
        </w:rPr>
      </w:pPr>
      <w:r>
        <w:rPr>
          <w:rFonts w:eastAsia="Arial" w:cs="Arial" w:ascii="Arial" w:hAnsi="Arial"/>
          <w:b/>
          <w:color w:val="auto"/>
        </w:rPr>
        <w:t>Tabla 1.1</w:t>
      </w:r>
    </w:p>
    <w:p>
      <w:pPr>
        <w:pStyle w:val="normal1"/>
        <w:spacing w:lineRule="auto" w:line="360" w:before="0" w:after="0"/>
        <w:jc w:val="center"/>
        <w:rPr>
          <w:color w:val="auto"/>
        </w:rPr>
      </w:pPr>
      <w:r>
        <w:rPr>
          <w:rFonts w:eastAsia="Arial" w:cs="Arial" w:ascii="Arial" w:hAnsi="Arial"/>
          <w:b/>
          <w:color w:val="auto"/>
        </w:rPr>
        <w:t>Indicadores de países exportadores de leguminosas (tarwi) PA-0713.90</w:t>
      </w:r>
      <w:r>
        <w:rPr>
          <w:rFonts w:eastAsia="Arial" w:cs="Arial" w:ascii="Arial" w:hAnsi="Arial"/>
          <w:color w:val="auto"/>
        </w:rPr>
        <w:t xml:space="preserve"> </w:t>
      </w:r>
    </w:p>
    <w:p>
      <w:pPr>
        <w:pStyle w:val="normal1"/>
        <w:spacing w:lineRule="auto" w:line="360" w:before="0" w:after="0"/>
        <w:jc w:val="center"/>
        <w:rPr>
          <w:color w:val="auto"/>
        </w:rPr>
      </w:pPr>
      <w:r>
        <w:rPr>
          <w:rFonts w:eastAsia="Arial" w:cs="Arial" w:ascii="Arial" w:hAnsi="Arial"/>
          <w:b/>
          <w:color w:val="auto"/>
        </w:rPr>
        <w:t>(FOB y balanza comercial en miles USD, precio USD por tonelada, participación, variación y TCP en %, VCRn entre -1 y 1</w:t>
      </w:r>
      <w:r>
        <w:rPr>
          <w:rStyle w:val="FootnoteReference"/>
          <w:rFonts w:eastAsia="Arial" w:cs="Arial" w:ascii="Arial" w:hAnsi="Arial"/>
          <w:b/>
          <w:color w:val="auto"/>
          <w:vertAlign w:val="superscript"/>
        </w:rPr>
        <w:footnoteReference w:id="2"/>
      </w:r>
      <w:r>
        <w:rPr>
          <w:rFonts w:eastAsia="Arial" w:cs="Arial" w:ascii="Arial" w:hAnsi="Arial"/>
          <w:b/>
          <w:color w:val="auto"/>
        </w:rPr>
        <w:t>, IHH entre 0 y 10,000</w:t>
      </w:r>
      <w:r>
        <w:rPr>
          <w:rStyle w:val="FootnoteReference"/>
          <w:rFonts w:eastAsia="Arial" w:cs="Arial" w:ascii="Arial" w:hAnsi="Arial"/>
          <w:b/>
          <w:color w:val="auto"/>
          <w:vertAlign w:val="superscript"/>
        </w:rPr>
        <w:footnoteReference w:id="3"/>
      </w:r>
      <w:r>
        <w:rPr>
          <w:rFonts w:eastAsia="Arial" w:cs="Arial" w:ascii="Arial" w:hAnsi="Arial"/>
          <w:b/>
          <w:color w:val="auto"/>
        </w:rPr>
        <w:t>)</w:t>
      </w:r>
    </w:p>
    <w:p>
      <w:pPr>
        <w:pStyle w:val="normal1"/>
        <w:spacing w:lineRule="auto" w:line="360"/>
        <w:jc w:val="both"/>
        <w:rPr>
          <w:rFonts w:ascii="Arial" w:hAnsi="Arial" w:eastAsia="Arial" w:cs="Arial"/>
          <w:color w:val="auto"/>
        </w:rPr>
      </w:pPr>
      <w:r>
        <w:rPr>
          <w:rFonts w:eastAsia="Arial" w:cs="Arial" w:ascii="Arial" w:hAnsi="Arial"/>
          <w:color w:val="auto"/>
        </w:rPr>
      </w:r>
    </w:p>
    <w:p>
      <w:pPr>
        <w:pStyle w:val="normal1"/>
        <w:spacing w:lineRule="auto" w:line="360"/>
        <w:jc w:val="both"/>
        <w:rPr>
          <w:color w:val="auto"/>
        </w:rPr>
      </w:pPr>
      <w:r>
        <w:rPr>
          <w:color w:val="auto"/>
        </w:rPr>
        <w:drawing>
          <wp:inline distT="0" distB="0" distL="0" distR="0">
            <wp:extent cx="5300345" cy="213487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300345" cy="2134870"/>
                    </a:xfrm>
                    <a:prstGeom prst="rect">
                      <a:avLst/>
                    </a:prstGeom>
                    <a:noFill/>
                  </pic:spPr>
                </pic:pic>
              </a:graphicData>
            </a:graphic>
          </wp:inline>
        </w:drawing>
      </w:r>
    </w:p>
    <w:p>
      <w:pPr>
        <w:pStyle w:val="normal1"/>
        <w:spacing w:lineRule="auto" w:line="240" w:before="280" w:after="0"/>
        <w:rPr>
          <w:color w:val="auto"/>
        </w:rPr>
      </w:pPr>
      <w:r>
        <w:rPr>
          <w:rFonts w:eastAsia="Arial" w:cs="Arial" w:ascii="Arial" w:hAnsi="Arial"/>
          <w:color w:val="auto"/>
          <w:sz w:val="16"/>
          <w:szCs w:val="16"/>
        </w:rPr>
        <w:t>Fuente: Trademap</w:t>
      </w:r>
    </w:p>
    <w:p>
      <w:pPr>
        <w:pStyle w:val="normal1"/>
        <w:spacing w:lineRule="auto" w:line="240" w:before="0" w:after="0"/>
        <w:jc w:val="both"/>
        <w:rPr>
          <w:color w:val="auto"/>
        </w:rPr>
      </w:pPr>
      <w:r>
        <w:rPr>
          <w:rFonts w:eastAsia="Arial" w:cs="Arial" w:ascii="Arial" w:hAnsi="Arial"/>
          <w:color w:val="auto"/>
          <w:sz w:val="16"/>
          <w:szCs w:val="16"/>
        </w:rPr>
        <w:t>Elaboración: Propia</w:t>
      </w:r>
    </w:p>
    <w:p>
      <w:pPr>
        <w:pStyle w:val="normal1"/>
        <w:spacing w:lineRule="auto" w:line="360"/>
        <w:rPr>
          <w:rFonts w:ascii="Arial" w:hAnsi="Arial" w:eastAsia="Arial" w:cs="Arial"/>
          <w:b/>
          <w:color w:val="auto"/>
        </w:rPr>
      </w:pPr>
      <w:r>
        <w:rPr>
          <w:rFonts w:eastAsia="Arial" w:cs="Arial" w:ascii="Arial" w:hAnsi="Arial"/>
          <w:b/>
          <w:color w:val="auto"/>
        </w:rPr>
      </w:r>
    </w:p>
    <w:p>
      <w:pPr>
        <w:pStyle w:val="normal1"/>
        <w:spacing w:lineRule="auto" w:line="360"/>
        <w:rPr>
          <w:color w:val="auto"/>
        </w:rPr>
      </w:pPr>
      <w:r>
        <w:rPr>
          <w:rFonts w:eastAsia="Arial" w:cs="Arial" w:ascii="Arial" w:hAnsi="Arial"/>
          <w:b/>
          <w:color w:val="auto"/>
        </w:rPr>
        <w:t>1.2 Importaciones mundiales</w:t>
      </w:r>
    </w:p>
    <w:p>
      <w:pPr>
        <w:pStyle w:val="normal1"/>
        <w:spacing w:lineRule="auto" w:line="360"/>
        <w:jc w:val="both"/>
        <w:rPr>
          <w:color w:val="auto"/>
        </w:rPr>
      </w:pPr>
      <w:r>
        <w:rPr>
          <w:rFonts w:eastAsia="Arial" w:cs="Arial" w:ascii="Arial" w:hAnsi="Arial"/>
          <w:color w:val="auto"/>
        </w:rPr>
        <w:t>En el año 2024, las importaciones mundiales para leguminosas incluyendo el tarwi, ascendieron a un valor de 403 millones de dólares, presentando un incremento de 14% mayor que el registrado el año anterior y una tasa de crecimiento promedio de 12% en el periodo 2020 - 2024. Los principales importadores de esta partida fueron: China, Pakistán y Estados Unidos, con una participación de 36%, 25% y 6% y una tasa de crecimiento promedio entre el periodo 2020-2024 de 43%, 11% y 34% respectivamente.</w:t>
      </w:r>
    </w:p>
    <w:p>
      <w:pPr>
        <w:pStyle w:val="normal1"/>
        <w:spacing w:lineRule="auto" w:line="360" w:before="0" w:after="0"/>
        <w:jc w:val="both"/>
        <w:rPr>
          <w:color w:val="auto"/>
        </w:rPr>
      </w:pPr>
      <w:r>
        <w:rPr>
          <w:rFonts w:eastAsia="Arial" w:cs="Arial" w:ascii="Arial" w:hAnsi="Arial"/>
          <w:color w:val="auto"/>
        </w:rPr>
        <w:t xml:space="preserve">En 2024, China lidera como el principal comprador global con una participación del 36% del total importado y un CRCn de 0.54, lo que indica una capacidad de compra moderada con fuerte dependencia de importaciones externas (déficit de -135,928 mil USD). Pakistán, con 25% de participación y un CRCn de 0.98, el más alto de la categoría, también muestra alta dependencia de insumos del exterior, mostrando una balanza comercial en negativo. </w:t>
      </w:r>
    </w:p>
    <w:p>
      <w:pPr>
        <w:pStyle w:val="normal1"/>
        <w:spacing w:lineRule="auto" w:line="360" w:before="0" w:after="0"/>
        <w:jc w:val="both"/>
        <w:rPr>
          <w:color w:val="auto"/>
        </w:rPr>
      </w:pPr>
      <w:r>
        <w:rPr>
          <w:rFonts w:eastAsia="Arial" w:cs="Arial" w:ascii="Arial" w:hAnsi="Arial"/>
          <w:color w:val="auto"/>
        </w:rPr>
        <w:t>Por otro lado, países como Canadá (CRCn 0.07) y Emiratos Árabes Unidos (CRCn 0.08), muestran una balanza comercial positiva. Es importante resaltar a Bangladesh con el CRCn más alto (0.90) y una impresionante variación interanual del 251 %, lo que señala un mercado emergente de alta demanda. Finalmente, Estados Unidos y Reino Unido, a pesar de un CRCn negativo, -0.40 y -0.46 respectivamente, muestran un crecimiento importante en sus compras de 34% y 83% respectivamente, en el periodo 2023 - 2024, abriendo una oportunidad potencial a largo plazo.</w:t>
      </w:r>
    </w:p>
    <w:p>
      <w:pPr>
        <w:pStyle w:val="normal1"/>
        <w:spacing w:lineRule="auto" w:line="360" w:before="0" w:after="0"/>
        <w:jc w:val="center"/>
        <w:rPr>
          <w:color w:val="auto"/>
        </w:rPr>
      </w:pPr>
      <w:r>
        <w:rPr>
          <w:rFonts w:eastAsia="Arial" w:cs="Arial" w:ascii="Arial" w:hAnsi="Arial"/>
          <w:b/>
          <w:color w:val="auto"/>
        </w:rPr>
        <w:t>Tabla 1.2</w:t>
      </w:r>
    </w:p>
    <w:p>
      <w:pPr>
        <w:pStyle w:val="normal1"/>
        <w:spacing w:lineRule="auto" w:line="360" w:before="0" w:after="0"/>
        <w:jc w:val="center"/>
        <w:rPr>
          <w:color w:val="auto"/>
        </w:rPr>
      </w:pPr>
      <w:r>
        <w:rPr>
          <w:rFonts w:eastAsia="Arial" w:cs="Arial" w:ascii="Arial" w:hAnsi="Arial"/>
          <w:b/>
          <w:color w:val="auto"/>
        </w:rPr>
        <w:t>Indicadores de países exportadores de leguminosas (tarwi) PA-0713.90</w:t>
      </w:r>
      <w:r>
        <w:rPr>
          <w:rFonts w:eastAsia="Arial" w:cs="Arial" w:ascii="Arial" w:hAnsi="Arial"/>
          <w:color w:val="auto"/>
        </w:rPr>
        <w:t xml:space="preserve"> </w:t>
      </w:r>
    </w:p>
    <w:p>
      <w:pPr>
        <w:pStyle w:val="normal1"/>
        <w:spacing w:lineRule="auto" w:line="360" w:before="0" w:after="0"/>
        <w:jc w:val="center"/>
        <w:rPr>
          <w:color w:val="auto"/>
        </w:rPr>
      </w:pPr>
      <w:r>
        <w:rPr>
          <w:rFonts w:eastAsia="Arial" w:cs="Arial" w:ascii="Arial" w:hAnsi="Arial"/>
          <w:b/>
          <w:color w:val="auto"/>
        </w:rPr>
        <w:t>(CIF y balanza comercial en miles USD, precio USD por tonelada, participación, variación y TCP en %, CRCn entre -1 y 1, IHH entre 0 y 10,000</w:t>
      </w:r>
      <w:r>
        <w:rPr>
          <w:rStyle w:val="FootnoteReference"/>
          <w:rFonts w:eastAsia="Arial" w:cs="Arial" w:ascii="Arial" w:hAnsi="Arial"/>
          <w:b/>
          <w:color w:val="auto"/>
          <w:vertAlign w:val="superscript"/>
        </w:rPr>
        <w:footnoteReference w:id="4"/>
      </w:r>
      <w:r>
        <w:rPr>
          <w:rFonts w:eastAsia="Arial" w:cs="Arial" w:ascii="Arial" w:hAnsi="Arial"/>
          <w:b/>
          <w:color w:val="auto"/>
        </w:rPr>
        <w:t xml:space="preserve">) </w:t>
      </w:r>
    </w:p>
    <w:p>
      <w:pPr>
        <w:pStyle w:val="normal1"/>
        <w:spacing w:lineRule="auto" w:line="360" w:before="0" w:after="0"/>
        <w:jc w:val="center"/>
        <w:rPr>
          <w:color w:val="auto"/>
        </w:rPr>
      </w:pPr>
      <w:r>
        <w:rPr>
          <w:color w:val="auto"/>
        </w:rPr>
        <w:drawing>
          <wp:inline distT="0" distB="0" distL="0" distR="0">
            <wp:extent cx="5486400" cy="207645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rcRect l="3379" t="41042" r="2653" b="0"/>
                    <a:stretch>
                      <a:fillRect/>
                    </a:stretch>
                  </pic:blipFill>
                  <pic:spPr bwMode="auto">
                    <a:xfrm>
                      <a:off x="0" y="0"/>
                      <a:ext cx="5486400" cy="2076450"/>
                    </a:xfrm>
                    <a:prstGeom prst="rect">
                      <a:avLst/>
                    </a:prstGeom>
                    <a:noFill/>
                  </pic:spPr>
                </pic:pic>
              </a:graphicData>
            </a:graphic>
          </wp:inline>
        </w:drawing>
      </w:r>
    </w:p>
    <w:p>
      <w:pPr>
        <w:pStyle w:val="normal1"/>
        <w:spacing w:lineRule="auto" w:line="240" w:before="0" w:after="0"/>
        <w:rPr>
          <w:color w:val="auto"/>
        </w:rPr>
      </w:pPr>
      <w:r>
        <w:rPr>
          <w:rFonts w:eastAsia="Arial" w:cs="Arial" w:ascii="Arial" w:hAnsi="Arial"/>
          <w:color w:val="auto"/>
          <w:sz w:val="16"/>
          <w:szCs w:val="16"/>
        </w:rPr>
        <w:t>Fuente: Trademap</w:t>
      </w:r>
    </w:p>
    <w:p>
      <w:pPr>
        <w:pStyle w:val="normal1"/>
        <w:spacing w:lineRule="auto" w:line="240" w:before="0" w:after="0"/>
        <w:jc w:val="both"/>
        <w:rPr>
          <w:color w:val="auto"/>
        </w:rPr>
      </w:pPr>
      <w:r>
        <w:rPr>
          <w:rFonts w:eastAsia="Arial" w:cs="Arial" w:ascii="Arial" w:hAnsi="Arial"/>
          <w:color w:val="auto"/>
          <w:sz w:val="16"/>
          <w:szCs w:val="16"/>
        </w:rPr>
        <w:t>Elaboración: Propia</w:t>
      </w:r>
    </w:p>
    <w:p>
      <w:pPr>
        <w:pStyle w:val="normal1"/>
        <w:spacing w:lineRule="auto" w:line="360" w:before="0" w:after="0"/>
        <w:rPr>
          <w:rFonts w:ascii="Arial" w:hAnsi="Arial" w:eastAsia="Arial" w:cs="Arial"/>
          <w:b/>
          <w:color w:val="auto"/>
        </w:rPr>
      </w:pPr>
      <w:r>
        <w:rPr>
          <w:rFonts w:eastAsia="Arial" w:cs="Arial" w:ascii="Arial" w:hAnsi="Arial"/>
          <w:b/>
          <w:color w:val="auto"/>
        </w:rPr>
      </w:r>
    </w:p>
    <w:p>
      <w:pPr>
        <w:pStyle w:val="normal1"/>
        <w:spacing w:lineRule="auto" w:line="360"/>
        <w:rPr>
          <w:color w:val="auto"/>
        </w:rPr>
      </w:pPr>
      <w:r>
        <w:rPr>
          <w:rFonts w:eastAsia="Arial" w:cs="Arial" w:ascii="Arial" w:hAnsi="Arial"/>
          <w:b/>
          <w:color w:val="auto"/>
        </w:rPr>
        <w:t>1.3 Comportamiento de los países</w:t>
      </w:r>
    </w:p>
    <w:p>
      <w:pPr>
        <w:pStyle w:val="normal1"/>
        <w:spacing w:lineRule="auto" w:line="360"/>
        <w:jc w:val="both"/>
        <w:rPr>
          <w:color w:val="auto"/>
        </w:rPr>
      </w:pPr>
      <w:r>
        <w:rPr>
          <w:rFonts w:eastAsia="Arial" w:cs="Arial" w:ascii="Arial" w:hAnsi="Arial"/>
          <w:color w:val="auto"/>
        </w:rPr>
        <w:t>Para este apartado del estudio se aplicará la Metodología CEPAL, metodología que segmenta a los mercados  de acuerdo a su índice de participación y el índice de tasa de crecimiento promedio, clasificándolos en: Estrella (la participación y la TCP del país son positivos), Prometedor (la participación es negativa y la TCP del país es positiva), Consolidado (la participación es positiva y la TCP del país es negativa) y Estancado (la participación y la TCP del país son negativos).</w:t>
      </w:r>
    </w:p>
    <w:p>
      <w:pPr>
        <w:pStyle w:val="normal1"/>
        <w:spacing w:lineRule="auto" w:line="360"/>
        <w:jc w:val="both"/>
        <w:rPr>
          <w:color w:val="auto"/>
        </w:rPr>
      </w:pPr>
      <w:r>
        <w:rPr>
          <w:rFonts w:eastAsia="Arial" w:cs="Arial" w:ascii="Arial" w:hAnsi="Arial"/>
          <w:color w:val="auto"/>
        </w:rPr>
        <w:t>Dentro del segmento estrella se encuentran países como Bangladesh, Estados Unidos, Países Bajos y China, este segmento representa a un mercado con alto potencial como destino de exportación ya que además de encontrarse en expansión presenta una participación constante en las importaciones mundiales.</w:t>
      </w:r>
    </w:p>
    <w:p>
      <w:pPr>
        <w:pStyle w:val="normal1"/>
        <w:spacing w:lineRule="auto" w:line="276" w:before="0" w:after="0"/>
        <w:jc w:val="center"/>
        <w:rPr>
          <w:rFonts w:ascii="Arial" w:hAnsi="Arial" w:eastAsia="Arial" w:cs="Arial"/>
          <w:b/>
          <w:color w:val="auto"/>
        </w:rPr>
      </w:pPr>
      <w:r>
        <w:rPr>
          <w:rFonts w:eastAsia="Arial" w:cs="Arial" w:ascii="Arial" w:hAnsi="Arial"/>
          <w:b/>
          <w:color w:val="auto"/>
        </w:rPr>
      </w:r>
    </w:p>
    <w:p>
      <w:pPr>
        <w:pStyle w:val="normal1"/>
        <w:spacing w:lineRule="auto" w:line="276" w:before="0" w:after="0"/>
        <w:jc w:val="center"/>
        <w:rPr>
          <w:color w:val="auto"/>
        </w:rPr>
      </w:pPr>
      <w:r>
        <w:rPr>
          <w:rFonts w:eastAsia="Arial" w:cs="Arial" w:ascii="Arial" w:hAnsi="Arial"/>
          <w:b/>
          <w:color w:val="auto"/>
        </w:rPr>
        <w:t>Gráfico Nª 1.3.1.</w:t>
      </w:r>
    </w:p>
    <w:p>
      <w:pPr>
        <w:pStyle w:val="normal1"/>
        <w:spacing w:lineRule="auto" w:line="240" w:before="0" w:after="0"/>
        <w:jc w:val="center"/>
        <w:rPr>
          <w:color w:val="auto"/>
        </w:rPr>
      </w:pPr>
      <w:r>
        <w:rPr>
          <w:rFonts w:eastAsia="Arial" w:cs="Arial" w:ascii="Arial" w:hAnsi="Arial"/>
          <w:b/>
          <w:color w:val="auto"/>
        </w:rPr>
        <w:t>Metodología Cepal por Segmento - Estrella</w:t>
      </w:r>
    </w:p>
    <w:p>
      <w:pPr>
        <w:pStyle w:val="normal1"/>
        <w:jc w:val="center"/>
        <w:rPr>
          <w:color w:val="auto"/>
        </w:rPr>
      </w:pPr>
      <w:r>
        <w:rPr>
          <w:rFonts w:eastAsia="Arial" w:cs="Arial" w:ascii="Arial" w:hAnsi="Arial"/>
          <w:b/>
          <w:color w:val="auto"/>
        </w:rPr>
        <w:t>(Índice de tasa de crecimiento promedio e Índice de participación promedio)</w:t>
      </w:r>
    </w:p>
    <w:p>
      <w:pPr>
        <w:pStyle w:val="normal1"/>
        <w:spacing w:lineRule="auto" w:line="360"/>
        <w:jc w:val="center"/>
        <w:rPr>
          <w:rFonts w:ascii="Arial" w:hAnsi="Arial" w:eastAsia="Arial" w:cs="Arial"/>
          <w:b/>
          <w:color w:val="auto"/>
        </w:rPr>
      </w:pPr>
      <w:r>
        <w:rPr>
          <w:rFonts w:eastAsia="Arial" w:cs="Arial" w:ascii="Arial" w:hAnsi="Arial"/>
          <w:b/>
          <w:color w:val="auto"/>
        </w:rPr>
      </w:r>
    </w:p>
    <w:p>
      <w:pPr>
        <w:pStyle w:val="normal1"/>
        <w:spacing w:lineRule="auto" w:line="360" w:before="0" w:after="0"/>
        <w:jc w:val="center"/>
        <w:rPr>
          <w:color w:val="auto"/>
        </w:rPr>
      </w:pPr>
      <w:r>
        <w:rPr>
          <w:color w:val="auto"/>
        </w:rPr>
        <w:drawing>
          <wp:inline distT="0" distB="0" distL="0" distR="0">
            <wp:extent cx="5486400" cy="3149600"/>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4"/>
                    <a:stretch>
                      <a:fillRect/>
                    </a:stretch>
                  </pic:blipFill>
                  <pic:spPr bwMode="auto">
                    <a:xfrm>
                      <a:off x="0" y="0"/>
                      <a:ext cx="5486400" cy="3149600"/>
                    </a:xfrm>
                    <a:prstGeom prst="rect">
                      <a:avLst/>
                    </a:prstGeom>
                    <a:noFill/>
                  </pic:spPr>
                </pic:pic>
              </a:graphicData>
            </a:graphic>
          </wp:inline>
        </w:drawing>
      </w:r>
    </w:p>
    <w:p>
      <w:pPr>
        <w:pStyle w:val="normal1"/>
        <w:spacing w:lineRule="auto" w:line="360" w:before="0" w:after="0"/>
        <w:ind w:hanging="0" w:left="709"/>
        <w:rPr>
          <w:color w:val="auto"/>
        </w:rPr>
      </w:pPr>
      <w:r>
        <w:rPr>
          <w:rFonts w:eastAsia="Arial" w:cs="Arial" w:ascii="Arial" w:hAnsi="Arial"/>
          <w:color w:val="auto"/>
          <w:sz w:val="16"/>
          <w:szCs w:val="16"/>
        </w:rPr>
        <w:t>Fuente: Trademap</w:t>
      </w:r>
    </w:p>
    <w:p>
      <w:pPr>
        <w:pStyle w:val="normal1"/>
        <w:spacing w:lineRule="auto" w:line="360" w:before="0" w:after="0"/>
        <w:ind w:hanging="0" w:left="709"/>
        <w:rPr>
          <w:color w:val="auto"/>
        </w:rPr>
      </w:pPr>
      <w:r>
        <w:rPr>
          <w:rFonts w:eastAsia="Arial" w:cs="Arial" w:ascii="Arial" w:hAnsi="Arial"/>
          <w:color w:val="auto"/>
          <w:sz w:val="16"/>
          <w:szCs w:val="16"/>
        </w:rPr>
        <w:t>Elaboración: Propia</w:t>
      </w:r>
    </w:p>
    <w:p>
      <w:pPr>
        <w:pStyle w:val="normal1"/>
        <w:spacing w:lineRule="auto" w:line="360"/>
        <w:jc w:val="both"/>
        <w:rPr>
          <w:rFonts w:ascii="Arial" w:hAnsi="Arial" w:eastAsia="Arial" w:cs="Arial"/>
          <w:color w:val="auto"/>
        </w:rPr>
      </w:pPr>
      <w:r>
        <w:rPr>
          <w:rFonts w:eastAsia="Arial" w:cs="Arial" w:ascii="Arial" w:hAnsi="Arial"/>
          <w:color w:val="auto"/>
        </w:rPr>
      </w:r>
    </w:p>
    <w:p>
      <w:pPr>
        <w:pStyle w:val="normal1"/>
        <w:spacing w:lineRule="auto" w:line="360" w:before="0" w:after="0"/>
        <w:jc w:val="both"/>
        <w:rPr>
          <w:color w:val="auto"/>
        </w:rPr>
      </w:pPr>
      <w:r>
        <w:rPr>
          <w:rFonts w:eastAsia="Arial" w:cs="Arial" w:ascii="Arial" w:hAnsi="Arial"/>
          <w:color w:val="auto"/>
        </w:rPr>
        <w:t>En el segmento prometedor se encuentran países como Reino Unido, Malawi, España, Corea del sur, Australia, entre otros, estos países presentan una participación de mercado relativamente baja o decreciente en comparación con otros, pero muestran una tasa de crecimiento positiva en sus importaciones. Es decir, aunque su cuota de mercado es menor, su demanda está creciendo de forma sostenida, lo que los convierte en mercados con alto potencial.</w:t>
      </w:r>
    </w:p>
    <w:p>
      <w:pPr>
        <w:pStyle w:val="normal1"/>
        <w:spacing w:lineRule="auto" w:line="276" w:before="0" w:after="0"/>
        <w:jc w:val="center"/>
        <w:rPr>
          <w:color w:val="auto"/>
        </w:rPr>
      </w:pPr>
      <w:r>
        <w:rPr>
          <w:rFonts w:eastAsia="Arial" w:cs="Arial" w:ascii="Arial" w:hAnsi="Arial"/>
          <w:b/>
          <w:color w:val="auto"/>
        </w:rPr>
        <w:t>Gráfico Nª 1.3.2.</w:t>
      </w:r>
    </w:p>
    <w:p>
      <w:pPr>
        <w:pStyle w:val="normal1"/>
        <w:spacing w:lineRule="auto" w:line="240" w:before="0" w:after="0"/>
        <w:jc w:val="center"/>
        <w:rPr>
          <w:color w:val="auto"/>
        </w:rPr>
      </w:pPr>
      <w:r>
        <w:rPr>
          <w:rFonts w:eastAsia="Arial" w:cs="Arial" w:ascii="Arial" w:hAnsi="Arial"/>
          <w:b/>
          <w:color w:val="auto"/>
        </w:rPr>
        <w:t>Metodología Cepal por Segmento - Prometedor</w:t>
      </w:r>
    </w:p>
    <w:p>
      <w:pPr>
        <w:pStyle w:val="normal1"/>
        <w:spacing w:lineRule="auto" w:line="240" w:before="0" w:after="0"/>
        <w:jc w:val="center"/>
        <w:rPr>
          <w:color w:val="auto"/>
        </w:rPr>
      </w:pPr>
      <w:r>
        <w:rPr>
          <w:rFonts w:eastAsia="Arial" w:cs="Arial" w:ascii="Arial" w:hAnsi="Arial"/>
          <w:b/>
          <w:color w:val="auto"/>
        </w:rPr>
        <w:t>(Índice de tasa de crecimiento promedio e Índice de participación promedio)</w:t>
      </w:r>
    </w:p>
    <w:p>
      <w:pPr>
        <w:pStyle w:val="normal1"/>
        <w:spacing w:lineRule="auto" w:line="360"/>
        <w:jc w:val="center"/>
        <w:rPr>
          <w:rFonts w:ascii="Arial" w:hAnsi="Arial" w:eastAsia="Arial" w:cs="Arial"/>
          <w:b/>
          <w:color w:val="auto"/>
        </w:rPr>
      </w:pPr>
      <w:r>
        <w:rPr>
          <w:rFonts w:eastAsia="Arial" w:cs="Arial" w:ascii="Arial" w:hAnsi="Arial"/>
          <w:b/>
          <w:color w:val="auto"/>
        </w:rPr>
      </w:r>
    </w:p>
    <w:p>
      <w:pPr>
        <w:pStyle w:val="normal1"/>
        <w:spacing w:lineRule="auto" w:line="240" w:before="0" w:after="0"/>
        <w:jc w:val="center"/>
        <w:rPr>
          <w:color w:val="auto"/>
        </w:rPr>
      </w:pPr>
      <w:r>
        <w:rPr>
          <w:color w:val="auto"/>
        </w:rPr>
        <w:drawing>
          <wp:inline distT="0" distB="0" distL="0" distR="0">
            <wp:extent cx="5486400" cy="3568700"/>
            <wp:effectExtent l="0" t="0" r="0" b="0"/>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5"/>
                    <a:stretch>
                      <a:fillRect/>
                    </a:stretch>
                  </pic:blipFill>
                  <pic:spPr bwMode="auto">
                    <a:xfrm>
                      <a:off x="0" y="0"/>
                      <a:ext cx="5486400" cy="3568700"/>
                    </a:xfrm>
                    <a:prstGeom prst="rect">
                      <a:avLst/>
                    </a:prstGeom>
                    <a:noFill/>
                  </pic:spPr>
                </pic:pic>
              </a:graphicData>
            </a:graphic>
          </wp:inline>
        </w:drawing>
      </w:r>
    </w:p>
    <w:p>
      <w:pPr>
        <w:pStyle w:val="normal1"/>
        <w:spacing w:lineRule="auto" w:line="360" w:before="0" w:after="0"/>
        <w:ind w:hanging="0" w:left="709"/>
        <w:rPr>
          <w:color w:val="auto"/>
        </w:rPr>
      </w:pPr>
      <w:r>
        <w:rPr>
          <w:rFonts w:eastAsia="Arial" w:cs="Arial" w:ascii="Arial" w:hAnsi="Arial"/>
          <w:color w:val="auto"/>
          <w:sz w:val="16"/>
          <w:szCs w:val="16"/>
        </w:rPr>
        <w:t>Fuente: Trademap</w:t>
      </w:r>
    </w:p>
    <w:p>
      <w:pPr>
        <w:pStyle w:val="normal1"/>
        <w:spacing w:lineRule="auto" w:line="360" w:before="0" w:after="0"/>
        <w:ind w:hanging="0" w:left="709"/>
        <w:rPr>
          <w:color w:val="auto"/>
        </w:rPr>
      </w:pPr>
      <w:r>
        <w:rPr>
          <w:rFonts w:eastAsia="Arial" w:cs="Arial" w:ascii="Arial" w:hAnsi="Arial"/>
          <w:color w:val="auto"/>
          <w:sz w:val="16"/>
          <w:szCs w:val="16"/>
        </w:rPr>
        <w:t>Elaboración: Propia</w:t>
      </w:r>
    </w:p>
    <w:p>
      <w:pPr>
        <w:pStyle w:val="normal1"/>
        <w:spacing w:lineRule="auto" w:line="360" w:before="0" w:after="0"/>
        <w:jc w:val="both"/>
        <w:rPr>
          <w:rFonts w:ascii="Arial" w:hAnsi="Arial" w:eastAsia="Arial" w:cs="Arial"/>
          <w:color w:val="auto"/>
        </w:rPr>
      </w:pPr>
      <w:r>
        <w:rPr>
          <w:rFonts w:eastAsia="Arial" w:cs="Arial" w:ascii="Arial" w:hAnsi="Arial"/>
          <w:color w:val="auto"/>
        </w:rPr>
      </w:r>
    </w:p>
    <w:p>
      <w:pPr>
        <w:pStyle w:val="normal1"/>
        <w:spacing w:lineRule="auto" w:line="360"/>
        <w:jc w:val="both"/>
        <w:rPr>
          <w:color w:val="auto"/>
        </w:rPr>
      </w:pPr>
      <w:r>
        <w:rPr>
          <w:rFonts w:eastAsia="Arial" w:cs="Arial" w:ascii="Arial" w:hAnsi="Arial"/>
          <w:color w:val="auto"/>
        </w:rPr>
        <w:t>Los países ubicados en el segmento consolidado, cuentan con una participación positiva; sin embargo, tienen una tasa de crecimiento negativa, es decir, que en el periodo el 2020-2024 las importaciones no han experimentado un crecimiento sostenible. En este segmento se encuentran países como India, Francia, Reino Unido, España, México, entre otros.</w:t>
      </w:r>
    </w:p>
    <w:p>
      <w:pPr>
        <w:pStyle w:val="normal1"/>
        <w:spacing w:lineRule="auto" w:line="360" w:before="0" w:after="0"/>
        <w:jc w:val="right"/>
        <w:rPr>
          <w:rFonts w:ascii="Arial" w:hAnsi="Arial" w:eastAsia="Arial" w:cs="Arial"/>
          <w:color w:val="auto"/>
        </w:rPr>
      </w:pPr>
      <w:r>
        <w:rPr>
          <w:rFonts w:eastAsia="Arial" w:cs="Arial" w:ascii="Arial" w:hAnsi="Arial"/>
          <w:color w:val="auto"/>
        </w:rPr>
      </w:r>
    </w:p>
    <w:p>
      <w:pPr>
        <w:pStyle w:val="normal1"/>
        <w:spacing w:lineRule="auto" w:line="276" w:before="0" w:after="0"/>
        <w:jc w:val="center"/>
        <w:rPr>
          <w:color w:val="auto"/>
        </w:rPr>
      </w:pPr>
      <w:r>
        <w:rPr>
          <w:rFonts w:eastAsia="Arial" w:cs="Arial" w:ascii="Arial" w:hAnsi="Arial"/>
          <w:b/>
          <w:color w:val="auto"/>
        </w:rPr>
        <w:t>Gráfico Nª 1.3.3.</w:t>
      </w:r>
    </w:p>
    <w:p>
      <w:pPr>
        <w:pStyle w:val="normal1"/>
        <w:spacing w:lineRule="auto" w:line="240" w:before="0" w:after="0"/>
        <w:jc w:val="center"/>
        <w:rPr>
          <w:color w:val="auto"/>
        </w:rPr>
      </w:pPr>
      <w:r>
        <w:rPr>
          <w:rFonts w:eastAsia="Arial" w:cs="Arial" w:ascii="Arial" w:hAnsi="Arial"/>
          <w:b/>
          <w:color w:val="auto"/>
        </w:rPr>
        <w:t>Metodología Cepal por Segmento - Consolidado</w:t>
      </w:r>
    </w:p>
    <w:p>
      <w:pPr>
        <w:pStyle w:val="normal1"/>
        <w:spacing w:lineRule="auto" w:line="240" w:before="0" w:after="0"/>
        <w:jc w:val="center"/>
        <w:rPr>
          <w:color w:val="auto"/>
        </w:rPr>
      </w:pPr>
      <w:r>
        <w:rPr>
          <w:rFonts w:eastAsia="Arial" w:cs="Arial" w:ascii="Arial" w:hAnsi="Arial"/>
          <w:b/>
          <w:color w:val="auto"/>
        </w:rPr>
        <w:t>(Índice de tasa de crecimiento promedio e Índice de participación promedio)</w:t>
      </w:r>
    </w:p>
    <w:p>
      <w:pPr>
        <w:pStyle w:val="normal1"/>
        <w:spacing w:lineRule="auto" w:line="360"/>
        <w:jc w:val="center"/>
        <w:rPr>
          <w:color w:val="auto"/>
        </w:rPr>
      </w:pPr>
      <w:r>
        <w:rPr>
          <w:color w:val="auto"/>
        </w:rPr>
        <w:drawing>
          <wp:inline distT="0" distB="0" distL="0" distR="0">
            <wp:extent cx="5486400" cy="3302000"/>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6"/>
                    <a:stretch>
                      <a:fillRect/>
                    </a:stretch>
                  </pic:blipFill>
                  <pic:spPr bwMode="auto">
                    <a:xfrm>
                      <a:off x="0" y="0"/>
                      <a:ext cx="5486400" cy="3302000"/>
                    </a:xfrm>
                    <a:prstGeom prst="rect">
                      <a:avLst/>
                    </a:prstGeom>
                    <a:noFill/>
                  </pic:spPr>
                </pic:pic>
              </a:graphicData>
            </a:graphic>
          </wp:inline>
        </w:drawing>
      </w:r>
    </w:p>
    <w:p>
      <w:pPr>
        <w:pStyle w:val="normal1"/>
        <w:spacing w:lineRule="auto" w:line="240" w:before="0" w:after="0"/>
        <w:jc w:val="center"/>
        <w:rPr>
          <w:rFonts w:ascii="Arial" w:hAnsi="Arial" w:eastAsia="Arial" w:cs="Arial"/>
          <w:color w:val="auto"/>
        </w:rPr>
      </w:pPr>
      <w:r>
        <w:rPr>
          <w:rFonts w:eastAsia="Arial" w:cs="Arial" w:ascii="Arial" w:hAnsi="Arial"/>
          <w:color w:val="auto"/>
        </w:rPr>
      </w:r>
    </w:p>
    <w:p>
      <w:pPr>
        <w:pStyle w:val="normal1"/>
        <w:spacing w:lineRule="auto" w:line="360" w:before="0" w:after="0"/>
        <w:ind w:hanging="0" w:left="709"/>
        <w:rPr>
          <w:color w:val="auto"/>
        </w:rPr>
      </w:pPr>
      <w:r>
        <w:rPr>
          <w:rFonts w:eastAsia="Arial" w:cs="Arial" w:ascii="Arial" w:hAnsi="Arial"/>
          <w:color w:val="auto"/>
          <w:sz w:val="16"/>
          <w:szCs w:val="16"/>
        </w:rPr>
        <w:t>Fuente: Trademap</w:t>
      </w:r>
    </w:p>
    <w:p>
      <w:pPr>
        <w:pStyle w:val="normal1"/>
        <w:spacing w:lineRule="auto" w:line="360" w:before="0" w:after="0"/>
        <w:ind w:hanging="0" w:left="709"/>
        <w:rPr>
          <w:color w:val="auto"/>
        </w:rPr>
      </w:pPr>
      <w:r>
        <w:rPr>
          <w:rFonts w:eastAsia="Arial" w:cs="Arial" w:ascii="Arial" w:hAnsi="Arial"/>
          <w:color w:val="auto"/>
          <w:sz w:val="16"/>
          <w:szCs w:val="16"/>
        </w:rPr>
        <w:t>Elaboración: Propia</w:t>
      </w:r>
    </w:p>
    <w:p>
      <w:pPr>
        <w:pStyle w:val="normal1"/>
        <w:spacing w:lineRule="auto" w:line="360" w:before="0" w:after="0"/>
        <w:jc w:val="both"/>
        <w:rPr>
          <w:rFonts w:ascii="Arial" w:hAnsi="Arial" w:eastAsia="Arial" w:cs="Arial"/>
          <w:color w:val="auto"/>
        </w:rPr>
      </w:pPr>
      <w:r>
        <w:rPr>
          <w:rFonts w:eastAsia="Arial" w:cs="Arial" w:ascii="Arial" w:hAnsi="Arial"/>
          <w:color w:val="auto"/>
        </w:rPr>
      </w:r>
    </w:p>
    <w:p>
      <w:pPr>
        <w:pStyle w:val="normal1"/>
        <w:spacing w:lineRule="auto" w:line="360" w:before="0" w:after="0"/>
        <w:jc w:val="both"/>
        <w:rPr>
          <w:color w:val="auto"/>
        </w:rPr>
      </w:pPr>
      <w:r>
        <w:rPr>
          <w:rFonts w:eastAsia="Arial" w:cs="Arial" w:ascii="Arial" w:hAnsi="Arial"/>
          <w:color w:val="auto"/>
        </w:rPr>
        <w:t>El segmento estancado representa mercados con una participación y una tasa de crecimiento negativas, en este segmento se encuentran mercados con poco potencial para la empresa, ya que no cuentan con importaciones constantes y sostenibles. En este segmento se encuentran países como Mauricio, Francia, Ecuador, Bélgica, Nepal, Sudán y Madagascar.</w:t>
      </w:r>
    </w:p>
    <w:p>
      <w:pPr>
        <w:pStyle w:val="normal1"/>
        <w:spacing w:lineRule="auto" w:line="360" w:before="0" w:after="0"/>
        <w:jc w:val="center"/>
        <w:rPr>
          <w:rFonts w:ascii="Arial" w:hAnsi="Arial" w:eastAsia="Arial" w:cs="Arial"/>
          <w:b/>
          <w:color w:val="auto"/>
        </w:rPr>
      </w:pPr>
      <w:r>
        <w:rPr>
          <w:rFonts w:eastAsia="Arial" w:cs="Arial" w:ascii="Arial" w:hAnsi="Arial"/>
          <w:b/>
          <w:color w:val="auto"/>
        </w:rPr>
      </w:r>
    </w:p>
    <w:p>
      <w:pPr>
        <w:pStyle w:val="normal1"/>
        <w:spacing w:lineRule="auto" w:line="276" w:before="0" w:after="0"/>
        <w:jc w:val="center"/>
        <w:rPr>
          <w:color w:val="auto"/>
        </w:rPr>
      </w:pPr>
      <w:r>
        <w:rPr>
          <w:rFonts w:eastAsia="Arial" w:cs="Arial" w:ascii="Arial" w:hAnsi="Arial"/>
          <w:b/>
          <w:color w:val="auto"/>
        </w:rPr>
        <w:t>Gráfico Nª 1.3.4.</w:t>
      </w:r>
    </w:p>
    <w:p>
      <w:pPr>
        <w:pStyle w:val="normal1"/>
        <w:spacing w:lineRule="auto" w:line="240" w:before="0" w:after="0"/>
        <w:jc w:val="center"/>
        <w:rPr>
          <w:color w:val="auto"/>
        </w:rPr>
      </w:pPr>
      <w:r>
        <w:rPr>
          <w:rFonts w:eastAsia="Arial" w:cs="Arial" w:ascii="Arial" w:hAnsi="Arial"/>
          <w:b/>
          <w:color w:val="auto"/>
        </w:rPr>
        <w:t>Metodología Cepal por Segmento - Estancado</w:t>
      </w:r>
    </w:p>
    <w:p>
      <w:pPr>
        <w:pStyle w:val="normal1"/>
        <w:jc w:val="center"/>
        <w:rPr>
          <w:color w:val="auto"/>
        </w:rPr>
      </w:pPr>
      <w:r>
        <w:rPr>
          <w:rFonts w:eastAsia="Arial" w:cs="Arial" w:ascii="Arial" w:hAnsi="Arial"/>
          <w:b/>
          <w:color w:val="auto"/>
        </w:rPr>
        <w:t>(Índice de tasa de crecimiento promedio e Índice de participación promedio)</w:t>
      </w:r>
    </w:p>
    <w:p>
      <w:pPr>
        <w:pStyle w:val="normal1"/>
        <w:spacing w:lineRule="auto" w:line="360" w:before="0" w:after="0"/>
        <w:jc w:val="center"/>
        <w:rPr>
          <w:color w:val="auto"/>
        </w:rPr>
      </w:pPr>
      <w:r>
        <w:rPr>
          <w:color w:val="auto"/>
        </w:rPr>
        <w:drawing>
          <wp:inline distT="0" distB="0" distL="0" distR="0">
            <wp:extent cx="4681220" cy="292608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7"/>
                    <a:stretch>
                      <a:fillRect/>
                    </a:stretch>
                  </pic:blipFill>
                  <pic:spPr bwMode="auto">
                    <a:xfrm>
                      <a:off x="0" y="0"/>
                      <a:ext cx="4681220" cy="2926080"/>
                    </a:xfrm>
                    <a:prstGeom prst="rect">
                      <a:avLst/>
                    </a:prstGeom>
                    <a:noFill/>
                  </pic:spPr>
                </pic:pic>
              </a:graphicData>
            </a:graphic>
          </wp:inline>
        </w:drawing>
      </w:r>
    </w:p>
    <w:p>
      <w:pPr>
        <w:pStyle w:val="normal1"/>
        <w:spacing w:lineRule="auto" w:line="360" w:before="0" w:after="0"/>
        <w:ind w:hanging="0" w:left="709"/>
        <w:rPr>
          <w:color w:val="auto"/>
        </w:rPr>
      </w:pPr>
      <w:r>
        <w:rPr>
          <w:rFonts w:eastAsia="Arial" w:cs="Arial" w:ascii="Arial" w:hAnsi="Arial"/>
          <w:color w:val="auto"/>
          <w:sz w:val="16"/>
          <w:szCs w:val="16"/>
        </w:rPr>
        <w:t>Fuente: Trademap</w:t>
      </w:r>
    </w:p>
    <w:p>
      <w:pPr>
        <w:pStyle w:val="normal1"/>
        <w:spacing w:lineRule="auto" w:line="360" w:before="0" w:after="0"/>
        <w:ind w:hanging="0" w:left="709"/>
        <w:rPr>
          <w:color w:val="auto"/>
        </w:rPr>
      </w:pPr>
      <w:r>
        <w:rPr>
          <w:rFonts w:eastAsia="Arial" w:cs="Arial" w:ascii="Arial" w:hAnsi="Arial"/>
          <w:color w:val="auto"/>
          <w:sz w:val="16"/>
          <w:szCs w:val="16"/>
        </w:rPr>
        <w:t>Elaboración: Propia</w:t>
      </w:r>
    </w:p>
    <w:p>
      <w:pPr>
        <w:pStyle w:val="normal1"/>
        <w:spacing w:lineRule="auto" w:line="360" w:before="0" w:after="0"/>
        <w:ind w:firstLine="720"/>
        <w:rPr>
          <w:rFonts w:ascii="Arial" w:hAnsi="Arial" w:eastAsia="Arial" w:cs="Arial"/>
          <w:b/>
          <w:color w:val="auto"/>
        </w:rPr>
      </w:pPr>
      <w:r>
        <w:rPr>
          <w:rFonts w:eastAsia="Arial" w:cs="Arial" w:ascii="Arial" w:hAnsi="Arial"/>
          <w:b/>
          <w:color w:val="auto"/>
        </w:rPr>
      </w:r>
    </w:p>
    <w:p>
      <w:pPr>
        <w:pStyle w:val="normal1"/>
        <w:spacing w:lineRule="auto" w:line="360"/>
        <w:rPr>
          <w:color w:val="auto"/>
        </w:rPr>
      </w:pPr>
      <w:r>
        <w:rPr>
          <w:rFonts w:eastAsia="Arial" w:cs="Arial" w:ascii="Arial" w:hAnsi="Arial"/>
          <w:b/>
          <w:color w:val="auto"/>
        </w:rPr>
        <w:t xml:space="preserve">1.4 Número de requisitos de acceso a los mercados internacionales </w:t>
      </w:r>
    </w:p>
    <w:p>
      <w:pPr>
        <w:pStyle w:val="normal1"/>
        <w:spacing w:lineRule="auto" w:line="360"/>
        <w:jc w:val="both"/>
        <w:rPr>
          <w:color w:val="auto"/>
        </w:rPr>
      </w:pPr>
      <w:r>
        <w:rPr>
          <w:rFonts w:eastAsia="Arial" w:cs="Arial" w:ascii="Arial" w:hAnsi="Arial"/>
          <w:color w:val="auto"/>
        </w:rPr>
        <w:t>De acuerdo al análisis de los mercados realizado en los apartados anteriores se propone a la empresa la siguiente lista de mercados. Para este análisis se consideró los intereses de la empresa, ya que actualmente quieres ingresar a Estados Unidos de manera directa, actualmente vienen exportando a Ecuador, quienes a la vez exportan a EE.UU., además este país se encuentra dentro del segmento Estrella al igual que Países Bajos, se propone también España por el alto consumo del producto. Por lo antes mencionado, se propone a la empresa la siguiente lista de mercados:</w:t>
      </w:r>
    </w:p>
    <w:p>
      <w:pPr>
        <w:pStyle w:val="normal1"/>
        <w:widowControl w:val="false"/>
        <w:spacing w:lineRule="auto" w:line="360"/>
        <w:ind w:right="-5"/>
        <w:rPr>
          <w:color w:val="auto"/>
        </w:rPr>
      </w:pPr>
      <w:r>
        <w:rPr>
          <w:rFonts w:eastAsia="Arial" w:cs="Arial" w:ascii="Arial" w:hAnsi="Arial"/>
          <w:b/>
          <w:color w:val="auto"/>
        </w:rPr>
        <w:t>Estados Unidos:</w:t>
      </w:r>
    </w:p>
    <w:p>
      <w:pPr>
        <w:pStyle w:val="normal1"/>
        <w:widowControl w:val="false"/>
        <w:numPr>
          <w:ilvl w:val="0"/>
          <w:numId w:val="2"/>
        </w:numPr>
        <w:spacing w:lineRule="auto" w:line="360" w:before="0" w:after="0"/>
        <w:ind w:hanging="360" w:left="720" w:right="-5"/>
        <w:jc w:val="both"/>
        <w:rPr>
          <w:color w:val="auto"/>
        </w:rPr>
      </w:pPr>
      <w:r>
        <w:rPr>
          <w:rFonts w:eastAsia="Arial" w:cs="Arial" w:ascii="Arial" w:hAnsi="Arial"/>
          <w:color w:val="auto"/>
        </w:rPr>
        <w:t xml:space="preserve">Existe un Tratado de Libre Comercio (TLC) entre Perú y Estados Unidos, vigente desde 2009, este acuerdo eliminó aranceles para la mayoría de los productos. Sin embargo, se ha anunciado un arancel del 10% para las importaciones de varios productos peruanos, por parte de Estados Unidos. </w:t>
      </w:r>
    </w:p>
    <w:p>
      <w:pPr>
        <w:pStyle w:val="normal1"/>
        <w:widowControl w:val="false"/>
        <w:numPr>
          <w:ilvl w:val="0"/>
          <w:numId w:val="2"/>
        </w:numPr>
        <w:spacing w:lineRule="auto" w:line="360"/>
        <w:ind w:hanging="360" w:left="720" w:right="-5"/>
        <w:jc w:val="both"/>
        <w:rPr>
          <w:color w:val="auto"/>
        </w:rPr>
      </w:pPr>
      <w:r>
        <w:rPr>
          <w:rFonts w:eastAsia="Arial" w:cs="Arial" w:ascii="Arial" w:hAnsi="Arial"/>
          <w:color w:val="auto"/>
        </w:rPr>
        <w:t>Cuenta con 62 medidas no arancelarias para el ingreso a este mercado (Market Access Map, 2024)</w:t>
      </w:r>
    </w:p>
    <w:p>
      <w:pPr>
        <w:pStyle w:val="normal1"/>
        <w:widowControl w:val="false"/>
        <w:spacing w:lineRule="auto" w:line="360"/>
        <w:ind w:right="-5"/>
        <w:rPr>
          <w:color w:val="auto"/>
        </w:rPr>
      </w:pPr>
      <w:r>
        <w:rPr>
          <w:rFonts w:eastAsia="Arial" w:cs="Arial" w:ascii="Arial" w:hAnsi="Arial"/>
          <w:b/>
          <w:color w:val="auto"/>
        </w:rPr>
        <w:t xml:space="preserve">Países Bajos </w:t>
      </w:r>
    </w:p>
    <w:p>
      <w:pPr>
        <w:pStyle w:val="normal1"/>
        <w:widowControl w:val="false"/>
        <w:numPr>
          <w:ilvl w:val="0"/>
          <w:numId w:val="2"/>
        </w:numPr>
        <w:spacing w:lineRule="auto" w:line="360"/>
        <w:ind w:hanging="360" w:left="720" w:right="-5"/>
        <w:jc w:val="both"/>
        <w:rPr>
          <w:color w:val="auto"/>
        </w:rPr>
      </w:pPr>
      <w:r>
        <w:rPr>
          <w:rFonts w:eastAsia="Arial" w:cs="Arial" w:ascii="Arial" w:hAnsi="Arial"/>
          <w:color w:val="auto"/>
        </w:rPr>
        <w:t xml:space="preserve">El Acuerdo Comercial Perú-Unión Europea, del cual Países Bajos es miembro, ha sido un impulsor clave de estas relaciones, facilitando el acceso preferencial a los mercados. </w:t>
      </w:r>
    </w:p>
    <w:p>
      <w:pPr>
        <w:pStyle w:val="normal1"/>
        <w:widowControl w:val="false"/>
        <w:numPr>
          <w:ilvl w:val="0"/>
          <w:numId w:val="2"/>
        </w:numPr>
        <w:spacing w:lineRule="auto" w:line="360"/>
        <w:ind w:hanging="360" w:left="720" w:right="-5"/>
        <w:jc w:val="both"/>
        <w:rPr>
          <w:color w:val="auto"/>
        </w:rPr>
      </w:pPr>
      <w:r>
        <w:rPr>
          <w:rFonts w:eastAsia="Arial" w:cs="Arial" w:ascii="Arial" w:hAnsi="Arial"/>
          <w:color w:val="auto"/>
        </w:rPr>
        <w:t>Cuenta con 35 medidas no arancelarias para el ingreso a este mercado (Market Access Map, 2024)</w:t>
      </w:r>
    </w:p>
    <w:p>
      <w:pPr>
        <w:pStyle w:val="normal1"/>
        <w:widowControl w:val="false"/>
        <w:spacing w:lineRule="auto" w:line="360"/>
        <w:ind w:right="-5"/>
        <w:rPr>
          <w:color w:val="auto"/>
        </w:rPr>
      </w:pPr>
      <w:r>
        <w:rPr>
          <w:rFonts w:eastAsia="Arial" w:cs="Arial" w:ascii="Arial" w:hAnsi="Arial"/>
          <w:b/>
          <w:color w:val="auto"/>
        </w:rPr>
        <w:t>España</w:t>
      </w:r>
    </w:p>
    <w:p>
      <w:pPr>
        <w:pStyle w:val="normal1"/>
        <w:widowControl w:val="false"/>
        <w:numPr>
          <w:ilvl w:val="0"/>
          <w:numId w:val="2"/>
        </w:numPr>
        <w:spacing w:lineRule="auto" w:line="360"/>
        <w:ind w:hanging="360" w:left="720" w:right="-5"/>
        <w:jc w:val="both"/>
        <w:rPr>
          <w:color w:val="auto"/>
        </w:rPr>
      </w:pPr>
      <w:r>
        <w:rPr>
          <w:rFonts w:eastAsia="Arial" w:cs="Arial" w:ascii="Arial" w:hAnsi="Arial"/>
          <w:color w:val="auto"/>
        </w:rPr>
        <w:t xml:space="preserve">El Acuerdo Comercial Perú-Unión Europea, del cual Países Bajos es miembro, ha sido un impulsor clave de estas relaciones, facilitando el acceso preferencial a los mercados. </w:t>
      </w:r>
    </w:p>
    <w:p>
      <w:pPr>
        <w:pStyle w:val="normal1"/>
        <w:widowControl w:val="false"/>
        <w:numPr>
          <w:ilvl w:val="0"/>
          <w:numId w:val="2"/>
        </w:numPr>
        <w:spacing w:lineRule="auto" w:line="360"/>
        <w:ind w:hanging="360" w:left="720" w:right="-5"/>
        <w:jc w:val="both"/>
        <w:rPr>
          <w:color w:val="auto"/>
        </w:rPr>
      </w:pPr>
      <w:r>
        <w:rPr>
          <w:rFonts w:eastAsia="Arial" w:cs="Arial" w:ascii="Arial" w:hAnsi="Arial"/>
          <w:color w:val="auto"/>
        </w:rPr>
        <w:t>Cuenta con 35 medidas no arancelarias para el ingreso a este mercado (Market Access Map, 2024)</w:t>
      </w:r>
    </w:p>
    <w:p>
      <w:pPr>
        <w:pStyle w:val="normal1"/>
        <w:spacing w:lineRule="auto" w:line="360"/>
        <w:rPr>
          <w:color w:val="auto"/>
        </w:rPr>
      </w:pPr>
      <w:bookmarkStart w:id="0" w:name="_heading=h.yivatov80mt0"/>
      <w:bookmarkEnd w:id="0"/>
      <w:r>
        <w:rPr>
          <w:rFonts w:eastAsia="Arial" w:cs="Arial" w:ascii="Arial" w:hAnsi="Arial"/>
          <w:b/>
          <w:color w:val="auto"/>
        </w:rPr>
        <w:t>1.5 Principales variables macroeconómicas de cada país.</w:t>
      </w:r>
    </w:p>
    <w:p>
      <w:pPr>
        <w:pStyle w:val="normal1"/>
        <w:spacing w:lineRule="auto" w:line="360"/>
        <w:jc w:val="both"/>
        <w:rPr>
          <w:color w:val="auto"/>
        </w:rPr>
      </w:pPr>
      <w:r>
        <w:rPr>
          <w:rFonts w:eastAsia="Arial" w:cs="Arial" w:ascii="Arial" w:hAnsi="Arial"/>
          <w:color w:val="auto"/>
        </w:rPr>
        <w:t>En esta sección se analizarán los principales factores macroeconómicos que tienen el potencial de influir en el desempeño del país en distintos aspectos. Se utilizarán 8 variables, dentro de las cuales se mostrará el desempeño económico, la población, las importaciones y exportaciones y el ingreso per cápita de cada país de interés.</w:t>
      </w:r>
    </w:p>
    <w:p>
      <w:pPr>
        <w:pStyle w:val="normal1"/>
        <w:spacing w:lineRule="auto" w:line="360"/>
        <w:jc w:val="both"/>
        <w:rPr>
          <w:color w:val="auto"/>
        </w:rPr>
      </w:pPr>
      <w:r>
        <w:rPr>
          <w:rFonts w:eastAsia="Arial" w:cs="Arial" w:ascii="Arial" w:hAnsi="Arial"/>
          <w:color w:val="auto"/>
        </w:rPr>
        <w:t>Tras la contracción en 2020 (-0.02%), EE.UU. ha mostrado un crecimiento sostenido, estabilizándose en torno al 2.8% anual en 2023 y 2024, lo que refleja una economía sólida y en expansión, favorable para el consumo. La inflación se disparó en 2022 (8%) pero ha ido cediendo hasta llegar al 2.95% en 2024, dentro de niveles manejables.</w:t>
      </w:r>
    </w:p>
    <w:p>
      <w:pPr>
        <w:pStyle w:val="normal1"/>
        <w:spacing w:lineRule="auto" w:line="360"/>
        <w:jc w:val="both"/>
        <w:rPr>
          <w:color w:val="auto"/>
        </w:rPr>
      </w:pPr>
      <w:r>
        <w:rPr>
          <w:rFonts w:eastAsia="Arial" w:cs="Arial" w:ascii="Arial" w:hAnsi="Arial"/>
          <w:color w:val="auto"/>
        </w:rPr>
        <w:t>El desempleo, por su parte, se mantiene bajo (4.1% en 2024), lo que indica estabilidad laboral y poder adquisitivo, ambos factores que impulsan la demanda de productos como las legumbres, especialmente en segmentos premium.</w:t>
      </w:r>
    </w:p>
    <w:p>
      <w:pPr>
        <w:pStyle w:val="normal1"/>
        <w:spacing w:lineRule="auto" w:line="360"/>
        <w:jc w:val="both"/>
        <w:rPr>
          <w:color w:val="auto"/>
        </w:rPr>
      </w:pPr>
      <w:r>
        <w:rPr>
          <w:rFonts w:eastAsia="Arial" w:cs="Arial" w:ascii="Arial" w:hAnsi="Arial"/>
          <w:color w:val="auto"/>
        </w:rPr>
        <w:t>El PBI per cápita ha crecido de forma constante, alcanzando 85,812 USD en 2024, lo que posiciona a EE.UU. como un mercado de alto ingreso. La población también crece ligeramente (340 millones en 2024), ampliando la base de consumidores potenciales.</w:t>
      </w:r>
    </w:p>
    <w:p>
      <w:pPr>
        <w:pStyle w:val="normal1"/>
        <w:spacing w:lineRule="auto" w:line="360"/>
        <w:jc w:val="both"/>
        <w:rPr>
          <w:color w:val="auto"/>
        </w:rPr>
      </w:pPr>
      <w:r>
        <w:rPr>
          <w:rFonts w:eastAsia="Arial" w:cs="Arial" w:ascii="Arial" w:hAnsi="Arial"/>
          <w:color w:val="auto"/>
        </w:rPr>
        <w:t>Estados Unidos representa un mercado altamente atractivo para la exportación de legumbres como el tarwi, gracias a su gran tamaño, alto poder adquisitivo, crecimiento económico estable y fuerte dependencia de las importaciones. Las condiciones económicas proyectadas para 2024 refuerzan su posición como uno de los destinos prioritarios para exportadores que busquen acceso a consumidores exigentes y de alto consumo.</w:t>
      </w:r>
    </w:p>
    <w:p>
      <w:pPr>
        <w:pStyle w:val="normal1"/>
        <w:spacing w:lineRule="auto" w:line="360"/>
        <w:jc w:val="both"/>
        <w:rPr>
          <w:color w:val="auto"/>
        </w:rPr>
      </w:pPr>
      <w:r>
        <w:rPr>
          <w:rFonts w:eastAsia="Arial" w:cs="Arial" w:ascii="Arial" w:hAnsi="Arial"/>
          <w:color w:val="auto"/>
        </w:rPr>
        <w:t>Este panorama representa una oportunidad destacada para la exportación de tarwi bajo la partida 0713.90. El país posee una industria alimentaria altamente diversificada, con una creciente demanda por alimentos saludables, sostenibles y funcionales, donde el tarwi puede posicionarse como una alternativa proteica rica en fibra y bajo en grasas, ideal para consumidores veganos, vegetarianos o con necesidades nutricionales específicas. Además, el enfoque estadounidense hacia productos innovadores y naturales favorece la aceptación del tarwi, especialmente si se promueve como un superalimento andino. No obstante, se deben considerar exigencias normativas de la FDA, certificaciones orgánicas y estrategias de adaptación al gusto del consumidor local. En resumen, la fortaleza macroeconómica de EE.UU., junto con su cultura de consumo saludable, lo convierten en un mercado con alto potencial para el tarwi si se ingresan con valor agregado y diferenciación estratégica.</w:t>
      </w:r>
    </w:p>
    <w:p>
      <w:pPr>
        <w:pStyle w:val="Heading6"/>
        <w:widowControl w:val="false"/>
        <w:spacing w:lineRule="auto" w:line="240" w:before="0" w:after="0"/>
        <w:ind w:hanging="0" w:left="11"/>
        <w:jc w:val="center"/>
        <w:rPr>
          <w:color w:val="auto"/>
        </w:rPr>
      </w:pPr>
      <w:r>
        <w:rPr>
          <w:rFonts w:eastAsia="Arial" w:cs="Arial" w:ascii="Arial" w:hAnsi="Arial"/>
          <w:b/>
          <w:i w:val="false"/>
          <w:color w:val="auto"/>
        </w:rPr>
        <w:t>Tabla 1.5.3</w:t>
      </w:r>
    </w:p>
    <w:p>
      <w:pPr>
        <w:pStyle w:val="normal1"/>
        <w:widowControl w:val="false"/>
        <w:ind w:hanging="0" w:left="2"/>
        <w:jc w:val="center"/>
        <w:rPr>
          <w:color w:val="auto"/>
        </w:rPr>
      </w:pPr>
      <w:r>
        <w:rPr>
          <w:rFonts w:eastAsia="Arial" w:cs="Arial" w:ascii="Arial" w:hAnsi="Arial"/>
          <w:b/>
          <w:color w:val="auto"/>
        </w:rPr>
        <w:t>Indicadores macroeconómicos de Estados Unidos</w:t>
      </w:r>
    </w:p>
    <w:tbl>
      <w:tblPr>
        <w:tblStyle w:val="Table1"/>
        <w:tblW w:w="9067" w:type="dxa"/>
        <w:jc w:val="center"/>
        <w:tblInd w:w="0" w:type="dxa"/>
        <w:tblLayout w:type="fixed"/>
        <w:tblCellMar>
          <w:top w:w="0" w:type="dxa"/>
          <w:left w:w="108" w:type="dxa"/>
          <w:bottom w:w="0" w:type="dxa"/>
          <w:right w:w="108" w:type="dxa"/>
        </w:tblCellMar>
        <w:tblLook w:val="0400"/>
      </w:tblPr>
      <w:tblGrid>
        <w:gridCol w:w="2829"/>
        <w:gridCol w:w="1277"/>
        <w:gridCol w:w="1276"/>
        <w:gridCol w:w="1275"/>
        <w:gridCol w:w="1275"/>
        <w:gridCol w:w="1134"/>
      </w:tblGrid>
      <w:tr>
        <w:trPr>
          <w:trHeight w:val="288" w:hRule="atLeast"/>
        </w:trPr>
        <w:tc>
          <w:tcPr>
            <w:tcW w:w="2829" w:type="dxa"/>
            <w:tcBorders>
              <w:top w:val="single" w:sz="4" w:space="0" w:color="000000"/>
              <w:left w:val="single" w:sz="4" w:space="0" w:color="000000"/>
              <w:bottom w:val="single" w:sz="4" w:space="0" w:color="000000"/>
              <w:right w:val="single" w:sz="4" w:space="0" w:color="000000"/>
            </w:tcBorders>
            <w:shd w:fill="366091" w:val="clear"/>
            <w:vAlign w:val="center"/>
          </w:tcPr>
          <w:p>
            <w:pPr>
              <w:pStyle w:val="normal1"/>
              <w:spacing w:lineRule="auto" w:line="240" w:before="0" w:after="0"/>
              <w:jc w:val="center"/>
              <w:rPr>
                <w:color w:val="auto"/>
              </w:rPr>
            </w:pPr>
            <w:bookmarkStart w:id="1" w:name="_heading=h.sz2qn7au09l9"/>
            <w:bookmarkEnd w:id="1"/>
            <w:r>
              <w:rPr>
                <w:rFonts w:eastAsia="Arial" w:cs="Arial" w:ascii="Arial" w:hAnsi="Arial"/>
                <w:b/>
                <w:color w:val="auto"/>
                <w:sz w:val="18"/>
                <w:szCs w:val="18"/>
              </w:rPr>
              <w:t>Indicadores Económicos</w:t>
            </w:r>
          </w:p>
        </w:tc>
        <w:tc>
          <w:tcPr>
            <w:tcW w:w="1277" w:type="dxa"/>
            <w:tcBorders>
              <w:top w:val="single" w:sz="4" w:space="0" w:color="000000"/>
              <w:bottom w:val="single" w:sz="4" w:space="0" w:color="000000"/>
              <w:right w:val="single" w:sz="4" w:space="0" w:color="000000"/>
            </w:tcBorders>
            <w:shd w:fill="366091" w:val="clear"/>
            <w:vAlign w:val="center"/>
          </w:tcPr>
          <w:p>
            <w:pPr>
              <w:pStyle w:val="normal1"/>
              <w:spacing w:lineRule="auto" w:line="240" w:before="0" w:after="0"/>
              <w:jc w:val="center"/>
              <w:rPr>
                <w:color w:val="auto"/>
              </w:rPr>
            </w:pPr>
            <w:r>
              <w:rPr>
                <w:rFonts w:eastAsia="Arial" w:cs="Arial" w:ascii="Arial" w:hAnsi="Arial"/>
                <w:b/>
                <w:color w:val="auto"/>
                <w:sz w:val="18"/>
                <w:szCs w:val="18"/>
              </w:rPr>
              <w:t>2020</w:t>
            </w:r>
          </w:p>
        </w:tc>
        <w:tc>
          <w:tcPr>
            <w:tcW w:w="1276" w:type="dxa"/>
            <w:tcBorders>
              <w:top w:val="single" w:sz="4" w:space="0" w:color="000000"/>
              <w:bottom w:val="single" w:sz="4" w:space="0" w:color="000000"/>
              <w:right w:val="single" w:sz="4" w:space="0" w:color="000000"/>
            </w:tcBorders>
            <w:shd w:fill="366091" w:val="clear"/>
            <w:vAlign w:val="center"/>
          </w:tcPr>
          <w:p>
            <w:pPr>
              <w:pStyle w:val="normal1"/>
              <w:spacing w:lineRule="auto" w:line="240" w:before="0" w:after="0"/>
              <w:jc w:val="center"/>
              <w:rPr>
                <w:color w:val="auto"/>
              </w:rPr>
            </w:pPr>
            <w:r>
              <w:rPr>
                <w:rFonts w:eastAsia="Arial" w:cs="Arial" w:ascii="Arial" w:hAnsi="Arial"/>
                <w:b/>
                <w:color w:val="auto"/>
                <w:sz w:val="18"/>
                <w:szCs w:val="18"/>
              </w:rPr>
              <w:t>2021</w:t>
            </w:r>
          </w:p>
        </w:tc>
        <w:tc>
          <w:tcPr>
            <w:tcW w:w="1275" w:type="dxa"/>
            <w:tcBorders>
              <w:top w:val="single" w:sz="4" w:space="0" w:color="000000"/>
              <w:bottom w:val="single" w:sz="4" w:space="0" w:color="000000"/>
              <w:right w:val="single" w:sz="4" w:space="0" w:color="000000"/>
            </w:tcBorders>
            <w:shd w:fill="366091" w:val="clear"/>
            <w:vAlign w:val="center"/>
          </w:tcPr>
          <w:p>
            <w:pPr>
              <w:pStyle w:val="normal1"/>
              <w:spacing w:lineRule="auto" w:line="240" w:before="0" w:after="0"/>
              <w:jc w:val="center"/>
              <w:rPr>
                <w:color w:val="auto"/>
              </w:rPr>
            </w:pPr>
            <w:r>
              <w:rPr>
                <w:rFonts w:eastAsia="Arial" w:cs="Arial" w:ascii="Arial" w:hAnsi="Arial"/>
                <w:b/>
                <w:color w:val="auto"/>
                <w:sz w:val="18"/>
                <w:szCs w:val="18"/>
              </w:rPr>
              <w:t>2022</w:t>
            </w:r>
          </w:p>
        </w:tc>
        <w:tc>
          <w:tcPr>
            <w:tcW w:w="1275" w:type="dxa"/>
            <w:tcBorders>
              <w:top w:val="single" w:sz="4" w:space="0" w:color="000000"/>
              <w:bottom w:val="single" w:sz="4" w:space="0" w:color="000000"/>
              <w:right w:val="single" w:sz="4" w:space="0" w:color="000000"/>
            </w:tcBorders>
            <w:shd w:fill="366091" w:val="clear"/>
            <w:vAlign w:val="center"/>
          </w:tcPr>
          <w:p>
            <w:pPr>
              <w:pStyle w:val="normal1"/>
              <w:spacing w:lineRule="auto" w:line="240" w:before="0" w:after="0"/>
              <w:jc w:val="center"/>
              <w:rPr>
                <w:color w:val="auto"/>
              </w:rPr>
            </w:pPr>
            <w:r>
              <w:rPr>
                <w:rFonts w:eastAsia="Arial" w:cs="Arial" w:ascii="Arial" w:hAnsi="Arial"/>
                <w:b/>
                <w:color w:val="auto"/>
                <w:sz w:val="18"/>
                <w:szCs w:val="18"/>
              </w:rPr>
              <w:t>2023</w:t>
            </w:r>
          </w:p>
        </w:tc>
        <w:tc>
          <w:tcPr>
            <w:tcW w:w="1134" w:type="dxa"/>
            <w:tcBorders>
              <w:top w:val="single" w:sz="4" w:space="0" w:color="000000"/>
              <w:bottom w:val="single" w:sz="4" w:space="0" w:color="000000"/>
              <w:right w:val="single" w:sz="4" w:space="0" w:color="000000"/>
            </w:tcBorders>
            <w:shd w:fill="366091" w:val="clear"/>
            <w:vAlign w:val="center"/>
          </w:tcPr>
          <w:p>
            <w:pPr>
              <w:pStyle w:val="normal1"/>
              <w:spacing w:lineRule="auto" w:line="240" w:before="0" w:after="0"/>
              <w:jc w:val="center"/>
              <w:rPr>
                <w:color w:val="auto"/>
              </w:rPr>
            </w:pPr>
            <w:r>
              <w:rPr>
                <w:rFonts w:eastAsia="Arial" w:cs="Arial" w:ascii="Arial" w:hAnsi="Arial"/>
                <w:b/>
                <w:color w:val="auto"/>
                <w:sz w:val="18"/>
                <w:szCs w:val="18"/>
              </w:rPr>
              <w:t>2024</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Crecimiento real del PBI (%)</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-0</w:t>
            </w:r>
            <w:r>
              <w:rPr>
                <w:rFonts w:eastAsia="Arial" w:cs="Arial" w:ascii="Arial" w:hAnsi="Arial"/>
                <w:color w:val="auto"/>
              </w:rPr>
              <w:t>.</w:t>
            </w:r>
            <w:r>
              <w:rPr>
                <w:rFonts w:eastAsia="Arial" w:cs="Arial" w:ascii="Arial" w:hAnsi="Arial"/>
                <w:color w:val="auto"/>
              </w:rPr>
              <w:t>02</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6</w:t>
            </w:r>
            <w:r>
              <w:rPr>
                <w:rFonts w:eastAsia="Arial" w:cs="Arial" w:ascii="Arial" w:hAnsi="Arial"/>
                <w:color w:val="auto"/>
              </w:rPr>
              <w:t>.</w:t>
            </w:r>
            <w:r>
              <w:rPr>
                <w:rFonts w:eastAsia="Arial" w:cs="Arial" w:ascii="Arial" w:hAnsi="Arial"/>
                <w:color w:val="auto"/>
              </w:rPr>
              <w:t>06</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51</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89</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82</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Inflación (%)</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1</w:t>
            </w:r>
            <w:r>
              <w:rPr>
                <w:rFonts w:eastAsia="Arial" w:cs="Arial" w:ascii="Arial" w:hAnsi="Arial"/>
                <w:color w:val="auto"/>
              </w:rPr>
              <w:t>.</w:t>
            </w:r>
            <w:r>
              <w:rPr>
                <w:rFonts w:eastAsia="Arial" w:cs="Arial" w:ascii="Arial" w:hAnsi="Arial"/>
                <w:color w:val="auto"/>
              </w:rPr>
              <w:t>23</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4</w:t>
            </w:r>
            <w:r>
              <w:rPr>
                <w:rFonts w:eastAsia="Arial" w:cs="Arial" w:ascii="Arial" w:hAnsi="Arial"/>
                <w:color w:val="auto"/>
              </w:rPr>
              <w:t>.</w:t>
            </w:r>
            <w:r>
              <w:rPr>
                <w:rFonts w:eastAsia="Arial" w:cs="Arial" w:ascii="Arial" w:hAnsi="Arial"/>
                <w:color w:val="auto"/>
              </w:rPr>
              <w:t>70</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8</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4</w:t>
            </w:r>
            <w:r>
              <w:rPr>
                <w:rFonts w:eastAsia="Arial" w:cs="Arial" w:ascii="Arial" w:hAnsi="Arial"/>
                <w:color w:val="auto"/>
              </w:rPr>
              <w:t>.</w:t>
            </w:r>
            <w:r>
              <w:rPr>
                <w:rFonts w:eastAsia="Arial" w:cs="Arial" w:ascii="Arial" w:hAnsi="Arial"/>
                <w:color w:val="auto"/>
              </w:rPr>
              <w:t>12</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95</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desempleo (%)</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8</w:t>
            </w:r>
            <w:r>
              <w:rPr>
                <w:rFonts w:eastAsia="Arial" w:cs="Arial" w:ascii="Arial" w:hAnsi="Arial"/>
                <w:color w:val="auto"/>
              </w:rPr>
              <w:t>.</w:t>
            </w:r>
            <w:r>
              <w:rPr>
                <w:rFonts w:eastAsia="Arial" w:cs="Arial" w:ascii="Arial" w:hAnsi="Arial"/>
                <w:color w:val="auto"/>
              </w:rPr>
              <w:t>06</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5</w:t>
            </w:r>
            <w:r>
              <w:rPr>
                <w:rFonts w:eastAsia="Arial" w:cs="Arial" w:ascii="Arial" w:hAnsi="Arial"/>
                <w:color w:val="auto"/>
              </w:rPr>
              <w:t>.</w:t>
            </w:r>
            <w:r>
              <w:rPr>
                <w:rFonts w:eastAsia="Arial" w:cs="Arial" w:ascii="Arial" w:hAnsi="Arial"/>
                <w:color w:val="auto"/>
              </w:rPr>
              <w:t>35</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w:t>
            </w:r>
            <w:r>
              <w:rPr>
                <w:rFonts w:eastAsia="Arial" w:cs="Arial" w:ascii="Arial" w:hAnsi="Arial"/>
                <w:color w:val="auto"/>
              </w:rPr>
              <w:t>.</w:t>
            </w:r>
            <w:r>
              <w:rPr>
                <w:rFonts w:eastAsia="Arial" w:cs="Arial" w:ascii="Arial" w:hAnsi="Arial"/>
                <w:color w:val="auto"/>
              </w:rPr>
              <w:t>65</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w:t>
            </w:r>
            <w:r>
              <w:rPr>
                <w:rFonts w:eastAsia="Arial" w:cs="Arial" w:ascii="Arial" w:hAnsi="Arial"/>
                <w:color w:val="auto"/>
              </w:rPr>
              <w:t>.</w:t>
            </w:r>
            <w:r>
              <w:rPr>
                <w:rFonts w:eastAsia="Arial" w:cs="Arial" w:ascii="Arial" w:hAnsi="Arial"/>
                <w:color w:val="auto"/>
              </w:rPr>
              <w:t>64</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4</w:t>
            </w:r>
            <w:r>
              <w:rPr>
                <w:rFonts w:eastAsia="Arial" w:cs="Arial" w:ascii="Arial" w:hAnsi="Arial"/>
                <w:color w:val="auto"/>
              </w:rPr>
              <w:t>.</w:t>
            </w:r>
            <w:r>
              <w:rPr>
                <w:rFonts w:eastAsia="Arial" w:cs="Arial" w:ascii="Arial" w:hAnsi="Arial"/>
                <w:color w:val="auto"/>
              </w:rPr>
              <w:t>10</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crecimiento poblacional (%)</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0</w:t>
            </w:r>
            <w:r>
              <w:rPr>
                <w:rFonts w:eastAsia="Arial" w:cs="Arial" w:ascii="Arial" w:hAnsi="Arial"/>
                <w:color w:val="auto"/>
              </w:rPr>
              <w:t>.</w:t>
            </w:r>
            <w:r>
              <w:rPr>
                <w:rFonts w:eastAsia="Arial" w:cs="Arial" w:ascii="Arial" w:hAnsi="Arial"/>
                <w:color w:val="auto"/>
              </w:rPr>
              <w:t>97</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0</w:t>
            </w:r>
            <w:r>
              <w:rPr>
                <w:rFonts w:eastAsia="Arial" w:cs="Arial" w:ascii="Arial" w:hAnsi="Arial"/>
                <w:color w:val="auto"/>
              </w:rPr>
              <w:t>.</w:t>
            </w:r>
            <w:r>
              <w:rPr>
                <w:rFonts w:eastAsia="Arial" w:cs="Arial" w:ascii="Arial" w:hAnsi="Arial"/>
                <w:color w:val="auto"/>
              </w:rPr>
              <w:t>16</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0</w:t>
            </w:r>
            <w:r>
              <w:rPr>
                <w:rFonts w:eastAsia="Arial" w:cs="Arial" w:ascii="Arial" w:hAnsi="Arial"/>
                <w:color w:val="auto"/>
              </w:rPr>
              <w:t>.</w:t>
            </w:r>
            <w:r>
              <w:rPr>
                <w:rFonts w:eastAsia="Arial" w:cs="Arial" w:ascii="Arial" w:hAnsi="Arial"/>
                <w:color w:val="auto"/>
              </w:rPr>
              <w:t>37</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0</w:t>
            </w:r>
            <w:r>
              <w:rPr>
                <w:rFonts w:eastAsia="Arial" w:cs="Arial" w:ascii="Arial" w:hAnsi="Arial"/>
                <w:color w:val="auto"/>
              </w:rPr>
              <w:t>.</w:t>
            </w:r>
            <w:r>
              <w:rPr>
                <w:rFonts w:eastAsia="Arial" w:cs="Arial" w:ascii="Arial" w:hAnsi="Arial"/>
                <w:color w:val="auto"/>
              </w:rPr>
              <w:t>49</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0</w:t>
            </w:r>
            <w:r>
              <w:rPr>
                <w:rFonts w:eastAsia="Arial" w:cs="Arial" w:ascii="Arial" w:hAnsi="Arial"/>
                <w:color w:val="auto"/>
              </w:rPr>
              <w:t>.</w:t>
            </w:r>
            <w:r>
              <w:rPr>
                <w:rFonts w:eastAsia="Arial" w:cs="Arial" w:ascii="Arial" w:hAnsi="Arial"/>
                <w:color w:val="auto"/>
              </w:rPr>
              <w:t>98</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rPr>
                <w:color w:val="auto"/>
              </w:rPr>
            </w:pPr>
            <w:r>
              <w:rPr>
                <w:rFonts w:eastAsia="Arial" w:cs="Arial" w:ascii="Arial" w:hAnsi="Arial"/>
                <w:color w:val="auto"/>
                <w:sz w:val="18"/>
                <w:szCs w:val="18"/>
              </w:rPr>
              <w:t>Exportaciones (millones USD)</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1</w:t>
            </w:r>
            <w:r>
              <w:rPr>
                <w:rFonts w:eastAsia="Arial" w:cs="Arial" w:ascii="Arial" w:hAnsi="Arial"/>
                <w:color w:val="auto"/>
              </w:rPr>
              <w:t>,</w:t>
            </w:r>
            <w:r>
              <w:rPr>
                <w:rFonts w:eastAsia="Arial" w:cs="Arial" w:ascii="Arial" w:hAnsi="Arial"/>
                <w:color w:val="auto"/>
              </w:rPr>
              <w:t>424</w:t>
            </w:r>
            <w:r>
              <w:rPr>
                <w:rFonts w:eastAsia="Arial" w:cs="Arial" w:ascii="Arial" w:hAnsi="Arial"/>
                <w:color w:val="auto"/>
              </w:rPr>
              <w:t>,</w:t>
            </w:r>
            <w:r>
              <w:rPr>
                <w:rFonts w:eastAsia="Arial" w:cs="Arial" w:ascii="Arial" w:hAnsi="Arial"/>
                <w:color w:val="auto"/>
              </w:rPr>
              <w:t>935</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1</w:t>
            </w:r>
            <w:r>
              <w:rPr>
                <w:rFonts w:eastAsia="Arial" w:cs="Arial" w:ascii="Arial" w:hAnsi="Arial"/>
                <w:color w:val="auto"/>
              </w:rPr>
              <w:t>,</w:t>
            </w:r>
            <w:r>
              <w:rPr>
                <w:rFonts w:eastAsia="Arial" w:cs="Arial" w:ascii="Arial" w:hAnsi="Arial"/>
                <w:color w:val="auto"/>
              </w:rPr>
              <w:t>754</w:t>
            </w:r>
            <w:r>
              <w:rPr>
                <w:rFonts w:eastAsia="Arial" w:cs="Arial" w:ascii="Arial" w:hAnsi="Arial"/>
                <w:color w:val="auto"/>
              </w:rPr>
              <w:t>,</w:t>
            </w:r>
            <w:r>
              <w:rPr>
                <w:rFonts w:eastAsia="Arial" w:cs="Arial" w:ascii="Arial" w:hAnsi="Arial"/>
                <w:color w:val="auto"/>
              </w:rPr>
              <w:t>300</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065</w:t>
            </w:r>
            <w:r>
              <w:rPr>
                <w:rFonts w:eastAsia="Arial" w:cs="Arial" w:ascii="Arial" w:hAnsi="Arial"/>
                <w:color w:val="auto"/>
              </w:rPr>
              <w:t>,</w:t>
            </w:r>
            <w:r>
              <w:rPr>
                <w:rFonts w:eastAsia="Arial" w:cs="Arial" w:ascii="Arial" w:hAnsi="Arial"/>
                <w:color w:val="auto"/>
              </w:rPr>
              <w:t>157</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020</w:t>
            </w:r>
            <w:r>
              <w:rPr>
                <w:rFonts w:eastAsia="Arial" w:cs="Arial" w:ascii="Arial" w:hAnsi="Arial"/>
                <w:color w:val="auto"/>
              </w:rPr>
              <w:t>,</w:t>
            </w:r>
            <w:r>
              <w:rPr>
                <w:rFonts w:eastAsia="Arial" w:cs="Arial" w:ascii="Arial" w:hAnsi="Arial"/>
                <w:color w:val="auto"/>
              </w:rPr>
              <w:t>606</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064</w:t>
            </w:r>
            <w:r>
              <w:rPr>
                <w:rFonts w:eastAsia="Arial" w:cs="Arial" w:ascii="Arial" w:hAnsi="Arial"/>
                <w:color w:val="auto"/>
              </w:rPr>
              <w:t>,</w:t>
            </w:r>
            <w:r>
              <w:rPr>
                <w:rFonts w:eastAsia="Arial" w:cs="Arial" w:ascii="Arial" w:hAnsi="Arial"/>
                <w:color w:val="auto"/>
              </w:rPr>
              <w:t>516</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Importaciones (millones USD)</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406</w:t>
            </w:r>
            <w:r>
              <w:rPr>
                <w:rFonts w:eastAsia="Arial" w:cs="Arial" w:ascii="Arial" w:hAnsi="Arial"/>
                <w:color w:val="auto"/>
              </w:rPr>
              <w:t>,</w:t>
            </w:r>
            <w:r>
              <w:rPr>
                <w:rFonts w:eastAsia="Arial" w:cs="Arial" w:ascii="Arial" w:hAnsi="Arial"/>
                <w:color w:val="auto"/>
              </w:rPr>
              <w:t>932</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2</w:t>
            </w:r>
            <w:r>
              <w:rPr>
                <w:rFonts w:eastAsia="Arial" w:cs="Arial" w:ascii="Arial" w:hAnsi="Arial"/>
                <w:color w:val="auto"/>
              </w:rPr>
              <w:t>,</w:t>
            </w:r>
            <w:r>
              <w:rPr>
                <w:rFonts w:eastAsia="Arial" w:cs="Arial" w:ascii="Arial" w:hAnsi="Arial"/>
                <w:color w:val="auto"/>
              </w:rPr>
              <w:t>935</w:t>
            </w:r>
            <w:r>
              <w:rPr>
                <w:rFonts w:eastAsia="Arial" w:cs="Arial" w:ascii="Arial" w:hAnsi="Arial"/>
                <w:color w:val="auto"/>
              </w:rPr>
              <w:t>,</w:t>
            </w:r>
            <w:r>
              <w:rPr>
                <w:rFonts w:eastAsia="Arial" w:cs="Arial" w:ascii="Arial" w:hAnsi="Arial"/>
                <w:color w:val="auto"/>
              </w:rPr>
              <w:t>314</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w:t>
            </w:r>
            <w:r>
              <w:rPr>
                <w:rFonts w:eastAsia="Arial" w:cs="Arial" w:ascii="Arial" w:hAnsi="Arial"/>
                <w:color w:val="auto"/>
              </w:rPr>
              <w:t>,</w:t>
            </w:r>
            <w:r>
              <w:rPr>
                <w:rFonts w:eastAsia="Arial" w:cs="Arial" w:ascii="Arial" w:hAnsi="Arial"/>
                <w:color w:val="auto"/>
              </w:rPr>
              <w:t>371</w:t>
            </w:r>
            <w:r>
              <w:rPr>
                <w:rFonts w:eastAsia="Arial" w:cs="Arial" w:ascii="Arial" w:hAnsi="Arial"/>
                <w:color w:val="auto"/>
              </w:rPr>
              <w:t>,</w:t>
            </w:r>
            <w:r>
              <w:rPr>
                <w:rFonts w:eastAsia="Arial" w:cs="Arial" w:ascii="Arial" w:hAnsi="Arial"/>
                <w:color w:val="auto"/>
              </w:rPr>
              <w:t>751</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w:t>
            </w:r>
            <w:r>
              <w:rPr>
                <w:rFonts w:eastAsia="Arial" w:cs="Arial" w:ascii="Arial" w:hAnsi="Arial"/>
                <w:color w:val="auto"/>
              </w:rPr>
              <w:t>,</w:t>
            </w:r>
            <w:r>
              <w:rPr>
                <w:rFonts w:eastAsia="Arial" w:cs="Arial" w:ascii="Arial" w:hAnsi="Arial"/>
                <w:color w:val="auto"/>
              </w:rPr>
              <w:t>172</w:t>
            </w:r>
            <w:r>
              <w:rPr>
                <w:rFonts w:eastAsia="Arial" w:cs="Arial" w:ascii="Arial" w:hAnsi="Arial"/>
                <w:color w:val="auto"/>
              </w:rPr>
              <w:t>,</w:t>
            </w:r>
            <w:r>
              <w:rPr>
                <w:rFonts w:eastAsia="Arial" w:cs="Arial" w:ascii="Arial" w:hAnsi="Arial"/>
                <w:color w:val="auto"/>
              </w:rPr>
              <w:t>476</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w:t>
            </w:r>
            <w:r>
              <w:rPr>
                <w:rFonts w:eastAsia="Arial" w:cs="Arial" w:ascii="Arial" w:hAnsi="Arial"/>
                <w:color w:val="auto"/>
              </w:rPr>
              <w:t>,</w:t>
            </w:r>
            <w:r>
              <w:rPr>
                <w:rFonts w:eastAsia="Arial" w:cs="Arial" w:ascii="Arial" w:hAnsi="Arial"/>
                <w:color w:val="auto"/>
              </w:rPr>
              <w:t>359</w:t>
            </w:r>
            <w:r>
              <w:rPr>
                <w:rFonts w:eastAsia="Arial" w:cs="Arial" w:ascii="Arial" w:hAnsi="Arial"/>
                <w:color w:val="auto"/>
              </w:rPr>
              <w:t>,</w:t>
            </w:r>
            <w:r>
              <w:rPr>
                <w:rFonts w:eastAsia="Arial" w:cs="Arial" w:ascii="Arial" w:hAnsi="Arial"/>
                <w:color w:val="auto"/>
              </w:rPr>
              <w:t>310</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Población (miles habitantes)</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331</w:t>
            </w:r>
            <w:r>
              <w:rPr>
                <w:rFonts w:eastAsia="Arial" w:cs="Arial" w:ascii="Arial" w:hAnsi="Arial"/>
                <w:color w:val="auto"/>
              </w:rPr>
              <w:t>,</w:t>
            </w:r>
            <w:r>
              <w:rPr>
                <w:rFonts w:eastAsia="Arial" w:cs="Arial" w:ascii="Arial" w:hAnsi="Arial"/>
                <w:color w:val="auto"/>
              </w:rPr>
              <w:t>526</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332</w:t>
            </w:r>
            <w:r>
              <w:rPr>
                <w:rFonts w:eastAsia="Arial" w:cs="Arial" w:ascii="Arial" w:hAnsi="Arial"/>
                <w:color w:val="auto"/>
              </w:rPr>
              <w:t>,</w:t>
            </w:r>
            <w:r>
              <w:rPr>
                <w:rFonts w:eastAsia="Arial" w:cs="Arial" w:ascii="Arial" w:hAnsi="Arial"/>
                <w:color w:val="auto"/>
              </w:rPr>
              <w:t>048</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333</w:t>
            </w:r>
            <w:r>
              <w:rPr>
                <w:rFonts w:eastAsia="Arial" w:cs="Arial" w:ascii="Arial" w:hAnsi="Arial"/>
                <w:color w:val="auto"/>
              </w:rPr>
              <w:t>,</w:t>
            </w:r>
            <w:r>
              <w:rPr>
                <w:rFonts w:eastAsia="Arial" w:cs="Arial" w:ascii="Arial" w:hAnsi="Arial"/>
                <w:color w:val="auto"/>
              </w:rPr>
              <w:t>271</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334</w:t>
            </w:r>
            <w:r>
              <w:rPr>
                <w:rFonts w:eastAsia="Arial" w:cs="Arial" w:ascii="Arial" w:hAnsi="Arial"/>
                <w:color w:val="auto"/>
              </w:rPr>
              <w:t>,</w:t>
            </w:r>
            <w:r>
              <w:rPr>
                <w:rFonts w:eastAsia="Arial" w:cs="Arial" w:ascii="Arial" w:hAnsi="Arial"/>
                <w:color w:val="auto"/>
              </w:rPr>
              <w:t>914</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340</w:t>
            </w:r>
            <w:r>
              <w:rPr>
                <w:rFonts w:eastAsia="Arial" w:cs="Arial" w:ascii="Arial" w:hAnsi="Arial"/>
                <w:color w:val="auto"/>
              </w:rPr>
              <w:t>,</w:t>
            </w:r>
            <w:r>
              <w:rPr>
                <w:rFonts w:eastAsia="Arial" w:cs="Arial" w:ascii="Arial" w:hAnsi="Arial"/>
                <w:color w:val="auto"/>
              </w:rPr>
              <w:t>110</w:t>
            </w:r>
          </w:p>
        </w:tc>
      </w:tr>
      <w:tr>
        <w:trPr>
          <w:trHeight w:val="288" w:hRule="atLeast"/>
        </w:trPr>
        <w:tc>
          <w:tcPr>
            <w:tcW w:w="282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PBI per cápita (USD)</w:t>
            </w:r>
          </w:p>
        </w:tc>
        <w:tc>
          <w:tcPr>
            <w:tcW w:w="1277"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64</w:t>
            </w:r>
            <w:r>
              <w:rPr>
                <w:rFonts w:eastAsia="Arial" w:cs="Arial" w:ascii="Arial" w:hAnsi="Arial"/>
                <w:color w:val="auto"/>
              </w:rPr>
              <w:t>,</w:t>
            </w:r>
            <w:r>
              <w:rPr>
                <w:rFonts w:eastAsia="Arial" w:cs="Arial" w:ascii="Arial" w:hAnsi="Arial"/>
                <w:color w:val="auto"/>
              </w:rPr>
              <w:t>411</w:t>
            </w:r>
          </w:p>
        </w:tc>
        <w:tc>
          <w:tcPr>
            <w:tcW w:w="1276"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71</w:t>
            </w:r>
            <w:r>
              <w:rPr>
                <w:rFonts w:eastAsia="Arial" w:cs="Arial" w:ascii="Arial" w:hAnsi="Arial"/>
                <w:color w:val="auto"/>
              </w:rPr>
              <w:t>,</w:t>
            </w:r>
            <w:r>
              <w:rPr>
                <w:rFonts w:eastAsia="Arial" w:cs="Arial" w:ascii="Arial" w:hAnsi="Arial"/>
                <w:color w:val="auto"/>
              </w:rPr>
              <w:t>318</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78</w:t>
            </w:r>
            <w:r>
              <w:rPr>
                <w:rFonts w:eastAsia="Arial" w:cs="Arial" w:ascii="Arial" w:hAnsi="Arial"/>
                <w:color w:val="auto"/>
              </w:rPr>
              <w:t>,</w:t>
            </w:r>
            <w:r>
              <w:rPr>
                <w:rFonts w:eastAsia="Arial" w:cs="Arial" w:ascii="Arial" w:hAnsi="Arial"/>
                <w:color w:val="auto"/>
              </w:rPr>
              <w:t>035</w:t>
            </w:r>
          </w:p>
        </w:tc>
        <w:tc>
          <w:tcPr>
            <w:tcW w:w="1275"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82</w:t>
            </w:r>
            <w:r>
              <w:rPr>
                <w:rFonts w:eastAsia="Arial" w:cs="Arial" w:ascii="Arial" w:hAnsi="Arial"/>
                <w:color w:val="auto"/>
              </w:rPr>
              <w:t>,</w:t>
            </w:r>
            <w:r>
              <w:rPr>
                <w:rFonts w:eastAsia="Arial" w:cs="Arial" w:ascii="Arial" w:hAnsi="Arial"/>
                <w:color w:val="auto"/>
              </w:rPr>
              <w:t>769</w:t>
            </w:r>
          </w:p>
        </w:tc>
        <w:tc>
          <w:tcPr>
            <w:tcW w:w="1134"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Arial" w:cs="Arial" w:ascii="Arial" w:hAnsi="Arial"/>
                <w:color w:val="auto"/>
              </w:rPr>
              <w:t>85</w:t>
            </w:r>
            <w:r>
              <w:rPr>
                <w:rFonts w:eastAsia="Arial" w:cs="Arial" w:ascii="Arial" w:hAnsi="Arial"/>
                <w:color w:val="auto"/>
              </w:rPr>
              <w:t>,</w:t>
            </w:r>
            <w:r>
              <w:rPr>
                <w:rFonts w:eastAsia="Arial" w:cs="Arial" w:ascii="Arial" w:hAnsi="Arial"/>
                <w:color w:val="auto"/>
              </w:rPr>
              <w:t>812</w:t>
            </w:r>
          </w:p>
        </w:tc>
      </w:tr>
    </w:tbl>
    <w:p>
      <w:pPr>
        <w:pStyle w:val="normal1"/>
        <w:spacing w:lineRule="auto" w:line="240" w:before="0" w:after="0"/>
        <w:jc w:val="both"/>
        <w:rPr>
          <w:color w:val="auto"/>
        </w:rPr>
      </w:pPr>
      <w:r>
        <w:rPr>
          <w:rFonts w:eastAsia="Arial" w:cs="Arial" w:ascii="Arial" w:hAnsi="Arial"/>
          <w:color w:val="auto"/>
          <w:sz w:val="16"/>
          <w:szCs w:val="16"/>
        </w:rPr>
        <w:t xml:space="preserve">Fuente: Banco mundial.  </w:t>
      </w:r>
    </w:p>
    <w:p>
      <w:pPr>
        <w:pStyle w:val="normal1"/>
        <w:spacing w:lineRule="auto" w:line="240" w:before="0" w:after="0"/>
        <w:jc w:val="both"/>
        <w:rPr>
          <w:color w:val="auto"/>
        </w:rPr>
      </w:pPr>
      <w:r>
        <w:rPr>
          <w:rFonts w:eastAsia="Arial" w:cs="Arial" w:ascii="Arial" w:hAnsi="Arial"/>
          <w:color w:val="auto"/>
          <w:sz w:val="16"/>
          <w:szCs w:val="16"/>
        </w:rPr>
        <w:t xml:space="preserve">Elaboración: propia </w:t>
      </w:r>
    </w:p>
    <w:p>
      <w:pPr>
        <w:pStyle w:val="normal1"/>
        <w:spacing w:lineRule="auto" w:line="360" w:before="0" w:after="0"/>
        <w:rPr>
          <w:rFonts w:ascii="Arial" w:hAnsi="Arial" w:eastAsia="Arial" w:cs="Arial"/>
          <w:color w:val="auto"/>
        </w:rPr>
      </w:pPr>
      <w:r>
        <w:rPr>
          <w:rFonts w:eastAsia="Arial" w:cs="Arial" w:ascii="Arial" w:hAnsi="Arial"/>
          <w:color w:val="auto"/>
        </w:rPr>
      </w:r>
    </w:p>
    <w:p>
      <w:pPr>
        <w:pStyle w:val="normal1"/>
        <w:spacing w:lineRule="auto" w:line="360"/>
        <w:jc w:val="both"/>
        <w:rPr>
          <w:color w:val="auto"/>
        </w:rPr>
      </w:pPr>
      <w:r>
        <w:rPr>
          <w:rFonts w:eastAsia="Arial" w:cs="Arial" w:ascii="Arial" w:hAnsi="Arial"/>
          <w:color w:val="auto"/>
        </w:rPr>
        <w:t>Con base en los indicadores económicos de Países Bajos para 2024, se observa un entorno económico relativamente estable y propicio para el comercio internacional. El crecimiento real del PBI fue de 1%, lo cual, si bien es moderado, indica una economía en expansión tras la desaceleración de 2023. La inflación se redujo a 3.3 % tras haber alcanzado niveles elevados en 2022 (10%), lo cual estabiliza los precios internos y reduce la presión sobre el consumo. El desempleo se mantuvo bajo en 3.6 %, reflejando una estructura laboral sólida. Además, la población ascendió a 17.94 millones de habitantes y el PBI per cápita alcanzó los 67,984 USD, lo que reafirma un alto poder adquisitivo. Las importaciones totalizaron más de 636,885 millones USD, frente a exportaciones por 725,520 millones, lo que destaca el rol de Países Bajos como economía exportadora, pero con alta dependencia de insumos y productos del extranjero.</w:t>
      </w:r>
    </w:p>
    <w:p>
      <w:pPr>
        <w:pStyle w:val="normal1"/>
        <w:spacing w:lineRule="auto" w:line="360"/>
        <w:jc w:val="both"/>
        <w:rPr>
          <w:color w:val="auto"/>
        </w:rPr>
      </w:pPr>
      <w:r>
        <w:rPr>
          <w:rFonts w:eastAsia="Arial" w:cs="Arial" w:ascii="Arial" w:hAnsi="Arial"/>
          <w:color w:val="auto"/>
        </w:rPr>
        <w:t>Este escenario representa una oportunidad atractiva para la exportación de tarwi (lupinus mutabilis) dentro de la partida 0713.90. Países Bajos es una de las puertas de entrada más importantes al mercado europeo debido a su infraestructura logística avanzada y su rol como hub de distribución, especialmente a través del puerto de Róterdam. Su cultura de consumo está abierta a productos innovadores y saludables, por lo que el tarwi, al ser una leguminosa andina rica en proteínas, fibra y bajo contenido graso, tiene potencial de posicionarse como superalimento en sectores como la alimentación funcional, la cocina gourmet o los alimentos alternativos. Además, el crecimiento sostenido de importaciones y la sofisticación de su mercado permiten explorar nichos de valor agregado si se cumplen estándares europeos de calidad, etiquetado y sostenibilidad. Países Bajos puede ser tanto un consumidor directo como un reexportador estratégico para llegar a mercados más amplios dentro de la Unión Europea.</w:t>
      </w:r>
    </w:p>
    <w:p>
      <w:pPr>
        <w:pStyle w:val="Heading6"/>
        <w:widowControl w:val="false"/>
        <w:spacing w:lineRule="auto" w:line="240" w:before="0" w:after="0"/>
        <w:ind w:hanging="0" w:left="11"/>
        <w:jc w:val="center"/>
        <w:rPr>
          <w:color w:val="auto"/>
        </w:rPr>
      </w:pPr>
      <w:r>
        <w:rPr>
          <w:rFonts w:eastAsia="Arial" w:cs="Arial" w:ascii="Arial" w:hAnsi="Arial"/>
          <w:b/>
          <w:i w:val="false"/>
          <w:color w:val="auto"/>
        </w:rPr>
        <w:t>Tabla 1.5.3</w:t>
      </w:r>
    </w:p>
    <w:p>
      <w:pPr>
        <w:pStyle w:val="normal1"/>
        <w:widowControl w:val="false"/>
        <w:ind w:hanging="0" w:left="2"/>
        <w:jc w:val="center"/>
        <w:rPr>
          <w:color w:val="auto"/>
        </w:rPr>
      </w:pPr>
      <w:r>
        <w:rPr>
          <w:rFonts w:eastAsia="Arial" w:cs="Arial" w:ascii="Arial" w:hAnsi="Arial"/>
          <w:b/>
          <w:color w:val="auto"/>
        </w:rPr>
        <w:t>Indicadores macroeconómicos de Países Bajos</w:t>
      </w:r>
    </w:p>
    <w:tbl>
      <w:tblPr>
        <w:tblStyle w:val="Table2"/>
        <w:tblW w:w="9060" w:type="dxa"/>
        <w:jc w:val="left"/>
        <w:tblInd w:w="0" w:type="dxa"/>
        <w:tblLayout w:type="fixed"/>
        <w:tblCellMar>
          <w:top w:w="0" w:type="dxa"/>
          <w:left w:w="108" w:type="dxa"/>
          <w:bottom w:w="0" w:type="dxa"/>
          <w:right w:w="108" w:type="dxa"/>
        </w:tblCellMar>
        <w:tblLook w:val="0400"/>
      </w:tblPr>
      <w:tblGrid>
        <w:gridCol w:w="3090"/>
        <w:gridCol w:w="1199"/>
        <w:gridCol w:w="1170"/>
        <w:gridCol w:w="1171"/>
        <w:gridCol w:w="1229"/>
        <w:gridCol w:w="1200"/>
      </w:tblGrid>
      <w:tr>
        <w:trPr>
          <w:trHeight w:val="372" w:hRule="atLeast"/>
        </w:trPr>
        <w:tc>
          <w:tcPr>
            <w:tcW w:w="3090" w:type="dxa"/>
            <w:tcBorders>
              <w:top w:val="single" w:sz="4" w:space="0" w:color="000000"/>
              <w:left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Indicadores Económicos</w:t>
            </w:r>
          </w:p>
        </w:tc>
        <w:tc>
          <w:tcPr>
            <w:tcW w:w="1199"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2020</w:t>
            </w:r>
          </w:p>
        </w:tc>
        <w:tc>
          <w:tcPr>
            <w:tcW w:w="1170"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2021</w:t>
            </w:r>
          </w:p>
        </w:tc>
        <w:tc>
          <w:tcPr>
            <w:tcW w:w="1171"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2022</w:t>
            </w:r>
          </w:p>
        </w:tc>
        <w:tc>
          <w:tcPr>
            <w:tcW w:w="1229"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2023</w:t>
            </w:r>
          </w:p>
        </w:tc>
        <w:tc>
          <w:tcPr>
            <w:tcW w:w="1200"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2024</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Crecimiento real del PBI (%)</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9</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w:t>
            </w:r>
            <w:r>
              <w:rPr>
                <w:rFonts w:eastAsia="Calibri" w:cs="Calibri" w:ascii="Calibri" w:hAnsi="Calibri"/>
                <w:color w:val="auto"/>
              </w:rPr>
              <w:t>.</w:t>
            </w:r>
            <w:r>
              <w:rPr>
                <w:rFonts w:eastAsia="Calibri" w:cs="Calibri" w:ascii="Calibri" w:hAnsi="Calibri"/>
                <w:color w:val="auto"/>
              </w:rPr>
              <w:t>3</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5</w:t>
            </w:r>
            <w:r>
              <w:rPr>
                <w:rFonts w:eastAsia="Calibri" w:cs="Calibri" w:ascii="Calibri" w:hAnsi="Calibri"/>
                <w:color w:val="auto"/>
              </w:rPr>
              <w:t>.</w:t>
            </w:r>
            <w:r>
              <w:rPr>
                <w:rFonts w:eastAsia="Calibri" w:cs="Calibri" w:ascii="Calibri" w:hAnsi="Calibri"/>
                <w:color w:val="auto"/>
              </w:rPr>
              <w:t>0</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1</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Inflación (%)</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w:t>
            </w:r>
            <w:r>
              <w:rPr>
                <w:rFonts w:eastAsia="Calibri" w:cs="Calibri" w:ascii="Calibri" w:hAnsi="Calibri"/>
                <w:color w:val="auto"/>
              </w:rPr>
              <w:t>.</w:t>
            </w:r>
            <w:r>
              <w:rPr>
                <w:rFonts w:eastAsia="Calibri" w:cs="Calibri" w:ascii="Calibri" w:hAnsi="Calibri"/>
                <w:color w:val="auto"/>
              </w:rPr>
              <w:t>3</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2</w:t>
            </w:r>
            <w:r>
              <w:rPr>
                <w:rFonts w:eastAsia="Calibri" w:cs="Calibri" w:ascii="Calibri" w:hAnsi="Calibri"/>
                <w:color w:val="auto"/>
              </w:rPr>
              <w:t>.</w:t>
            </w:r>
            <w:r>
              <w:rPr>
                <w:rFonts w:eastAsia="Calibri" w:cs="Calibri" w:ascii="Calibri" w:hAnsi="Calibri"/>
                <w:color w:val="auto"/>
              </w:rPr>
              <w:t>7</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8</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3</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desempleo (%)</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8</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w:t>
            </w:r>
            <w:r>
              <w:rPr>
                <w:rFonts w:eastAsia="Calibri" w:cs="Calibri" w:ascii="Calibri" w:hAnsi="Calibri"/>
                <w:color w:val="auto"/>
              </w:rPr>
              <w:t>.</w:t>
            </w:r>
            <w:r>
              <w:rPr>
                <w:rFonts w:eastAsia="Calibri" w:cs="Calibri" w:ascii="Calibri" w:hAnsi="Calibri"/>
                <w:color w:val="auto"/>
              </w:rPr>
              <w:t>2</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5</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5</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6</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crecimiento poblacional (%)</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6</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5</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1</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rPr>
                <w:color w:val="auto"/>
              </w:rPr>
            </w:pPr>
            <w:r>
              <w:rPr>
                <w:rFonts w:eastAsia="Arial" w:cs="Arial" w:ascii="Arial" w:hAnsi="Arial"/>
                <w:color w:val="auto"/>
                <w:sz w:val="18"/>
                <w:szCs w:val="18"/>
              </w:rPr>
              <w:t>Exportaciones (millones USD)</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551</w:t>
            </w:r>
            <w:r>
              <w:rPr>
                <w:rFonts w:eastAsia="Calibri" w:cs="Calibri" w:ascii="Calibri" w:hAnsi="Calibri"/>
                <w:color w:val="auto"/>
              </w:rPr>
              <w:t>,</w:t>
            </w:r>
            <w:r>
              <w:rPr>
                <w:rFonts w:eastAsia="Calibri" w:cs="Calibri" w:ascii="Calibri" w:hAnsi="Calibri"/>
                <w:color w:val="auto"/>
              </w:rPr>
              <w:t>352</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696</w:t>
            </w:r>
            <w:r>
              <w:rPr>
                <w:rFonts w:eastAsia="Calibri" w:cs="Calibri" w:ascii="Calibri" w:hAnsi="Calibri"/>
                <w:color w:val="auto"/>
              </w:rPr>
              <w:t>,</w:t>
            </w:r>
            <w:r>
              <w:rPr>
                <w:rFonts w:eastAsia="Calibri" w:cs="Calibri" w:ascii="Calibri" w:hAnsi="Calibri"/>
                <w:color w:val="auto"/>
              </w:rPr>
              <w:t>873</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768</w:t>
            </w:r>
            <w:r>
              <w:rPr>
                <w:rFonts w:eastAsia="Calibri" w:cs="Calibri" w:ascii="Calibri" w:hAnsi="Calibri"/>
                <w:color w:val="auto"/>
              </w:rPr>
              <w:t>,</w:t>
            </w:r>
            <w:r>
              <w:rPr>
                <w:rFonts w:eastAsia="Calibri" w:cs="Calibri" w:ascii="Calibri" w:hAnsi="Calibri"/>
                <w:color w:val="auto"/>
              </w:rPr>
              <w:t>259</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741</w:t>
            </w:r>
            <w:r>
              <w:rPr>
                <w:rFonts w:eastAsia="Calibri" w:cs="Calibri" w:ascii="Calibri" w:hAnsi="Calibri"/>
                <w:color w:val="auto"/>
              </w:rPr>
              <w:t>.</w:t>
            </w:r>
            <w:r>
              <w:rPr>
                <w:rFonts w:eastAsia="Calibri" w:cs="Calibri" w:ascii="Calibri" w:hAnsi="Calibri"/>
                <w:color w:val="auto"/>
              </w:rPr>
              <w:t>804</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725</w:t>
            </w:r>
            <w:r>
              <w:rPr>
                <w:rFonts w:eastAsia="Calibri" w:cs="Calibri" w:ascii="Calibri" w:hAnsi="Calibri"/>
                <w:color w:val="auto"/>
              </w:rPr>
              <w:t>,</w:t>
            </w:r>
            <w:r>
              <w:rPr>
                <w:rFonts w:eastAsia="Calibri" w:cs="Calibri" w:ascii="Calibri" w:hAnsi="Calibri"/>
                <w:color w:val="auto"/>
              </w:rPr>
              <w:t>520</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Importaciones (millones USD)</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484</w:t>
            </w:r>
            <w:r>
              <w:rPr>
                <w:rFonts w:eastAsia="Calibri" w:cs="Calibri" w:ascii="Calibri" w:hAnsi="Calibri"/>
                <w:color w:val="auto"/>
              </w:rPr>
              <w:t>,</w:t>
            </w:r>
            <w:r>
              <w:rPr>
                <w:rFonts w:eastAsia="Calibri" w:cs="Calibri" w:ascii="Calibri" w:hAnsi="Calibri"/>
                <w:color w:val="auto"/>
              </w:rPr>
              <w:t>088</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623</w:t>
            </w:r>
            <w:r>
              <w:rPr>
                <w:rFonts w:eastAsia="Calibri" w:cs="Calibri" w:ascii="Calibri" w:hAnsi="Calibri"/>
                <w:color w:val="auto"/>
              </w:rPr>
              <w:t>,</w:t>
            </w:r>
            <w:r>
              <w:rPr>
                <w:rFonts w:eastAsia="Calibri" w:cs="Calibri" w:ascii="Calibri" w:hAnsi="Calibri"/>
                <w:color w:val="auto"/>
              </w:rPr>
              <w:t>369</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710</w:t>
            </w:r>
            <w:r>
              <w:rPr>
                <w:rFonts w:eastAsia="Calibri" w:cs="Calibri" w:ascii="Calibri" w:hAnsi="Calibri"/>
                <w:color w:val="auto"/>
              </w:rPr>
              <w:t>,</w:t>
            </w:r>
            <w:r>
              <w:rPr>
                <w:rFonts w:eastAsia="Calibri" w:cs="Calibri" w:ascii="Calibri" w:hAnsi="Calibri"/>
                <w:color w:val="auto"/>
              </w:rPr>
              <w:t>771</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664</w:t>
            </w:r>
            <w:r>
              <w:rPr>
                <w:rFonts w:eastAsia="Calibri" w:cs="Calibri" w:ascii="Calibri" w:hAnsi="Calibri"/>
                <w:color w:val="auto"/>
              </w:rPr>
              <w:t>.</w:t>
            </w:r>
            <w:r>
              <w:rPr>
                <w:rFonts w:eastAsia="Calibri" w:cs="Calibri" w:ascii="Calibri" w:hAnsi="Calibri"/>
                <w:color w:val="auto"/>
              </w:rPr>
              <w:t>131</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636</w:t>
            </w:r>
            <w:r>
              <w:rPr>
                <w:rFonts w:eastAsia="Calibri" w:cs="Calibri" w:ascii="Calibri" w:hAnsi="Calibri"/>
                <w:color w:val="auto"/>
              </w:rPr>
              <w:t>,</w:t>
            </w:r>
            <w:r>
              <w:rPr>
                <w:rFonts w:eastAsia="Calibri" w:cs="Calibri" w:ascii="Calibri" w:hAnsi="Calibri"/>
                <w:color w:val="auto"/>
              </w:rPr>
              <w:t>885</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Población (miles habitantes)</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17</w:t>
            </w:r>
            <w:r>
              <w:rPr>
                <w:rFonts w:eastAsia="Calibri" w:cs="Calibri" w:ascii="Calibri" w:hAnsi="Calibri"/>
                <w:color w:val="auto"/>
              </w:rPr>
              <w:t>,</w:t>
            </w:r>
            <w:r>
              <w:rPr>
                <w:rFonts w:eastAsia="Calibri" w:cs="Calibri" w:ascii="Calibri" w:hAnsi="Calibri"/>
                <w:color w:val="auto"/>
              </w:rPr>
              <w:t>441</w:t>
            </w:r>
            <w:r>
              <w:rPr>
                <w:rFonts w:eastAsia="Calibri" w:cs="Calibri" w:ascii="Calibri" w:hAnsi="Calibri"/>
                <w:color w:val="auto"/>
              </w:rPr>
              <w:t>,</w:t>
            </w:r>
            <w:r>
              <w:rPr>
                <w:rFonts w:eastAsia="Calibri" w:cs="Calibri" w:ascii="Calibri" w:hAnsi="Calibri"/>
                <w:color w:val="auto"/>
              </w:rPr>
              <w:t>500</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17</w:t>
            </w:r>
            <w:r>
              <w:rPr>
                <w:rFonts w:eastAsia="Calibri" w:cs="Calibri" w:ascii="Calibri" w:hAnsi="Calibri"/>
                <w:color w:val="auto"/>
              </w:rPr>
              <w:t>,</w:t>
            </w:r>
            <w:r>
              <w:rPr>
                <w:rFonts w:eastAsia="Calibri" w:cs="Calibri" w:ascii="Calibri" w:hAnsi="Calibri"/>
                <w:color w:val="auto"/>
              </w:rPr>
              <w:t>533</w:t>
            </w:r>
            <w:r>
              <w:rPr>
                <w:rFonts w:eastAsia="Calibri" w:cs="Calibri" w:ascii="Calibri" w:hAnsi="Calibri"/>
                <w:color w:val="auto"/>
              </w:rPr>
              <w:t>,</w:t>
            </w:r>
            <w:r>
              <w:rPr>
                <w:rFonts w:eastAsia="Calibri" w:cs="Calibri" w:ascii="Calibri" w:hAnsi="Calibri"/>
                <w:color w:val="auto"/>
              </w:rPr>
              <w:t>044</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17</w:t>
            </w:r>
            <w:r>
              <w:rPr>
                <w:rFonts w:eastAsia="Calibri" w:cs="Calibri" w:ascii="Calibri" w:hAnsi="Calibri"/>
                <w:color w:val="auto"/>
              </w:rPr>
              <w:t>,</w:t>
            </w:r>
            <w:r>
              <w:rPr>
                <w:rFonts w:eastAsia="Calibri" w:cs="Calibri" w:ascii="Calibri" w:hAnsi="Calibri"/>
                <w:color w:val="auto"/>
              </w:rPr>
              <w:t>700</w:t>
            </w:r>
            <w:r>
              <w:rPr>
                <w:rFonts w:eastAsia="Calibri" w:cs="Calibri" w:ascii="Calibri" w:hAnsi="Calibri"/>
                <w:color w:val="auto"/>
              </w:rPr>
              <w:t>,</w:t>
            </w:r>
            <w:r>
              <w:rPr>
                <w:rFonts w:eastAsia="Calibri" w:cs="Calibri" w:ascii="Calibri" w:hAnsi="Calibri"/>
                <w:color w:val="auto"/>
              </w:rPr>
              <w:t>982</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17</w:t>
            </w:r>
            <w:r>
              <w:rPr>
                <w:rFonts w:eastAsia="Calibri" w:cs="Calibri" w:ascii="Calibri" w:hAnsi="Calibri"/>
                <w:color w:val="auto"/>
              </w:rPr>
              <w:t>,</w:t>
            </w:r>
            <w:r>
              <w:rPr>
                <w:rFonts w:eastAsia="Calibri" w:cs="Calibri" w:ascii="Calibri" w:hAnsi="Calibri"/>
                <w:color w:val="auto"/>
              </w:rPr>
              <w:t>877</w:t>
            </w:r>
            <w:r>
              <w:rPr>
                <w:rFonts w:eastAsia="Calibri" w:cs="Calibri" w:ascii="Calibri" w:hAnsi="Calibri"/>
                <w:color w:val="auto"/>
              </w:rPr>
              <w:t>,</w:t>
            </w:r>
            <w:r>
              <w:rPr>
                <w:rFonts w:eastAsia="Calibri" w:cs="Calibri" w:ascii="Calibri" w:hAnsi="Calibri"/>
                <w:color w:val="auto"/>
              </w:rPr>
              <w:t>117</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17</w:t>
            </w:r>
            <w:r>
              <w:rPr>
                <w:rFonts w:eastAsia="Calibri" w:cs="Calibri" w:ascii="Calibri" w:hAnsi="Calibri"/>
                <w:color w:val="auto"/>
              </w:rPr>
              <w:t>,</w:t>
            </w:r>
            <w:r>
              <w:rPr>
                <w:rFonts w:eastAsia="Calibri" w:cs="Calibri" w:ascii="Calibri" w:hAnsi="Calibri"/>
                <w:color w:val="auto"/>
              </w:rPr>
              <w:t>942</w:t>
            </w:r>
            <w:r>
              <w:rPr>
                <w:rFonts w:eastAsia="Calibri" w:cs="Calibri" w:ascii="Calibri" w:hAnsi="Calibri"/>
                <w:color w:val="auto"/>
              </w:rPr>
              <w:t>,</w:t>
            </w:r>
            <w:r>
              <w:rPr>
                <w:rFonts w:eastAsia="Calibri" w:cs="Calibri" w:ascii="Calibri" w:hAnsi="Calibri"/>
                <w:color w:val="auto"/>
              </w:rPr>
              <w:t>942</w:t>
            </w:r>
          </w:p>
        </w:tc>
      </w:tr>
      <w:tr>
        <w:trPr>
          <w:trHeight w:val="372" w:hRule="atLeast"/>
        </w:trPr>
        <w:tc>
          <w:tcPr>
            <w:tcW w:w="3090"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PBI per cápita (USD)</w:t>
            </w:r>
          </w:p>
        </w:tc>
        <w:tc>
          <w:tcPr>
            <w:tcW w:w="119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53</w:t>
            </w:r>
            <w:r>
              <w:rPr>
                <w:rFonts w:eastAsia="Calibri" w:cs="Calibri" w:ascii="Calibri" w:hAnsi="Calibri"/>
                <w:color w:val="auto"/>
              </w:rPr>
              <w:t>,</w:t>
            </w:r>
            <w:r>
              <w:rPr>
                <w:rFonts w:eastAsia="Calibri" w:cs="Calibri" w:ascii="Calibri" w:hAnsi="Calibri"/>
                <w:color w:val="auto"/>
              </w:rPr>
              <w:t>468</w:t>
            </w:r>
          </w:p>
        </w:tc>
        <w:tc>
          <w:tcPr>
            <w:tcW w:w="117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60</w:t>
            </w:r>
            <w:r>
              <w:rPr>
                <w:rFonts w:eastAsia="Calibri" w:cs="Calibri" w:ascii="Calibri" w:hAnsi="Calibri"/>
                <w:color w:val="auto"/>
              </w:rPr>
              <w:t>,</w:t>
            </w:r>
            <w:r>
              <w:rPr>
                <w:rFonts w:eastAsia="Calibri" w:cs="Calibri" w:ascii="Calibri" w:hAnsi="Calibri"/>
                <w:color w:val="auto"/>
              </w:rPr>
              <w:t>142</w:t>
            </w:r>
          </w:p>
        </w:tc>
        <w:tc>
          <w:tcPr>
            <w:tcW w:w="1171"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59</w:t>
            </w:r>
            <w:r>
              <w:rPr>
                <w:rFonts w:eastAsia="Calibri" w:cs="Calibri" w:ascii="Calibri" w:hAnsi="Calibri"/>
                <w:color w:val="auto"/>
              </w:rPr>
              <w:t>,</w:t>
            </w:r>
            <w:r>
              <w:rPr>
                <w:rFonts w:eastAsia="Calibri" w:cs="Calibri" w:ascii="Calibri" w:hAnsi="Calibri"/>
                <w:color w:val="auto"/>
              </w:rPr>
              <w:t>123</w:t>
            </w:r>
          </w:p>
        </w:tc>
        <w:tc>
          <w:tcPr>
            <w:tcW w:w="1229"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64</w:t>
            </w:r>
            <w:r>
              <w:rPr>
                <w:rFonts w:eastAsia="Calibri" w:cs="Calibri" w:ascii="Calibri" w:hAnsi="Calibri"/>
                <w:color w:val="auto"/>
              </w:rPr>
              <w:t>,</w:t>
            </w:r>
            <w:r>
              <w:rPr>
                <w:rFonts w:eastAsia="Calibri" w:cs="Calibri" w:ascii="Calibri" w:hAnsi="Calibri"/>
                <w:color w:val="auto"/>
              </w:rPr>
              <w:t>572</w:t>
            </w:r>
          </w:p>
        </w:tc>
        <w:tc>
          <w:tcPr>
            <w:tcW w:w="120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67</w:t>
            </w:r>
            <w:r>
              <w:rPr>
                <w:rFonts w:eastAsia="Calibri" w:cs="Calibri" w:ascii="Calibri" w:hAnsi="Calibri"/>
                <w:color w:val="auto"/>
              </w:rPr>
              <w:t>,</w:t>
            </w:r>
            <w:r>
              <w:rPr>
                <w:rFonts w:eastAsia="Calibri" w:cs="Calibri" w:ascii="Calibri" w:hAnsi="Calibri"/>
                <w:color w:val="auto"/>
              </w:rPr>
              <w:t>984</w:t>
            </w:r>
          </w:p>
        </w:tc>
      </w:tr>
    </w:tbl>
    <w:p>
      <w:pPr>
        <w:pStyle w:val="normal1"/>
        <w:spacing w:lineRule="auto" w:line="240" w:before="0" w:after="0"/>
        <w:jc w:val="both"/>
        <w:rPr>
          <w:color w:val="auto"/>
        </w:rPr>
      </w:pPr>
      <w:r>
        <w:rPr>
          <w:rFonts w:eastAsia="Arial" w:cs="Arial" w:ascii="Arial" w:hAnsi="Arial"/>
          <w:color w:val="auto"/>
          <w:sz w:val="16"/>
          <w:szCs w:val="16"/>
        </w:rPr>
        <w:t xml:space="preserve">Fuente: Banco mundial.  </w:t>
      </w:r>
    </w:p>
    <w:p>
      <w:pPr>
        <w:pStyle w:val="normal1"/>
        <w:spacing w:lineRule="auto" w:line="240" w:before="0" w:after="0"/>
        <w:jc w:val="both"/>
        <w:rPr>
          <w:color w:val="auto"/>
        </w:rPr>
      </w:pPr>
      <w:r>
        <w:rPr>
          <w:rFonts w:eastAsia="Arial" w:cs="Arial" w:ascii="Arial" w:hAnsi="Arial"/>
          <w:color w:val="auto"/>
          <w:sz w:val="16"/>
          <w:szCs w:val="16"/>
        </w:rPr>
        <w:t xml:space="preserve">Elaboración: propia </w:t>
      </w:r>
    </w:p>
    <w:p>
      <w:pPr>
        <w:pStyle w:val="normal1"/>
        <w:spacing w:lineRule="auto" w:line="240" w:before="0" w:after="0"/>
        <w:jc w:val="both"/>
        <w:rPr>
          <w:rFonts w:ascii="Arial" w:hAnsi="Arial" w:eastAsia="Arial" w:cs="Arial"/>
          <w:color w:val="auto"/>
          <w:sz w:val="18"/>
          <w:szCs w:val="18"/>
        </w:rPr>
      </w:pPr>
      <w:r>
        <w:rPr>
          <w:rFonts w:eastAsia="Arial" w:cs="Arial" w:ascii="Arial" w:hAnsi="Arial"/>
          <w:color w:val="auto"/>
          <w:sz w:val="18"/>
          <w:szCs w:val="18"/>
        </w:rPr>
      </w:r>
    </w:p>
    <w:p>
      <w:pPr>
        <w:pStyle w:val="normal1"/>
        <w:widowControl w:val="false"/>
        <w:spacing w:lineRule="auto" w:line="360"/>
        <w:ind w:hanging="0" w:left="2"/>
        <w:jc w:val="both"/>
        <w:rPr>
          <w:color w:val="auto"/>
        </w:rPr>
      </w:pPr>
      <w:r>
        <w:rPr>
          <w:rFonts w:eastAsia="Arial" w:cs="Arial" w:ascii="Arial" w:hAnsi="Arial"/>
          <w:color w:val="auto"/>
        </w:rPr>
        <w:t>Con base en los indicadores económicos de España para 2024, se observa una recuperación económica moderada. El crecimiento real del PBI fue de 3.2 %, reflejando estabilidad tras la desaceleración postpandemia. La inflación se mantuvo controlada en 2.77%, un nivel saludable que favorece el poder adquisitivo y reduce riesgos de sobrecostos para los consumidores. La tasa de desempleo continúa alta (10.60%), aunque ha descendido progresivamente desde el 2020. Por otro lado, la tasa de crecimiento poblacional es de 0.94 %, lo cual indica un mercado interno creciente. España registró exportaciones por 403,702 millones USD e importaciones por 451,303 millones de dólares, lo que refleja una balanza comercial negativa pero moderada. La población total se acerca a los 48.8 millones de habitantes, con un PBI per cápita de 35,092 USD, lo que evidencia una economía avanzada con capacidad de consumo considerable.</w:t>
      </w:r>
    </w:p>
    <w:p>
      <w:pPr>
        <w:pStyle w:val="normal1"/>
        <w:widowControl w:val="false"/>
        <w:spacing w:lineRule="auto" w:line="360"/>
        <w:ind w:hanging="0" w:left="2"/>
        <w:jc w:val="both"/>
        <w:rPr>
          <w:color w:val="auto"/>
        </w:rPr>
      </w:pPr>
      <w:r>
        <w:rPr>
          <w:rFonts w:eastAsia="Arial" w:cs="Arial" w:ascii="Arial" w:hAnsi="Arial"/>
          <w:color w:val="auto"/>
        </w:rPr>
        <w:t>En este contexto, la exportación de tarwi bajo la partida arancelaria 0713.90 encuentra oportunidades en España por varias razones. Primero, el país tiene una alta tasa de importación de productos agroalimentarios, incluyendo legumbres, lo que favorece el ingreso de nuevos productos como el tarwi. Además, la creciente demanda de alimentos saludables, sostenibles y con valor nutricional en la Unión Europea puede posicionar al tarwi como un superalimento alternativo a la soya. Sin embargo, se debe considerar la competencia con otras leguminosas establecidas, así como los estrictos requisitos sanitarios y fitosanitarios de la UE. A pesar de la alta tasa de desempleo, el ingreso per cápita y el tamaño del mercado respaldan el potencial de consumo. Por tanto, con una adecuada estrategia de marketing y cumplimiento regulatorio, España representa un mercado atractivo para la introducción del tarwi como parte de una tendencia creciente hacia productos naturales y funcionales.</w:t>
      </w:r>
    </w:p>
    <w:p>
      <w:pPr>
        <w:pStyle w:val="Heading6"/>
        <w:widowControl w:val="false"/>
        <w:spacing w:lineRule="auto" w:line="240" w:before="0" w:after="0"/>
        <w:ind w:hanging="0" w:left="11"/>
        <w:jc w:val="center"/>
        <w:rPr>
          <w:color w:val="auto"/>
        </w:rPr>
      </w:pPr>
      <w:r>
        <w:rPr>
          <w:rFonts w:eastAsia="Arial" w:cs="Arial" w:ascii="Arial" w:hAnsi="Arial"/>
          <w:b/>
          <w:i w:val="false"/>
          <w:color w:val="auto"/>
        </w:rPr>
        <w:t>Tabla 1.5.3</w:t>
      </w:r>
    </w:p>
    <w:p>
      <w:pPr>
        <w:pStyle w:val="normal1"/>
        <w:widowControl w:val="false"/>
        <w:ind w:hanging="0" w:left="2"/>
        <w:jc w:val="center"/>
        <w:rPr>
          <w:color w:val="auto"/>
        </w:rPr>
      </w:pPr>
      <w:r>
        <w:rPr>
          <w:rFonts w:eastAsia="Arial" w:cs="Arial" w:ascii="Arial" w:hAnsi="Arial"/>
          <w:b/>
          <w:color w:val="auto"/>
        </w:rPr>
        <w:t>Indicadores macroeconómicos de España</w:t>
      </w:r>
      <w:bookmarkStart w:id="2" w:name="bookmark=id.xe9ye2wkz1aa"/>
    </w:p>
    <w:tbl>
      <w:tblPr>
        <w:tblStyle w:val="Table3"/>
        <w:tblW w:w="9440" w:type="dxa"/>
        <w:jc w:val="center"/>
        <w:tblInd w:w="0" w:type="dxa"/>
        <w:tblLayout w:type="fixed"/>
        <w:tblCellMar>
          <w:top w:w="0" w:type="dxa"/>
          <w:left w:w="108" w:type="dxa"/>
          <w:bottom w:w="0" w:type="dxa"/>
          <w:right w:w="108" w:type="dxa"/>
        </w:tblCellMar>
        <w:tblLook w:val="0400"/>
      </w:tblPr>
      <w:tblGrid>
        <w:gridCol w:w="3039"/>
        <w:gridCol w:w="1280"/>
        <w:gridCol w:w="1280"/>
        <w:gridCol w:w="1280"/>
        <w:gridCol w:w="1280"/>
        <w:gridCol w:w="1280"/>
      </w:tblGrid>
      <w:tr>
        <w:trPr>
          <w:trHeight w:val="288" w:hRule="atLeast"/>
        </w:trPr>
        <w:tc>
          <w:tcPr>
            <w:tcW w:w="3039" w:type="dxa"/>
            <w:tcBorders>
              <w:top w:val="single" w:sz="4" w:space="0" w:color="000000"/>
              <w:left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bookmarkEnd w:id="2"/>
            <w:r>
              <w:rPr>
                <w:rFonts w:eastAsia="Arial" w:cs="Arial" w:ascii="Arial" w:hAnsi="Arial"/>
                <w:b/>
                <w:color w:val="auto"/>
                <w:sz w:val="18"/>
                <w:szCs w:val="18"/>
              </w:rPr>
              <w:t>Indicadores Económicos</w:t>
            </w:r>
          </w:p>
        </w:tc>
        <w:tc>
          <w:tcPr>
            <w:tcW w:w="1280"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2020</w:t>
            </w:r>
          </w:p>
        </w:tc>
        <w:tc>
          <w:tcPr>
            <w:tcW w:w="1280"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2021</w:t>
            </w:r>
          </w:p>
        </w:tc>
        <w:tc>
          <w:tcPr>
            <w:tcW w:w="1280"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2022</w:t>
            </w:r>
          </w:p>
        </w:tc>
        <w:tc>
          <w:tcPr>
            <w:tcW w:w="1280"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2023</w:t>
            </w:r>
          </w:p>
        </w:tc>
        <w:tc>
          <w:tcPr>
            <w:tcW w:w="1280" w:type="dxa"/>
            <w:tcBorders>
              <w:top w:val="single" w:sz="4" w:space="0" w:color="000000"/>
              <w:bottom w:val="single" w:sz="4" w:space="0" w:color="000000"/>
              <w:right w:val="single" w:sz="4" w:space="0" w:color="000000"/>
            </w:tcBorders>
            <w:shd w:fill="365F91" w:val="clear"/>
            <w:vAlign w:val="center"/>
          </w:tcPr>
          <w:p>
            <w:pPr>
              <w:pStyle w:val="normal1"/>
              <w:spacing w:lineRule="auto" w:line="240" w:before="0" w:after="0"/>
              <w:jc w:val="center"/>
              <w:rPr>
                <w:color w:val="auto"/>
              </w:rPr>
            </w:pPr>
            <w:r>
              <w:rPr>
                <w:rFonts w:eastAsia="Arial" w:cs="Arial" w:ascii="Arial" w:hAnsi="Arial"/>
                <w:b/>
                <w:color w:val="auto"/>
                <w:sz w:val="18"/>
                <w:szCs w:val="18"/>
              </w:rPr>
              <w:t>2024</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Crecimiento real del PBI (%)</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-10</w:t>
            </w:r>
            <w:r>
              <w:rPr>
                <w:rFonts w:eastAsia="Calibri" w:cs="Calibri" w:ascii="Calibri" w:hAnsi="Calibri"/>
                <w:color w:val="auto"/>
              </w:rPr>
              <w:t>.</w:t>
            </w:r>
            <w:r>
              <w:rPr>
                <w:rFonts w:eastAsia="Calibri" w:cs="Calibri" w:ascii="Calibri" w:hAnsi="Calibri"/>
                <w:color w:val="auto"/>
              </w:rPr>
              <w:t>94</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w:t>
            </w:r>
            <w:r>
              <w:rPr>
                <w:rFonts w:eastAsia="Calibri" w:cs="Calibri" w:ascii="Calibri" w:hAnsi="Calibri"/>
                <w:color w:val="auto"/>
              </w:rPr>
              <w:t>.</w:t>
            </w:r>
            <w:r>
              <w:rPr>
                <w:rFonts w:eastAsia="Calibri" w:cs="Calibri" w:ascii="Calibri" w:hAnsi="Calibri"/>
                <w:color w:val="auto"/>
              </w:rPr>
              <w:t>68</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6</w:t>
            </w:r>
            <w:r>
              <w:rPr>
                <w:rFonts w:eastAsia="Calibri" w:cs="Calibri" w:ascii="Calibri" w:hAnsi="Calibri"/>
                <w:color w:val="auto"/>
              </w:rPr>
              <w:t>.</w:t>
            </w:r>
            <w:r>
              <w:rPr>
                <w:rFonts w:eastAsia="Calibri" w:cs="Calibri" w:ascii="Calibri" w:hAnsi="Calibri"/>
                <w:color w:val="auto"/>
              </w:rPr>
              <w:t>18</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2</w:t>
            </w:r>
            <w:r>
              <w:rPr>
                <w:rFonts w:eastAsia="Calibri" w:cs="Calibri" w:ascii="Calibri" w:hAnsi="Calibri"/>
                <w:color w:val="auto"/>
              </w:rPr>
              <w:t>.</w:t>
            </w:r>
            <w:r>
              <w:rPr>
                <w:rFonts w:eastAsia="Calibri" w:cs="Calibri" w:ascii="Calibri" w:hAnsi="Calibri"/>
                <w:color w:val="auto"/>
              </w:rPr>
              <w:t>68</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2</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Inflación (%)</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32</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09</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8</w:t>
            </w:r>
            <w:r>
              <w:rPr>
                <w:rFonts w:eastAsia="Calibri" w:cs="Calibri" w:ascii="Calibri" w:hAnsi="Calibri"/>
                <w:color w:val="auto"/>
              </w:rPr>
              <w:t>.</w:t>
            </w:r>
            <w:r>
              <w:rPr>
                <w:rFonts w:eastAsia="Calibri" w:cs="Calibri" w:ascii="Calibri" w:hAnsi="Calibri"/>
                <w:color w:val="auto"/>
              </w:rPr>
              <w:t>39</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w:t>
            </w:r>
            <w:r>
              <w:rPr>
                <w:rFonts w:eastAsia="Calibri" w:cs="Calibri" w:ascii="Calibri" w:hAnsi="Calibri"/>
                <w:color w:val="auto"/>
              </w:rPr>
              <w:t>.</w:t>
            </w:r>
            <w:r>
              <w:rPr>
                <w:rFonts w:eastAsia="Calibri" w:cs="Calibri" w:ascii="Calibri" w:hAnsi="Calibri"/>
                <w:color w:val="auto"/>
              </w:rPr>
              <w:t>53</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2</w:t>
            </w:r>
            <w:r>
              <w:rPr>
                <w:rFonts w:eastAsia="Calibri" w:cs="Calibri" w:ascii="Calibri" w:hAnsi="Calibri"/>
                <w:color w:val="auto"/>
              </w:rPr>
              <w:t>.</w:t>
            </w:r>
            <w:r>
              <w:rPr>
                <w:rFonts w:eastAsia="Calibri" w:cs="Calibri" w:ascii="Calibri" w:hAnsi="Calibri"/>
                <w:color w:val="auto"/>
              </w:rPr>
              <w:t>77</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desempleo (%)</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15</w:t>
            </w:r>
            <w:r>
              <w:rPr>
                <w:rFonts w:eastAsia="Calibri" w:cs="Calibri" w:ascii="Calibri" w:hAnsi="Calibri"/>
                <w:color w:val="auto"/>
              </w:rPr>
              <w:t>.</w:t>
            </w:r>
            <w:r>
              <w:rPr>
                <w:rFonts w:eastAsia="Calibri" w:cs="Calibri" w:ascii="Calibri" w:hAnsi="Calibri"/>
                <w:color w:val="auto"/>
              </w:rPr>
              <w:t>53</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14</w:t>
            </w:r>
            <w:r>
              <w:rPr>
                <w:rFonts w:eastAsia="Calibri" w:cs="Calibri" w:ascii="Calibri" w:hAnsi="Calibri"/>
                <w:color w:val="auto"/>
              </w:rPr>
              <w:t>.</w:t>
            </w:r>
            <w:r>
              <w:rPr>
                <w:rFonts w:eastAsia="Calibri" w:cs="Calibri" w:ascii="Calibri" w:hAnsi="Calibri"/>
                <w:color w:val="auto"/>
              </w:rPr>
              <w:t>78</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12</w:t>
            </w:r>
            <w:r>
              <w:rPr>
                <w:rFonts w:eastAsia="Calibri" w:cs="Calibri" w:ascii="Calibri" w:hAnsi="Calibri"/>
                <w:color w:val="auto"/>
              </w:rPr>
              <w:t>.</w:t>
            </w:r>
            <w:r>
              <w:rPr>
                <w:rFonts w:eastAsia="Calibri" w:cs="Calibri" w:ascii="Calibri" w:hAnsi="Calibri"/>
                <w:color w:val="auto"/>
              </w:rPr>
              <w:t>92</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12</w:t>
            </w:r>
            <w:r>
              <w:rPr>
                <w:rFonts w:eastAsia="Calibri" w:cs="Calibri" w:ascii="Calibri" w:hAnsi="Calibri"/>
                <w:color w:val="auto"/>
              </w:rPr>
              <w:t>.</w:t>
            </w:r>
            <w:r>
              <w:rPr>
                <w:rFonts w:eastAsia="Calibri" w:cs="Calibri" w:ascii="Calibri" w:hAnsi="Calibri"/>
                <w:color w:val="auto"/>
              </w:rPr>
              <w:t>18</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10</w:t>
            </w:r>
            <w:r>
              <w:rPr>
                <w:rFonts w:eastAsia="Calibri" w:cs="Calibri" w:ascii="Calibri" w:hAnsi="Calibri"/>
                <w:color w:val="auto"/>
              </w:rPr>
              <w:t>.</w:t>
            </w:r>
            <w:r>
              <w:rPr>
                <w:rFonts w:eastAsia="Calibri" w:cs="Calibri" w:ascii="Calibri" w:hAnsi="Calibri"/>
                <w:color w:val="auto"/>
              </w:rPr>
              <w:t>60</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Tasa de crecimiento poblacional (%)</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49</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11</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72</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1</w:t>
            </w:r>
            <w:r>
              <w:rPr>
                <w:rFonts w:eastAsia="Calibri" w:cs="Calibri" w:ascii="Calibri" w:hAnsi="Calibri"/>
                <w:color w:val="auto"/>
              </w:rPr>
              <w:t>.</w:t>
            </w:r>
            <w:r>
              <w:rPr>
                <w:rFonts w:eastAsia="Calibri" w:cs="Calibri" w:ascii="Calibri" w:hAnsi="Calibri"/>
                <w:color w:val="auto"/>
              </w:rPr>
              <w:t>23</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0</w:t>
            </w:r>
            <w:r>
              <w:rPr>
                <w:rFonts w:eastAsia="Calibri" w:cs="Calibri" w:ascii="Calibri" w:hAnsi="Calibri"/>
                <w:color w:val="auto"/>
              </w:rPr>
              <w:t>.</w:t>
            </w:r>
            <w:r>
              <w:rPr>
                <w:rFonts w:eastAsia="Calibri" w:cs="Calibri" w:ascii="Calibri" w:hAnsi="Calibri"/>
                <w:color w:val="auto"/>
              </w:rPr>
              <w:t>94</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rPr>
                <w:color w:val="auto"/>
              </w:rPr>
            </w:pPr>
            <w:r>
              <w:rPr>
                <w:rFonts w:eastAsia="Arial" w:cs="Arial" w:ascii="Arial" w:hAnsi="Arial"/>
                <w:color w:val="auto"/>
                <w:sz w:val="18"/>
                <w:szCs w:val="18"/>
              </w:rPr>
              <w:t>Exportaciones (millones USD)</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308</w:t>
            </w:r>
            <w:r>
              <w:rPr>
                <w:rFonts w:eastAsia="Calibri" w:cs="Calibri" w:ascii="Calibri" w:hAnsi="Calibri"/>
                <w:color w:val="auto"/>
              </w:rPr>
              <w:t>,</w:t>
            </w:r>
            <w:r>
              <w:rPr>
                <w:rFonts w:eastAsia="Calibri" w:cs="Calibri" w:ascii="Calibri" w:hAnsi="Calibri"/>
                <w:color w:val="auto"/>
              </w:rPr>
              <w:t>317</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379</w:t>
            </w:r>
            <w:r>
              <w:rPr>
                <w:rFonts w:eastAsia="Calibri" w:cs="Calibri" w:ascii="Calibri" w:hAnsi="Calibri"/>
                <w:color w:val="auto"/>
              </w:rPr>
              <w:t>,</w:t>
            </w:r>
            <w:r>
              <w:rPr>
                <w:rFonts w:eastAsia="Calibri" w:cs="Calibri" w:ascii="Calibri" w:hAnsi="Calibri"/>
                <w:color w:val="auto"/>
              </w:rPr>
              <w:t>969</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415</w:t>
            </w:r>
            <w:r>
              <w:rPr>
                <w:rFonts w:eastAsia="Calibri" w:cs="Calibri" w:ascii="Calibri" w:hAnsi="Calibri"/>
                <w:color w:val="auto"/>
              </w:rPr>
              <w:t>,</w:t>
            </w:r>
            <w:r>
              <w:rPr>
                <w:rFonts w:eastAsia="Calibri" w:cs="Calibri" w:ascii="Calibri" w:hAnsi="Calibri"/>
                <w:color w:val="auto"/>
              </w:rPr>
              <w:t>462</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423</w:t>
            </w:r>
            <w:r>
              <w:rPr>
                <w:rFonts w:eastAsia="Calibri" w:cs="Calibri" w:ascii="Calibri" w:hAnsi="Calibri"/>
                <w:color w:val="auto"/>
              </w:rPr>
              <w:t>,</w:t>
            </w:r>
            <w:r>
              <w:rPr>
                <w:rFonts w:eastAsia="Calibri" w:cs="Calibri" w:ascii="Calibri" w:hAnsi="Calibri"/>
                <w:color w:val="auto"/>
              </w:rPr>
              <w:t>228</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403</w:t>
            </w:r>
            <w:r>
              <w:rPr>
                <w:rFonts w:eastAsia="Calibri" w:cs="Calibri" w:ascii="Calibri" w:hAnsi="Calibri"/>
                <w:color w:val="auto"/>
              </w:rPr>
              <w:t>,</w:t>
            </w:r>
            <w:r>
              <w:rPr>
                <w:rFonts w:eastAsia="Calibri" w:cs="Calibri" w:ascii="Calibri" w:hAnsi="Calibri"/>
                <w:color w:val="auto"/>
              </w:rPr>
              <w:t>702</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Importaciones (millones USD)</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326</w:t>
            </w:r>
            <w:r>
              <w:rPr>
                <w:rFonts w:eastAsia="Calibri" w:cs="Calibri" w:ascii="Calibri" w:hAnsi="Calibri"/>
                <w:color w:val="auto"/>
              </w:rPr>
              <w:t>,</w:t>
            </w:r>
            <w:r>
              <w:rPr>
                <w:rFonts w:eastAsia="Calibri" w:cs="Calibri" w:ascii="Calibri" w:hAnsi="Calibri"/>
                <w:color w:val="auto"/>
              </w:rPr>
              <w:t>192</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419</w:t>
            </w:r>
            <w:r>
              <w:rPr>
                <w:rFonts w:eastAsia="Calibri" w:cs="Calibri" w:ascii="Calibri" w:hAnsi="Calibri"/>
                <w:color w:val="auto"/>
              </w:rPr>
              <w:t>,</w:t>
            </w:r>
            <w:r>
              <w:rPr>
                <w:rFonts w:eastAsia="Calibri" w:cs="Calibri" w:ascii="Calibri" w:hAnsi="Calibri"/>
                <w:color w:val="auto"/>
              </w:rPr>
              <w:t>700</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494</w:t>
            </w:r>
            <w:r>
              <w:rPr>
                <w:rFonts w:eastAsia="Calibri" w:cs="Calibri" w:ascii="Calibri" w:hAnsi="Calibri"/>
                <w:color w:val="auto"/>
              </w:rPr>
              <w:t>,</w:t>
            </w:r>
            <w:r>
              <w:rPr>
                <w:rFonts w:eastAsia="Calibri" w:cs="Calibri" w:ascii="Calibri" w:hAnsi="Calibri"/>
                <w:color w:val="auto"/>
              </w:rPr>
              <w:t>259</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470</w:t>
            </w:r>
            <w:r>
              <w:rPr>
                <w:rFonts w:eastAsia="Calibri" w:cs="Calibri" w:ascii="Calibri" w:hAnsi="Calibri"/>
                <w:color w:val="auto"/>
              </w:rPr>
              <w:t>,</w:t>
            </w:r>
            <w:r>
              <w:rPr>
                <w:rFonts w:eastAsia="Calibri" w:cs="Calibri" w:ascii="Calibri" w:hAnsi="Calibri"/>
                <w:color w:val="auto"/>
              </w:rPr>
              <w:t>329</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451</w:t>
            </w:r>
            <w:r>
              <w:rPr>
                <w:rFonts w:eastAsia="Calibri" w:cs="Calibri" w:ascii="Calibri" w:hAnsi="Calibri"/>
                <w:color w:val="auto"/>
              </w:rPr>
              <w:t>,</w:t>
            </w:r>
            <w:r>
              <w:rPr>
                <w:rFonts w:eastAsia="Calibri" w:cs="Calibri" w:ascii="Calibri" w:hAnsi="Calibri"/>
                <w:color w:val="auto"/>
              </w:rPr>
              <w:t>303</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Población (miles habitantes)</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47</w:t>
            </w:r>
            <w:r>
              <w:rPr>
                <w:rFonts w:eastAsia="Calibri" w:cs="Calibri" w:ascii="Calibri" w:hAnsi="Calibri"/>
                <w:color w:val="auto"/>
              </w:rPr>
              <w:t>,</w:t>
            </w:r>
            <w:r>
              <w:rPr>
                <w:rFonts w:eastAsia="Calibri" w:cs="Calibri" w:ascii="Calibri" w:hAnsi="Calibri"/>
                <w:color w:val="auto"/>
              </w:rPr>
              <w:t>365</w:t>
            </w:r>
            <w:r>
              <w:rPr>
                <w:rFonts w:eastAsia="Calibri" w:cs="Calibri" w:ascii="Calibri" w:hAnsi="Calibri"/>
                <w:color w:val="auto"/>
              </w:rPr>
              <w:t>,</w:t>
            </w:r>
            <w:r>
              <w:rPr>
                <w:rFonts w:eastAsia="Calibri" w:cs="Calibri" w:ascii="Calibri" w:hAnsi="Calibri"/>
                <w:color w:val="auto"/>
              </w:rPr>
              <w:t>655</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47</w:t>
            </w:r>
            <w:r>
              <w:rPr>
                <w:rFonts w:eastAsia="Calibri" w:cs="Calibri" w:ascii="Calibri" w:hAnsi="Calibri"/>
                <w:color w:val="auto"/>
              </w:rPr>
              <w:t>,</w:t>
            </w:r>
            <w:r>
              <w:rPr>
                <w:rFonts w:eastAsia="Calibri" w:cs="Calibri" w:ascii="Calibri" w:hAnsi="Calibri"/>
                <w:color w:val="auto"/>
              </w:rPr>
              <w:t>415</w:t>
            </w:r>
            <w:r>
              <w:rPr>
                <w:rFonts w:eastAsia="Calibri" w:cs="Calibri" w:ascii="Calibri" w:hAnsi="Calibri"/>
                <w:color w:val="auto"/>
              </w:rPr>
              <w:t>,</w:t>
            </w:r>
            <w:r>
              <w:rPr>
                <w:rFonts w:eastAsia="Calibri" w:cs="Calibri" w:ascii="Calibri" w:hAnsi="Calibri"/>
                <w:color w:val="auto"/>
              </w:rPr>
              <w:t>794</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47</w:t>
            </w:r>
            <w:r>
              <w:rPr>
                <w:rFonts w:eastAsia="Calibri" w:cs="Calibri" w:ascii="Calibri" w:hAnsi="Calibri"/>
                <w:color w:val="auto"/>
              </w:rPr>
              <w:t>,</w:t>
            </w:r>
            <w:r>
              <w:rPr>
                <w:rFonts w:eastAsia="Calibri" w:cs="Calibri" w:ascii="Calibri" w:hAnsi="Calibri"/>
                <w:color w:val="auto"/>
              </w:rPr>
              <w:t>759</w:t>
            </w:r>
            <w:r>
              <w:rPr>
                <w:rFonts w:eastAsia="Calibri" w:cs="Calibri" w:ascii="Calibri" w:hAnsi="Calibri"/>
                <w:color w:val="auto"/>
              </w:rPr>
              <w:t>,</w:t>
            </w:r>
            <w:r>
              <w:rPr>
                <w:rFonts w:eastAsia="Calibri" w:cs="Calibri" w:ascii="Calibri" w:hAnsi="Calibri"/>
                <w:color w:val="auto"/>
              </w:rPr>
              <w:t>127</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48</w:t>
            </w:r>
            <w:r>
              <w:rPr>
                <w:rFonts w:eastAsia="Calibri" w:cs="Calibri" w:ascii="Calibri" w:hAnsi="Calibri"/>
                <w:color w:val="auto"/>
              </w:rPr>
              <w:t>,</w:t>
            </w:r>
            <w:r>
              <w:rPr>
                <w:rFonts w:eastAsia="Calibri" w:cs="Calibri" w:ascii="Calibri" w:hAnsi="Calibri"/>
                <w:color w:val="auto"/>
              </w:rPr>
              <w:t>347</w:t>
            </w:r>
            <w:r>
              <w:rPr>
                <w:rFonts w:eastAsia="Calibri" w:cs="Calibri" w:ascii="Calibri" w:hAnsi="Calibri"/>
                <w:color w:val="auto"/>
              </w:rPr>
              <w:t>,</w:t>
            </w:r>
            <w:r>
              <w:rPr>
                <w:rFonts w:eastAsia="Calibri" w:cs="Calibri" w:ascii="Calibri" w:hAnsi="Calibri"/>
                <w:color w:val="auto"/>
              </w:rPr>
              <w:t>910</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48</w:t>
            </w:r>
            <w:r>
              <w:rPr>
                <w:rFonts w:eastAsia="Calibri" w:cs="Calibri" w:ascii="Calibri" w:hAnsi="Calibri"/>
                <w:color w:val="auto"/>
              </w:rPr>
              <w:t>,</w:t>
            </w:r>
            <w:r>
              <w:rPr>
                <w:rFonts w:eastAsia="Calibri" w:cs="Calibri" w:ascii="Calibri" w:hAnsi="Calibri"/>
                <w:color w:val="auto"/>
              </w:rPr>
              <w:t>797</w:t>
            </w:r>
            <w:r>
              <w:rPr>
                <w:rFonts w:eastAsia="Calibri" w:cs="Calibri" w:ascii="Calibri" w:hAnsi="Calibri"/>
                <w:color w:val="auto"/>
              </w:rPr>
              <w:t>,</w:t>
            </w:r>
            <w:r>
              <w:rPr>
                <w:rFonts w:eastAsia="Calibri" w:cs="Calibri" w:ascii="Calibri" w:hAnsi="Calibri"/>
                <w:color w:val="auto"/>
              </w:rPr>
              <w:t>875</w:t>
            </w:r>
          </w:p>
        </w:tc>
      </w:tr>
      <w:tr>
        <w:trPr>
          <w:trHeight w:val="288" w:hRule="atLeast"/>
        </w:trPr>
        <w:tc>
          <w:tcPr>
            <w:tcW w:w="3039" w:type="dxa"/>
            <w:tcBorders>
              <w:left w:val="single" w:sz="4" w:space="0" w:color="000000"/>
              <w:bottom w:val="single" w:sz="4" w:space="0" w:color="000000"/>
              <w:right w:val="single" w:sz="4" w:space="0" w:color="000000"/>
            </w:tcBorders>
            <w:shd w:fill="auto" w:val="clear"/>
            <w:vAlign w:val="center"/>
          </w:tcPr>
          <w:p>
            <w:pPr>
              <w:pStyle w:val="normal1"/>
              <w:spacing w:lineRule="auto" w:line="240" w:before="0" w:after="0"/>
              <w:jc w:val="both"/>
              <w:rPr>
                <w:color w:val="auto"/>
              </w:rPr>
            </w:pPr>
            <w:r>
              <w:rPr>
                <w:rFonts w:eastAsia="Arial" w:cs="Arial" w:ascii="Arial" w:hAnsi="Arial"/>
                <w:color w:val="auto"/>
                <w:sz w:val="18"/>
                <w:szCs w:val="18"/>
              </w:rPr>
              <w:t>PBI per cápita (USD)</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27</w:t>
            </w:r>
            <w:r>
              <w:rPr>
                <w:rFonts w:eastAsia="Calibri" w:cs="Calibri" w:ascii="Calibri" w:hAnsi="Calibri"/>
                <w:color w:val="auto"/>
              </w:rPr>
              <w:t>,</w:t>
            </w:r>
            <w:r>
              <w:rPr>
                <w:rFonts w:eastAsia="Calibri" w:cs="Calibri" w:ascii="Calibri" w:hAnsi="Calibri"/>
                <w:color w:val="auto"/>
              </w:rPr>
              <w:t>230</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30</w:t>
            </w:r>
            <w:r>
              <w:rPr>
                <w:rFonts w:eastAsia="Calibri" w:cs="Calibri" w:ascii="Calibri" w:hAnsi="Calibri"/>
                <w:color w:val="auto"/>
              </w:rPr>
              <w:t>,</w:t>
            </w:r>
            <w:r>
              <w:rPr>
                <w:rFonts w:eastAsia="Calibri" w:cs="Calibri" w:ascii="Calibri" w:hAnsi="Calibri"/>
                <w:color w:val="auto"/>
              </w:rPr>
              <w:t>818</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30</w:t>
            </w:r>
            <w:r>
              <w:rPr>
                <w:rFonts w:eastAsia="Calibri" w:cs="Calibri" w:ascii="Calibri" w:hAnsi="Calibri"/>
                <w:color w:val="auto"/>
              </w:rPr>
              <w:t>,</w:t>
            </w:r>
            <w:r>
              <w:rPr>
                <w:rFonts w:eastAsia="Calibri" w:cs="Calibri" w:ascii="Calibri" w:hAnsi="Calibri"/>
                <w:color w:val="auto"/>
              </w:rPr>
              <w:t>287</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33</w:t>
            </w:r>
            <w:r>
              <w:rPr>
                <w:rFonts w:eastAsia="Calibri" w:cs="Calibri" w:ascii="Calibri" w:hAnsi="Calibri"/>
                <w:color w:val="auto"/>
              </w:rPr>
              <w:t>,</w:t>
            </w:r>
            <w:r>
              <w:rPr>
                <w:rFonts w:eastAsia="Calibri" w:cs="Calibri" w:ascii="Calibri" w:hAnsi="Calibri"/>
                <w:color w:val="auto"/>
              </w:rPr>
              <w:t>509</w:t>
            </w:r>
          </w:p>
        </w:tc>
        <w:tc>
          <w:tcPr>
            <w:tcW w:w="1280" w:type="dxa"/>
            <w:tcBorders>
              <w:bottom w:val="single" w:sz="4" w:space="0" w:color="000000"/>
              <w:right w:val="single" w:sz="4" w:space="0" w:color="000000"/>
            </w:tcBorders>
            <w:shd w:fill="auto" w:val="clear"/>
            <w:vAlign w:val="bottom"/>
          </w:tcPr>
          <w:p>
            <w:pPr>
              <w:pStyle w:val="normal1"/>
              <w:spacing w:lineRule="auto" w:line="240" w:before="0" w:after="0"/>
              <w:jc w:val="center"/>
              <w:rPr>
                <w:color w:val="auto"/>
              </w:rPr>
            </w:pPr>
            <w:r>
              <w:rPr>
                <w:rFonts w:eastAsia="Calibri" w:cs="Calibri" w:ascii="Calibri" w:hAnsi="Calibri"/>
                <w:color w:val="auto"/>
              </w:rPr>
              <w:t> </w:t>
            </w:r>
            <w:r>
              <w:rPr>
                <w:rFonts w:eastAsia="Calibri" w:cs="Calibri" w:ascii="Calibri" w:hAnsi="Calibri"/>
                <w:color w:val="auto"/>
              </w:rPr>
              <w:t>35</w:t>
            </w:r>
            <w:r>
              <w:rPr>
                <w:rFonts w:eastAsia="Calibri" w:cs="Calibri" w:ascii="Calibri" w:hAnsi="Calibri"/>
                <w:color w:val="auto"/>
              </w:rPr>
              <w:t>,</w:t>
            </w:r>
            <w:r>
              <w:rPr>
                <w:rFonts w:eastAsia="Calibri" w:cs="Calibri" w:ascii="Calibri" w:hAnsi="Calibri"/>
                <w:color w:val="auto"/>
              </w:rPr>
              <w:t>092</w:t>
            </w:r>
          </w:p>
        </w:tc>
      </w:tr>
    </w:tbl>
    <w:p>
      <w:pPr>
        <w:pStyle w:val="normal1"/>
        <w:widowControl w:val="false"/>
        <w:ind w:hanging="0" w:left="2"/>
        <w:jc w:val="center"/>
        <w:rPr>
          <w:rFonts w:ascii="Arial" w:hAnsi="Arial" w:eastAsia="Arial" w:cs="Arial"/>
          <w:b/>
          <w:color w:val="auto"/>
        </w:rPr>
      </w:pPr>
      <w:r>
        <w:rPr>
          <w:rFonts w:eastAsia="Arial" w:cs="Arial" w:ascii="Arial" w:hAnsi="Arial"/>
          <w:b/>
          <w:color w:val="auto"/>
        </w:rPr>
      </w:r>
    </w:p>
    <w:p>
      <w:pPr>
        <w:pStyle w:val="normal1"/>
        <w:spacing w:lineRule="auto" w:line="240" w:before="0" w:after="0"/>
        <w:jc w:val="both"/>
        <w:rPr>
          <w:color w:val="auto"/>
        </w:rPr>
      </w:pPr>
      <w:bookmarkStart w:id="3" w:name="_heading=h.mlc69bxire8o"/>
      <w:bookmarkEnd w:id="3"/>
      <w:r>
        <w:rPr>
          <w:rFonts w:eastAsia="Arial" w:cs="Arial" w:ascii="Arial" w:hAnsi="Arial"/>
          <w:color w:val="auto"/>
          <w:sz w:val="16"/>
          <w:szCs w:val="16"/>
        </w:rPr>
        <w:t>Fuente: Banco mundial, Trademap.</w:t>
      </w:r>
    </w:p>
    <w:p>
      <w:pPr>
        <w:pStyle w:val="normal1"/>
        <w:spacing w:lineRule="auto" w:line="240" w:before="0" w:after="0"/>
        <w:jc w:val="both"/>
        <w:rPr>
          <w:color w:val="auto"/>
        </w:rPr>
      </w:pPr>
      <w:r>
        <w:rPr>
          <w:rFonts w:eastAsia="Arial" w:cs="Arial" w:ascii="Arial" w:hAnsi="Arial"/>
          <w:color w:val="auto"/>
          <w:sz w:val="16"/>
          <w:szCs w:val="16"/>
        </w:rPr>
        <w:t xml:space="preserve">Elaboración: propia </w:t>
      </w:r>
    </w:p>
    <w:p>
      <w:pPr>
        <w:pStyle w:val="normal1"/>
        <w:spacing w:lineRule="auto" w:line="360"/>
        <w:rPr>
          <w:rFonts w:ascii="Arial" w:hAnsi="Arial" w:eastAsia="Arial" w:cs="Arial"/>
          <w:color w:val="auto"/>
        </w:rPr>
      </w:pPr>
      <w:r>
        <w:rPr>
          <w:rFonts w:eastAsia="Arial" w:cs="Arial" w:ascii="Arial" w:hAnsi="Arial"/>
          <w:color w:val="auto"/>
        </w:rPr>
      </w:r>
    </w:p>
    <w:p>
      <w:pPr>
        <w:pStyle w:val="normal1"/>
        <w:spacing w:lineRule="auto" w:line="360"/>
        <w:jc w:val="both"/>
        <w:rPr>
          <w:color w:val="auto"/>
        </w:rPr>
      </w:pPr>
      <w:r>
        <w:rPr>
          <w:rFonts w:eastAsia="Arial" w:cs="Arial" w:ascii="Arial" w:hAnsi="Arial"/>
          <w:color w:val="auto"/>
        </w:rPr>
        <w:t>En base a los diferentes factores evaluados en este apartado, se concluye que nuestros principales competidores en el mundo son: Mozambique, la India y Myanmar; y en América Latina nuestro competidor más cercano es República Dominicana con una baja participación en las exportaciones mundiales.</w:t>
      </w:r>
    </w:p>
    <w:p>
      <w:pPr>
        <w:pStyle w:val="normal1"/>
        <w:spacing w:lineRule="auto" w:line="360"/>
        <w:jc w:val="both"/>
        <w:rPr>
          <w:color w:val="auto"/>
        </w:rPr>
      </w:pPr>
      <w:r>
        <w:rPr>
          <w:rFonts w:eastAsia="Arial" w:cs="Arial" w:ascii="Arial" w:hAnsi="Arial"/>
          <w:color w:val="auto"/>
        </w:rPr>
        <w:t>Por otro lado, dentro de los países compradores, se concluye que Estados Unidos representa el mercado clave más estratégico para iniciar o fortalecer las exportaciones del producto tarwi (Lupinus mutabilis) bajo la partida arancelaria 0713.90: “hortalizas secas, desvainadas, aunque estén mondadas o partidas, de otras clases”.</w:t>
      </w:r>
    </w:p>
    <w:p>
      <w:pPr>
        <w:pStyle w:val="normal1"/>
        <w:spacing w:lineRule="auto" w:line="360"/>
        <w:jc w:val="both"/>
        <w:rPr>
          <w:color w:val="auto"/>
        </w:rPr>
      </w:pPr>
      <w:r>
        <w:rPr>
          <w:rFonts w:eastAsia="Arial" w:cs="Arial" w:ascii="Arial" w:hAnsi="Arial"/>
          <w:color w:val="auto"/>
        </w:rPr>
        <w:t>Esta decisión se sustenta en varios factores clave. En primer lugar, Estados Unidos se encuentra clasificado dentro del segmento “estrella” según la metodología CEPAL, este mercado representa una participación del 6% en las importaciones globales así como una tasa de crecimiento promedio positiva. Aunque su CRCn actual es negativo (-0,40), lo que indica una capacidad relativa de compra moderada frente a otros países, su crecimiento interanual de importaciones de 34 % refleja una demanda creciente y sostenida. Asimismo, la economía estadounidense mantiene una sólida expansión, con un crecimiento del PBI de 2,82 % en 2024, inflación moderada (2,95 %), y una tasa de desempleo baja (4,1 %), lo que se traduce en un entorno económico estable y con alto poder adquisitivo.</w:t>
      </w:r>
    </w:p>
    <w:p>
      <w:pPr>
        <w:pStyle w:val="normal1"/>
        <w:spacing w:lineRule="auto" w:line="360"/>
        <w:jc w:val="both"/>
        <w:rPr>
          <w:color w:val="auto"/>
        </w:rPr>
      </w:pPr>
      <w:r>
        <w:rPr>
          <w:rFonts w:eastAsia="Arial" w:cs="Arial" w:ascii="Arial" w:hAnsi="Arial"/>
          <w:color w:val="auto"/>
        </w:rPr>
        <w:t>Además, Estados Unidos presenta condiciones culturales y de mercado altamente favorables para productos como el tarwi, gracias al auge del consumo saludable, la demanda por proteínas vegetales, y la búsqueda de superalimentos por parte de consumidores veganos, vegetarianos y con conciencia nutricional. Esta tendencia encaja perfectamente con las características funcionales y nutricionales del tarwi. La existencia de un Tratado de Libre Comercio con Perú facilita el acceso al mercado, y si bien se ha anunciado un nuevo arancel del 10 % para ciertos productos, el mercado estadounidense sigue siendo atractivo por su volumen, diversificación de canales de distribución y alto valor por tonelada.</w:t>
      </w:r>
    </w:p>
    <w:p>
      <w:pPr>
        <w:pStyle w:val="normal1"/>
        <w:spacing w:lineRule="auto" w:line="360" w:before="0" w:after="200"/>
        <w:jc w:val="both"/>
        <w:rPr>
          <w:color w:val="auto"/>
        </w:rPr>
      </w:pPr>
      <w:r>
        <w:rPr>
          <w:rFonts w:eastAsia="Arial" w:cs="Arial" w:ascii="Arial" w:hAnsi="Arial"/>
          <w:color w:val="auto"/>
        </w:rPr>
        <w:t>En este sentido, Estados Unidos no sólo reúne las condiciones macroeconómicas, comerciales y de demanda más prometedoras, sino que también coincide con los intereses estratégicos actuales de la empresa, que ya mantiene una relación indirecta con este destino a través de exportaciones a Ecuador. Por tanto, se define a Estados Unidos como el país prioritario para las exportaciones directas de tarwi de Joyas Andinas S.A.C., con alto potencial de posicionamiento en segmentos diferenciados y de valor agregado.</w:t>
      </w:r>
    </w:p>
    <w:sectPr>
      <w:footnotePr>
        <w:numFmt w:val="decimal"/>
      </w:footnote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default"/>
  </w:font>
  <w:font w:name="Calibri">
    <w:charset w:val="01"/>
    <w:family w:val="roman"/>
    <w:pitch w:val="default"/>
  </w:font>
  <w:font w:name="Courier">
    <w:altName w:val="Courier New"/>
    <w:charset w:val="01"/>
    <w:family w:val="roman"/>
    <w:pitch w:val="default"/>
  </w:font>
  <w:font w:name="Times New Roman">
    <w:charset w:val="01"/>
    <w:family w:val="roman"/>
    <w:pitch w:val="default"/>
  </w:font>
  <w:font w:name="Arial">
    <w:charset w:val="01"/>
    <w:family w:val="roman"/>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normal1"/>
        <w:spacing w:lineRule="auto" w:line="240" w:before="0" w:after="0"/>
        <w:rPr>
          <w:sz w:val="16"/>
          <w:szCs w:val="16"/>
        </w:rPr>
      </w:pPr>
      <w:r>
        <w:rPr>
          <w:rStyle w:val="FootnoteCharacters"/>
        </w:rPr>
        <w:footnoteRef/>
      </w:r>
      <w:r>
        <w:rPr>
          <w:sz w:val="20"/>
          <w:szCs w:val="20"/>
        </w:rPr>
        <w:t xml:space="preserve">  </w:t>
      </w:r>
      <w:r>
        <w:rPr>
          <w:sz w:val="16"/>
          <w:szCs w:val="16"/>
        </w:rPr>
        <w:t xml:space="preserve">Leyenda VCRn </w:t>
      </w:r>
    </w:p>
    <w:p>
      <w:pPr>
        <w:pStyle w:val="normal1"/>
        <w:spacing w:lineRule="auto" w:line="240" w:before="0" w:after="0"/>
        <w:rPr>
          <w:sz w:val="16"/>
          <w:szCs w:val="16"/>
        </w:rPr>
      </w:pPr>
      <w:r>
        <w:rPr>
          <w:sz w:val="16"/>
          <w:szCs w:val="16"/>
        </w:rPr>
        <w:t>x &lt; 0 → Desventaja comparativa</w:t>
      </w:r>
    </w:p>
    <w:p>
      <w:pPr>
        <w:pStyle w:val="normal1"/>
        <w:spacing w:lineRule="auto" w:line="240" w:before="0" w:after="0"/>
        <w:rPr>
          <w:sz w:val="16"/>
          <w:szCs w:val="16"/>
        </w:rPr>
      </w:pPr>
      <w:r>
        <w:rPr>
          <w:sz w:val="16"/>
          <w:szCs w:val="16"/>
        </w:rPr>
        <w:t>x = 0 → Sin ventaja ni desventaja</w:t>
      </w:r>
    </w:p>
    <w:p>
      <w:pPr>
        <w:pStyle w:val="normal1"/>
        <w:spacing w:lineRule="auto" w:line="240" w:before="0" w:after="0"/>
        <w:rPr>
          <w:sz w:val="20"/>
          <w:szCs w:val="20"/>
        </w:rPr>
      </w:pPr>
      <w:r>
        <w:rPr>
          <w:sz w:val="16"/>
          <w:szCs w:val="16"/>
        </w:rPr>
        <w:t>x &gt; 0 → Ventaja comparativa</w:t>
      </w:r>
    </w:p>
  </w:footnote>
  <w:footnote w:id="3">
    <w:p>
      <w:pPr>
        <w:pStyle w:val="normal1"/>
        <w:spacing w:lineRule="auto" w:line="276" w:before="0" w:after="0"/>
        <w:rPr>
          <w:sz w:val="20"/>
          <w:szCs w:val="20"/>
        </w:rPr>
      </w:pPr>
      <w:r>
        <w:rPr>
          <w:rStyle w:val="FootnoteCharacters"/>
        </w:rPr>
        <w:footnoteRef/>
      </w:r>
      <w:r>
        <w:rPr>
          <w:sz w:val="16"/>
          <w:szCs w:val="16"/>
        </w:rPr>
        <w:t xml:space="preserve"> </w:t>
      </w:r>
      <w:r>
        <w:rPr>
          <w:sz w:val="16"/>
          <w:szCs w:val="16"/>
        </w:rPr>
        <w:t>Leyenda IHH</w:t>
      </w:r>
      <w:r>
        <w:rPr>
          <w:sz w:val="20"/>
          <w:szCs w:val="20"/>
        </w:rPr>
        <w:t>:</w:t>
      </w:r>
    </w:p>
    <w:p>
      <w:pPr>
        <w:pStyle w:val="normal1"/>
        <w:spacing w:lineRule="auto" w:line="276" w:before="0" w:after="0"/>
        <w:rPr>
          <w:sz w:val="16"/>
          <w:szCs w:val="16"/>
        </w:rPr>
      </w:pPr>
      <w:r>
        <w:rPr>
          <w:sz w:val="16"/>
          <w:szCs w:val="16"/>
        </w:rPr>
        <w:t>x = 0 Competencia</w:t>
      </w:r>
    </w:p>
    <w:p>
      <w:pPr>
        <w:pStyle w:val="normal1"/>
        <w:spacing w:lineRule="auto" w:line="276" w:before="0" w:after="0"/>
        <w:rPr>
          <w:sz w:val="16"/>
          <w:szCs w:val="16"/>
        </w:rPr>
      </w:pPr>
      <w:r>
        <w:rPr>
          <w:sz w:val="16"/>
          <w:szCs w:val="16"/>
        </w:rPr>
        <w:t>0 &lt; x &lt;=1,000 Diversificado</w:t>
      </w:r>
    </w:p>
    <w:p>
      <w:pPr>
        <w:pStyle w:val="normal1"/>
        <w:spacing w:lineRule="auto" w:line="276" w:before="0" w:after="0"/>
        <w:rPr>
          <w:sz w:val="16"/>
          <w:szCs w:val="16"/>
        </w:rPr>
      </w:pPr>
      <w:r>
        <w:rPr>
          <w:sz w:val="16"/>
          <w:szCs w:val="16"/>
        </w:rPr>
        <w:t>1,000 &lt; x &lt;=1,800 Moderadamente Concentrado</w:t>
      </w:r>
    </w:p>
    <w:p>
      <w:pPr>
        <w:pStyle w:val="normal1"/>
        <w:spacing w:lineRule="auto" w:line="276" w:before="0" w:after="0"/>
        <w:rPr>
          <w:sz w:val="16"/>
          <w:szCs w:val="16"/>
        </w:rPr>
      </w:pPr>
      <w:r>
        <w:rPr>
          <w:sz w:val="16"/>
          <w:szCs w:val="16"/>
        </w:rPr>
        <w:t>1,800 &lt; x &lt;=10,000 Altamente Concentrado</w:t>
      </w:r>
    </w:p>
    <w:p>
      <w:pPr>
        <w:pStyle w:val="normal1"/>
        <w:spacing w:lineRule="auto" w:line="276" w:before="0" w:after="0"/>
        <w:rPr>
          <w:sz w:val="16"/>
          <w:szCs w:val="16"/>
        </w:rPr>
      </w:pPr>
      <w:r>
        <w:rPr>
          <w:sz w:val="16"/>
          <w:szCs w:val="16"/>
        </w:rPr>
        <w:t xml:space="preserve">x = 10,000 Monopolio </w:t>
      </w:r>
    </w:p>
    <w:p>
      <w:pPr>
        <w:pStyle w:val="normal1"/>
        <w:spacing w:lineRule="auto" w:line="240" w:before="0" w:after="0"/>
        <w:rPr>
          <w:sz w:val="20"/>
          <w:szCs w:val="20"/>
        </w:rPr>
      </w:pPr>
      <w:r>
        <w:rPr/>
      </w:r>
    </w:p>
  </w:footnote>
  <w:footnote w:id="4">
    <w:p>
      <w:pPr>
        <w:pStyle w:val="normal1"/>
        <w:spacing w:lineRule="auto" w:line="240" w:before="0" w:after="0"/>
        <w:rPr>
          <w:sz w:val="16"/>
          <w:szCs w:val="16"/>
        </w:rPr>
      </w:pPr>
      <w:r>
        <w:rPr>
          <w:rStyle w:val="FootnoteCharacters"/>
        </w:rPr>
        <w:footnoteRef/>
      </w:r>
      <w:r>
        <w:rPr>
          <w:sz w:val="20"/>
          <w:szCs w:val="20"/>
        </w:rPr>
        <w:t xml:space="preserve">  </w:t>
      </w:r>
      <w:r>
        <w:rPr>
          <w:sz w:val="16"/>
          <w:szCs w:val="16"/>
        </w:rPr>
        <w:t>Leyenda CRCn (Capacidad Relativa de Compra normalizada):</w:t>
      </w:r>
    </w:p>
    <w:p>
      <w:pPr>
        <w:pStyle w:val="normal1"/>
        <w:spacing w:lineRule="auto" w:line="240" w:before="0" w:after="0"/>
        <w:rPr>
          <w:sz w:val="16"/>
          <w:szCs w:val="16"/>
        </w:rPr>
      </w:pPr>
      <w:r>
        <w:rPr>
          <w:sz w:val="16"/>
          <w:szCs w:val="16"/>
        </w:rPr>
        <w:t>x &lt; 0 → Baja capacidad de compra relativa</w:t>
      </w:r>
    </w:p>
    <w:p>
      <w:pPr>
        <w:pStyle w:val="normal1"/>
        <w:spacing w:lineRule="auto" w:line="240" w:before="0" w:after="0"/>
        <w:rPr>
          <w:sz w:val="16"/>
          <w:szCs w:val="16"/>
        </w:rPr>
      </w:pPr>
      <w:r>
        <w:rPr>
          <w:sz w:val="16"/>
          <w:szCs w:val="16"/>
        </w:rPr>
        <w:t>x = 0 → Capacidad promedio</w:t>
      </w:r>
    </w:p>
    <w:p>
      <w:pPr>
        <w:pStyle w:val="normal1"/>
        <w:spacing w:lineRule="auto" w:line="240" w:before="0" w:after="0"/>
        <w:rPr>
          <w:sz w:val="20"/>
          <w:szCs w:val="20"/>
        </w:rPr>
      </w:pPr>
      <w:r>
        <w:rPr>
          <w:sz w:val="16"/>
          <w:szCs w:val="16"/>
        </w:rPr>
        <w:t>x &gt; 0 → Alta capacidad de compra relativa</w:t>
      </w:r>
    </w:p>
    <w:p>
      <w:pPr>
        <w:pStyle w:val="normal1"/>
        <w:spacing w:lineRule="auto" w:line="240" w:before="0" w:after="0"/>
        <w:rPr>
          <w:sz w:val="20"/>
          <w:szCs w:val="20"/>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s-PE"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mbria" w:hAnsi="Cambria" w:eastAsia="Cambria" w:cs="Cambria"/>
      <w:color w:val="auto"/>
      <w:kern w:val="0"/>
      <w:sz w:val="22"/>
      <w:szCs w:val="22"/>
      <w:lang w:val="es-PE"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i/>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color w:val="243F61"/>
    </w:rPr>
  </w:style>
  <w:style w:type="paragraph" w:styleId="Heading7">
    <w:name w:val="heading 7"/>
    <w:basedOn w:val="normal1"/>
    <w:next w:val="normal1"/>
    <w:link w:val="Ttulo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1"/>
    <w:next w:val="normal1"/>
    <w:link w:val="Ttulo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1"/>
    <w:next w:val="normal1"/>
    <w:link w:val="Ttulo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8bf"/>
    <w:rPr/>
  </w:style>
  <w:style w:type="character" w:styleId="PiedepginaCar" w:customStyle="1">
    <w:name w:val="Pie de página Car"/>
    <w:basedOn w:val="DefaultParagraphFont"/>
    <w:link w:val="Footer"/>
    <w:uiPriority w:val="99"/>
    <w:qFormat/>
    <w:rsid w:val="00e618bf"/>
    <w:rPr/>
  </w:style>
  <w:style w:type="character" w:styleId="Ttulo1Car" w:customStyle="1">
    <w:name w:val="Título 1 C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ar" w:customStyle="1">
    <w:name w:val="Título C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semiHidden/>
    <w:unhideWhenUsed/>
    <w:rsid w:val="00c5067c"/>
    <w:rPr>
      <w:color w:val="0000FF"/>
      <w:u w:val="single"/>
    </w:rPr>
  </w:style>
  <w:style w:type="character" w:styleId="FollowedHyperlink">
    <w:name w:val="FollowedHyperlink"/>
    <w:basedOn w:val="DefaultParagraphFont"/>
    <w:uiPriority w:val="99"/>
    <w:semiHidden/>
    <w:unhideWhenUsed/>
    <w:rsid w:val="00c5067c"/>
    <w:rPr>
      <w:color w:themeColor="followedHyperlink" w:val="800080"/>
      <w:u w:val="single"/>
    </w:rPr>
  </w:style>
  <w:style w:type="character" w:styleId="LineNumber">
    <w:name w:val="line number"/>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SemiCondensed"/>
      <w:sz w:val="24"/>
      <w:szCs w:val="28"/>
    </w:rPr>
  </w:style>
  <w:style w:type="paragraph" w:styleId="BodyText">
    <w:name w:val="Body Text"/>
    <w:basedOn w:val="normal1"/>
    <w:link w:val="TextoindependienteCar"/>
    <w:uiPriority w:val="99"/>
    <w:unhideWhenUsed/>
    <w:rsid w:val="00aa1d8d"/>
    <w:pPr>
      <w:spacing w:before="0" w:after="120"/>
    </w:pPr>
    <w:rPr/>
  </w:style>
  <w:style w:type="paragraph" w:styleId="List">
    <w:name w:val="List"/>
    <w:basedOn w:val="normal1"/>
    <w:uiPriority w:val="99"/>
    <w:unhideWhenUsed/>
    <w:rsid w:val="00aa1d8d"/>
    <w:pPr>
      <w:spacing w:before="0" w:after="200"/>
      <w:ind w:hanging="360" w:left="360"/>
      <w:contextualSpacing/>
    </w:pPr>
    <w:rPr/>
  </w:style>
  <w:style w:type="paragraph" w:styleId="Caption">
    <w:name w:val="caption"/>
    <w:basedOn w:val="normal1"/>
    <w:next w:val="normal1"/>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Times New Roman" w:hAnsi="Times New Roman" w:cs="Noto Sans Devanagari SemiCondensed"/>
    </w:rPr>
  </w:style>
  <w:style w:type="paragraph" w:styleId="normal1" w:default="1">
    <w:name w:val="normal1"/>
    <w:qFormat/>
    <w:pPr>
      <w:widowControl/>
      <w:bidi w:val="0"/>
      <w:spacing w:lineRule="auto" w:line="276" w:before="0" w:after="200"/>
      <w:jc w:val="left"/>
    </w:pPr>
    <w:rPr>
      <w:rFonts w:ascii="Cambria" w:hAnsi="Cambria" w:eastAsia="Cambria" w:cs="Cambria"/>
      <w:color w:val="auto"/>
      <w:kern w:val="0"/>
      <w:sz w:val="22"/>
      <w:szCs w:val="22"/>
      <w:lang w:val="es-PE"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HeaderandFooter">
    <w:name w:val="Header and Footer"/>
    <w:basedOn w:val="Normal"/>
    <w:qFormat/>
    <w:pPr/>
    <w:rPr/>
  </w:style>
  <w:style w:type="paragraph" w:styleId="Header">
    <w:name w:val="header"/>
    <w:basedOn w:val="normal1"/>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Cambria" w:cs="Cambria"/>
      <w:color w:val="auto"/>
      <w:kern w:val="0"/>
      <w:sz w:val="22"/>
      <w:szCs w:val="22"/>
      <w:lang w:val="es-PE" w:eastAsia="zh-CN" w:bidi="hi-IN"/>
    </w:rPr>
  </w:style>
  <w:style w:type="paragraph" w:styleId="ListParagraph">
    <w:name w:val="List Paragraph"/>
    <w:basedOn w:val="normal1"/>
    <w:uiPriority w:val="34"/>
    <w:qFormat/>
    <w:rsid w:val="00fc693f"/>
    <w:pPr>
      <w:spacing w:before="0" w:after="200"/>
      <w:ind w:left="720"/>
      <w:contextualSpacing/>
    </w:pPr>
    <w:rPr/>
  </w:style>
  <w:style w:type="paragraph" w:styleId="BodyText2">
    <w:name w:val="Body Text 2"/>
    <w:basedOn w:val="normal1"/>
    <w:link w:val="Textoindependiente2Car"/>
    <w:uiPriority w:val="99"/>
    <w:unhideWhenUsed/>
    <w:qFormat/>
    <w:rsid w:val="00aa1d8d"/>
    <w:pPr>
      <w:spacing w:lineRule="auto" w:line="480" w:before="0" w:after="120"/>
    </w:pPr>
    <w:rPr/>
  </w:style>
  <w:style w:type="paragraph" w:styleId="BodyText3">
    <w:name w:val="Body Text 3"/>
    <w:basedOn w:val="normal1"/>
    <w:link w:val="Textoindependiente3Car"/>
    <w:uiPriority w:val="99"/>
    <w:unhideWhenUsed/>
    <w:qFormat/>
    <w:rsid w:val="00aa1d8d"/>
    <w:pPr>
      <w:spacing w:before="0" w:after="120"/>
    </w:pPr>
    <w:rPr>
      <w:sz w:val="16"/>
      <w:szCs w:val="16"/>
    </w:rPr>
  </w:style>
  <w:style w:type="paragraph" w:styleId="List2">
    <w:name w:val="List 2"/>
    <w:basedOn w:val="normal1"/>
    <w:uiPriority w:val="99"/>
    <w:unhideWhenUsed/>
    <w:qFormat/>
    <w:rsid w:val="00326f90"/>
    <w:pPr>
      <w:spacing w:before="0" w:after="200"/>
      <w:ind w:hanging="360" w:left="720"/>
      <w:contextualSpacing/>
    </w:pPr>
    <w:rPr/>
  </w:style>
  <w:style w:type="paragraph" w:styleId="List3">
    <w:name w:val="List 3"/>
    <w:basedOn w:val="normal1"/>
    <w:uiPriority w:val="99"/>
    <w:unhideWhenUsed/>
    <w:qFormat/>
    <w:rsid w:val="00326f90"/>
    <w:pPr>
      <w:spacing w:before="0" w:after="200"/>
      <w:ind w:hanging="360" w:left="1080"/>
      <w:contextualSpacing/>
    </w:pPr>
    <w:rPr/>
  </w:style>
  <w:style w:type="paragraph" w:styleId="ListBullet">
    <w:name w:val="List Bullet"/>
    <w:basedOn w:val="normal1"/>
    <w:uiPriority w:val="99"/>
    <w:unhideWhenUsed/>
    <w:rsid w:val="00326f90"/>
    <w:pPr>
      <w:numPr>
        <w:ilvl w:val="0"/>
        <w:numId w:val="1"/>
      </w:numPr>
      <w:spacing w:before="0" w:after="200"/>
      <w:contextualSpacing/>
    </w:pPr>
    <w:rPr/>
  </w:style>
  <w:style w:type="paragraph" w:styleId="ListBullet2">
    <w:name w:val="List Bullet 2"/>
    <w:basedOn w:val="normal1"/>
    <w:uiPriority w:val="99"/>
    <w:unhideWhenUsed/>
    <w:rsid w:val="00326f90"/>
    <w:pPr>
      <w:numPr>
        <w:ilvl w:val="0"/>
        <w:numId w:val="2"/>
      </w:numPr>
      <w:spacing w:before="0" w:after="200"/>
      <w:contextualSpacing/>
    </w:pPr>
    <w:rPr/>
  </w:style>
  <w:style w:type="paragraph" w:styleId="ListBullet3">
    <w:name w:val="List Bullet 3"/>
    <w:basedOn w:val="normal1"/>
    <w:uiPriority w:val="99"/>
    <w:unhideWhenUsed/>
    <w:rsid w:val="00326f90"/>
    <w:pPr>
      <w:spacing w:before="0" w:after="200"/>
      <w:contextualSpacing/>
    </w:pPr>
    <w:rPr/>
  </w:style>
  <w:style w:type="paragraph" w:styleId="ListNumber">
    <w:name w:val="List Number"/>
    <w:basedOn w:val="normal1"/>
    <w:uiPriority w:val="99"/>
    <w:unhideWhenUsed/>
    <w:rsid w:val="00326f90"/>
    <w:pPr>
      <w:spacing w:before="0" w:after="200"/>
      <w:contextualSpacing/>
    </w:pPr>
    <w:rPr/>
  </w:style>
  <w:style w:type="paragraph" w:styleId="ListNumber2">
    <w:name w:val="List Number 2"/>
    <w:basedOn w:val="normal1"/>
    <w:uiPriority w:val="99"/>
    <w:unhideWhenUsed/>
    <w:rsid w:val="0029639d"/>
    <w:pPr>
      <w:spacing w:before="0" w:after="200"/>
      <w:contextualSpacing/>
    </w:pPr>
    <w:rPr/>
  </w:style>
  <w:style w:type="paragraph" w:styleId="ListNumber3">
    <w:name w:val="List Number 3"/>
    <w:basedOn w:val="normal1"/>
    <w:uiPriority w:val="99"/>
    <w:unhideWhenUsed/>
    <w:rsid w:val="0029639d"/>
    <w:pPr>
      <w:spacing w:before="0" w:after="200"/>
      <w:contextualSpacing/>
    </w:pPr>
    <w:rPr/>
  </w:style>
  <w:style w:type="paragraph" w:styleId="ListContinue">
    <w:name w:val="List Continue"/>
    <w:basedOn w:val="normal1"/>
    <w:uiPriority w:val="99"/>
    <w:unhideWhenUsed/>
    <w:rsid w:val="0029639d"/>
    <w:pPr>
      <w:spacing w:before="0" w:after="120"/>
      <w:ind w:left="360"/>
      <w:contextualSpacing/>
    </w:pPr>
    <w:rPr/>
  </w:style>
  <w:style w:type="paragraph" w:styleId="ListContinue2">
    <w:name w:val="List Continue 2"/>
    <w:basedOn w:val="normal1"/>
    <w:uiPriority w:val="99"/>
    <w:unhideWhenUsed/>
    <w:rsid w:val="0029639d"/>
    <w:pPr>
      <w:spacing w:before="0" w:after="120"/>
      <w:ind w:left="720"/>
      <w:contextualSpacing/>
    </w:pPr>
    <w:rPr/>
  </w:style>
  <w:style w:type="paragraph" w:styleId="ListContinue3">
    <w:name w:val="List Continue 3"/>
    <w:basedOn w:val="normal1"/>
    <w:uiPriority w:val="99"/>
    <w:unhideWhenUsed/>
    <w:rsid w:val="0029639d"/>
    <w:pPr>
      <w:spacing w:before="0" w:after="120"/>
      <w:ind w:lef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Cambria" w:cs="Cambria"/>
      <w:color w:val="auto"/>
      <w:kern w:val="0"/>
      <w:sz w:val="20"/>
      <w:szCs w:val="20"/>
      <w:lang w:val="es-PE" w:eastAsia="zh-CN" w:bidi="hi-IN"/>
    </w:rPr>
  </w:style>
  <w:style w:type="paragraph" w:styleId="Quote">
    <w:name w:val="Quote"/>
    <w:basedOn w:val="normal1"/>
    <w:next w:val="normal1"/>
    <w:link w:val="CitaCar"/>
    <w:uiPriority w:val="29"/>
    <w:qFormat/>
    <w:rsid w:val="00fc693f"/>
    <w:pPr/>
    <w:rPr>
      <w:i/>
      <w:iCs/>
      <w:color w:themeColor="text1" w:val="000000"/>
    </w:rPr>
  </w:style>
  <w:style w:type="paragraph" w:styleId="IntenseQuote">
    <w:name w:val="Intense Quote"/>
    <w:basedOn w:val="normal1"/>
    <w:next w:val="normal1"/>
    <w:link w:val="Citadestacada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IndexHeading"/>
    <w:next w:val="normal1"/>
    <w:uiPriority w:val="39"/>
    <w:semiHidden/>
    <w:unhideWhenUsed/>
    <w:qFormat/>
    <w:rsid w:val="00fc693f"/>
    <w:pPr/>
    <w:rPr/>
  </w:style>
  <w:style w:type="paragraph" w:styleId="Subtitle">
    <w:name w:val="Subtitle"/>
    <w:basedOn w:val="normal1"/>
    <w:next w:val="normal1"/>
    <w:qFormat/>
    <w:pPr/>
    <w:rPr>
      <w:rFonts w:ascii="Calibri" w:hAnsi="Calibri" w:eastAsia="Calibri" w:cs="Calibri"/>
      <w:i/>
      <w:color w:val="4F81BD"/>
      <w:sz w:val="24"/>
      <w:szCs w:val="24"/>
    </w:rPr>
  </w:style>
  <w:style w:type="paragraph" w:styleId="FootnoteText">
    <w:name w:val="footnote text"/>
    <w:basedOn w:val="Normal"/>
    <w:pPr/>
    <w:rPr/>
  </w:style>
  <w:style w:type="numbering" w:styleId="NoList" w:default="1">
    <w:name w:val="No List"/>
    <w:uiPriority w:val="99"/>
    <w:semiHidden/>
    <w:unhideWhenUsed/>
    <w:qFormat/>
  </w:style>
  <w:style w:type="table" w:default="1" w:styleId="TableNormal">
    <w:name w:val="TableNormal"/>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4esxCgltyXLOXCCtRhV+apnjlg==">CgMxLjAyDmgueWl2YXRvdjgwbXQwMg5oLnN6MnFuN2F1MDlsOTIPaWQueGU5eWUyd2t6MWFhMg5oLm1sYzY5YnhpcmU4bzgAciExdHo2bU11VkVtUGdWTkloTXh5Smduck9aU29NejZWWXA=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LibreOffice/25.2.4.3$Linux_X86_64 LibreOffice_project/520$Build-3</Application>
  <AppVersion>15.0000</AppVersion>
  <Pages>15</Pages>
  <Words>3145</Words>
  <Characters>17536</Characters>
  <CharactersWithSpaces>20432</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2025-06-23T14:12:00Z</dcterms:created>
  <dc:creator>python-docx</dc:creator>
  <dc:description/>
  <dc:language>es-PE</dc:language>
  <cp:lastModifiedBy>Edison Achalma</cp:lastModifiedBy>
  <dcterms:modified xsi:type="dcterms:W3CDTF">2025-07-31T17:01:00Z</dcterms:modified>
  <cp:revision>1</cp:revision>
  <dc:subject/>
  <dc:title/>
</cp:coreProperties>
</file>