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BE06B" w14:textId="77777777" w:rsidR="0071747B" w:rsidRDefault="0071747B" w:rsidP="0071747B">
      <w:pPr>
        <w:spacing w:after="0"/>
        <w:rPr>
          <w:rFonts w:ascii="Garamond" w:eastAsiaTheme="minorEastAsia" w:hAnsi="Garamond"/>
          <w:b/>
        </w:rPr>
      </w:pPr>
      <w:r>
        <w:rPr>
          <w:rFonts w:ascii="Garamond" w:eastAsiaTheme="minorEastAsia" w:hAnsi="Garamond"/>
          <w:b/>
        </w:rPr>
        <w:t>Curso:</w:t>
      </w:r>
      <w:r>
        <w:rPr>
          <w:rFonts w:ascii="Garamond" w:eastAsiaTheme="minorEastAsia" w:hAnsi="Garamond"/>
          <w:b/>
        </w:rPr>
        <w:tab/>
      </w:r>
      <w:r>
        <w:rPr>
          <w:rFonts w:ascii="Garamond" w:eastAsiaTheme="minorEastAsia" w:hAnsi="Garamond"/>
          <w:b/>
        </w:rPr>
        <w:tab/>
      </w:r>
      <w:r>
        <w:rPr>
          <w:rFonts w:ascii="Garamond" w:eastAsiaTheme="minorEastAsia" w:hAnsi="Garamond"/>
          <w:b/>
        </w:rPr>
        <w:tab/>
        <w:t>Econometría 1</w:t>
      </w:r>
    </w:p>
    <w:p w14:paraId="16AD45B6" w14:textId="77777777" w:rsidR="0071747B" w:rsidRPr="000B4E9A" w:rsidRDefault="0071747B" w:rsidP="0071747B">
      <w:pPr>
        <w:spacing w:after="0"/>
        <w:rPr>
          <w:rFonts w:ascii="Garamond" w:eastAsiaTheme="minorEastAsia" w:hAnsi="Garamond"/>
          <w:b/>
        </w:rPr>
      </w:pPr>
      <w:r w:rsidRPr="000B4E9A">
        <w:rPr>
          <w:rFonts w:ascii="Garamond" w:eastAsiaTheme="minorEastAsia" w:hAnsi="Garamond"/>
          <w:b/>
        </w:rPr>
        <w:t xml:space="preserve">Profesor: </w:t>
      </w:r>
      <w:r>
        <w:rPr>
          <w:rFonts w:ascii="Garamond" w:eastAsiaTheme="minorEastAsia" w:hAnsi="Garamond"/>
          <w:b/>
        </w:rPr>
        <w:tab/>
      </w:r>
      <w:r>
        <w:rPr>
          <w:rFonts w:ascii="Garamond" w:eastAsiaTheme="minorEastAsia" w:hAnsi="Garamond"/>
          <w:b/>
        </w:rPr>
        <w:tab/>
      </w:r>
      <w:r w:rsidRPr="000B4E9A">
        <w:rPr>
          <w:rFonts w:ascii="Garamond" w:eastAsiaTheme="minorEastAsia" w:hAnsi="Garamond"/>
          <w:b/>
        </w:rPr>
        <w:t>Luis García (</w:t>
      </w:r>
      <w:hyperlink r:id="rId7" w:history="1">
        <w:r w:rsidRPr="000B4E9A">
          <w:rPr>
            <w:rStyle w:val="Hipervnculo"/>
            <w:rFonts w:ascii="Garamond" w:eastAsiaTheme="minorEastAsia" w:hAnsi="Garamond"/>
            <w:b/>
          </w:rPr>
          <w:t>lgarcia@pucp.edu.pe</w:t>
        </w:r>
      </w:hyperlink>
      <w:r w:rsidRPr="000B4E9A">
        <w:rPr>
          <w:rFonts w:ascii="Garamond" w:eastAsiaTheme="minorEastAsia" w:hAnsi="Garamond"/>
          <w:b/>
        </w:rPr>
        <w:t xml:space="preserve">) </w:t>
      </w:r>
    </w:p>
    <w:p w14:paraId="10580C9F" w14:textId="77777777" w:rsidR="0071747B" w:rsidRDefault="0071747B" w:rsidP="0071747B">
      <w:pPr>
        <w:spacing w:after="0"/>
        <w:rPr>
          <w:rFonts w:ascii="Garamond" w:eastAsiaTheme="minorEastAsia" w:hAnsi="Garamond"/>
          <w:b/>
        </w:rPr>
      </w:pPr>
      <w:r w:rsidRPr="000B4E9A">
        <w:rPr>
          <w:rFonts w:ascii="Garamond" w:eastAsiaTheme="minorEastAsia" w:hAnsi="Garamond"/>
          <w:b/>
        </w:rPr>
        <w:t>Jefe de práctica:</w:t>
      </w:r>
      <w:r>
        <w:rPr>
          <w:rFonts w:ascii="Garamond" w:eastAsiaTheme="minorEastAsia" w:hAnsi="Garamond"/>
          <w:b/>
        </w:rPr>
        <w:tab/>
      </w:r>
      <w:r w:rsidRPr="000B4E9A">
        <w:rPr>
          <w:rFonts w:ascii="Garamond" w:eastAsiaTheme="minorEastAsia" w:hAnsi="Garamond"/>
          <w:b/>
        </w:rPr>
        <w:t>Nicolás Barrantes (</w:t>
      </w:r>
      <w:hyperlink r:id="rId8" w:history="1">
        <w:r w:rsidRPr="0050357C">
          <w:rPr>
            <w:rStyle w:val="Hipervnculo"/>
            <w:rFonts w:ascii="Garamond" w:eastAsiaTheme="minorEastAsia" w:hAnsi="Garamond"/>
            <w:b/>
          </w:rPr>
          <w:t>n.barrantes@pucp.pe</w:t>
        </w:r>
      </w:hyperlink>
      <w:r>
        <w:rPr>
          <w:rFonts w:ascii="Garamond" w:eastAsiaTheme="minorEastAsia" w:hAnsi="Garamond"/>
          <w:b/>
        </w:rPr>
        <w:t>)</w:t>
      </w:r>
    </w:p>
    <w:p w14:paraId="1CE8D767" w14:textId="77777777" w:rsidR="0071747B" w:rsidRPr="000B4E9A" w:rsidRDefault="0071747B" w:rsidP="0071747B">
      <w:pPr>
        <w:spacing w:after="0"/>
        <w:jc w:val="center"/>
        <w:rPr>
          <w:rFonts w:ascii="Garamond" w:eastAsiaTheme="minorEastAsia" w:hAnsi="Garamond"/>
          <w:b/>
        </w:rPr>
      </w:pPr>
    </w:p>
    <w:p w14:paraId="2B9C4144" w14:textId="34A35CFC" w:rsidR="0071747B" w:rsidRPr="000B4E9A" w:rsidRDefault="0071747B" w:rsidP="0071747B">
      <w:pPr>
        <w:spacing w:after="0"/>
        <w:jc w:val="center"/>
        <w:rPr>
          <w:rFonts w:ascii="Garamond" w:eastAsiaTheme="minorEastAsia" w:hAnsi="Garamond"/>
          <w:b/>
        </w:rPr>
      </w:pPr>
      <w:r>
        <w:rPr>
          <w:rFonts w:ascii="Garamond" w:eastAsiaTheme="minorEastAsia" w:hAnsi="Garamond"/>
          <w:b/>
        </w:rPr>
        <w:t>PRÁCTICA DIRIGIDA</w:t>
      </w:r>
      <w:r w:rsidR="00B77E0E">
        <w:rPr>
          <w:rFonts w:ascii="Garamond" w:eastAsiaTheme="minorEastAsia" w:hAnsi="Garamond"/>
          <w:b/>
        </w:rPr>
        <w:t xml:space="preserve"> 9</w:t>
      </w:r>
    </w:p>
    <w:p w14:paraId="2480A60C" w14:textId="7416468B" w:rsidR="0071747B" w:rsidRPr="00D10655" w:rsidRDefault="00D10655" w:rsidP="0071747B">
      <w:pPr>
        <w:spacing w:after="0"/>
        <w:jc w:val="center"/>
        <w:rPr>
          <w:rFonts w:ascii="Garamond" w:eastAsiaTheme="minorEastAsia" w:hAnsi="Garamond"/>
          <w:b/>
        </w:rPr>
      </w:pPr>
      <w:r>
        <w:rPr>
          <w:rFonts w:ascii="Garamond" w:eastAsiaTheme="minorEastAsia" w:hAnsi="Garamond"/>
          <w:b/>
          <w:i/>
        </w:rPr>
        <w:t>D</w:t>
      </w:r>
      <w:r w:rsidR="00A61430">
        <w:rPr>
          <w:rFonts w:ascii="Garamond" w:eastAsiaTheme="minorEastAsia" w:hAnsi="Garamond"/>
          <w:b/>
          <w:i/>
        </w:rPr>
        <w:t>umm</w:t>
      </w:r>
      <w:r>
        <w:rPr>
          <w:rFonts w:ascii="Garamond" w:eastAsiaTheme="minorEastAsia" w:hAnsi="Garamond"/>
          <w:b/>
          <w:i/>
        </w:rPr>
        <w:t>ies</w:t>
      </w:r>
      <w:r>
        <w:rPr>
          <w:rFonts w:ascii="Garamond" w:eastAsiaTheme="minorEastAsia" w:hAnsi="Garamond"/>
          <w:b/>
        </w:rPr>
        <w:t xml:space="preserve"> interactivas, cambio estructural y teoría asintótica</w:t>
      </w:r>
    </w:p>
    <w:p w14:paraId="766ED3C0" w14:textId="77777777" w:rsidR="0071747B" w:rsidRDefault="00B32760" w:rsidP="0071747B">
      <w:pPr>
        <w:spacing w:after="0"/>
        <w:rPr>
          <w:rFonts w:ascii="Garamond" w:eastAsiaTheme="minorEastAsia" w:hAnsi="Garamond"/>
          <w:b/>
        </w:rPr>
      </w:pPr>
      <w:r>
        <w:rPr>
          <w:rFonts w:ascii="Garamond" w:eastAsiaTheme="minorEastAsia" w:hAnsi="Garamond"/>
          <w:b/>
        </w:rPr>
        <w:pict w14:anchorId="27C27210">
          <v:rect id="_x0000_i1025" style="width:441.9pt;height:1.5pt" o:hralign="center" o:hrstd="t" o:hrnoshade="t" o:hr="t" fillcolor="black [3213]" stroked="f"/>
        </w:pict>
      </w:r>
    </w:p>
    <w:p w14:paraId="0AC50664" w14:textId="77777777" w:rsidR="002730F8" w:rsidRDefault="002730F8" w:rsidP="00A61430">
      <w:pPr>
        <w:spacing w:after="0"/>
        <w:jc w:val="both"/>
        <w:rPr>
          <w:rFonts w:ascii="Garamond" w:eastAsiaTheme="minorEastAsia" w:hAnsi="Garamond"/>
        </w:rPr>
      </w:pPr>
    </w:p>
    <w:p w14:paraId="7B29104A" w14:textId="7FF2FC95" w:rsidR="002B751D" w:rsidRDefault="00426A2C" w:rsidP="002B751D">
      <w:pPr>
        <w:pStyle w:val="Prrafodelista"/>
        <w:numPr>
          <w:ilvl w:val="0"/>
          <w:numId w:val="1"/>
        </w:numPr>
        <w:spacing w:after="0"/>
        <w:jc w:val="both"/>
        <w:rPr>
          <w:rFonts w:ascii="Garamond" w:eastAsiaTheme="minorEastAsia" w:hAnsi="Garamond"/>
          <w:b/>
        </w:rPr>
      </w:pPr>
      <w:r>
        <w:rPr>
          <w:rFonts w:ascii="Garamond" w:eastAsiaTheme="minorEastAsia" w:hAnsi="Garamond"/>
          <w:b/>
          <w:i/>
        </w:rPr>
        <w:t>D</w:t>
      </w:r>
      <w:r w:rsidR="00A61430">
        <w:rPr>
          <w:rFonts w:ascii="Garamond" w:eastAsiaTheme="minorEastAsia" w:hAnsi="Garamond"/>
          <w:b/>
          <w:i/>
        </w:rPr>
        <w:t>umm</w:t>
      </w:r>
      <w:r>
        <w:rPr>
          <w:rFonts w:ascii="Garamond" w:eastAsiaTheme="minorEastAsia" w:hAnsi="Garamond"/>
          <w:b/>
          <w:i/>
        </w:rPr>
        <w:t>ies</w:t>
      </w:r>
      <w:r>
        <w:rPr>
          <w:rFonts w:ascii="Garamond" w:eastAsiaTheme="minorEastAsia" w:hAnsi="Garamond"/>
          <w:b/>
        </w:rPr>
        <w:t xml:space="preserve"> interactivas</w:t>
      </w:r>
      <w:r w:rsidR="00A61430">
        <w:rPr>
          <w:rFonts w:ascii="Garamond" w:eastAsiaTheme="minorEastAsia" w:hAnsi="Garamond"/>
          <w:b/>
        </w:rPr>
        <w:t xml:space="preserve">: </w:t>
      </w:r>
    </w:p>
    <w:p w14:paraId="1163944C" w14:textId="77777777" w:rsidR="00426A2C" w:rsidRPr="00280097" w:rsidRDefault="00426A2C" w:rsidP="00280097">
      <w:pPr>
        <w:spacing w:after="0"/>
        <w:jc w:val="both"/>
        <w:rPr>
          <w:rFonts w:ascii="Garamond" w:eastAsiaTheme="minorEastAsia" w:hAnsi="Garamond"/>
        </w:rPr>
      </w:pPr>
    </w:p>
    <w:p w14:paraId="4CA4217E" w14:textId="58642159" w:rsidR="00861C9E" w:rsidRPr="00861C9E" w:rsidRDefault="00861C9E" w:rsidP="00861C9E">
      <w:pPr>
        <w:pStyle w:val="Prrafodelista"/>
        <w:numPr>
          <w:ilvl w:val="1"/>
          <w:numId w:val="1"/>
        </w:numPr>
        <w:spacing w:after="0"/>
        <w:jc w:val="both"/>
        <w:rPr>
          <w:rFonts w:ascii="Garamond" w:eastAsiaTheme="minorEastAsia" w:hAnsi="Garamond"/>
          <w:lang w:val="es-ES"/>
        </w:rPr>
      </w:pPr>
      <w:r w:rsidRPr="00861C9E">
        <w:rPr>
          <w:rFonts w:ascii="Garamond" w:eastAsiaTheme="minorEastAsia" w:hAnsi="Garamond"/>
        </w:rPr>
        <w:t xml:space="preserve">Utilice la base de datos </w:t>
      </w:r>
      <w:r w:rsidRPr="00861C9E">
        <w:rPr>
          <w:rFonts w:ascii="Garamond" w:eastAsiaTheme="minorEastAsia" w:hAnsi="Garamond"/>
          <w:i/>
        </w:rPr>
        <w:t>wage</w:t>
      </w:r>
      <w:r>
        <w:rPr>
          <w:rFonts w:ascii="Garamond" w:eastAsiaTheme="minorEastAsia" w:hAnsi="Garamond"/>
          <w:i/>
        </w:rPr>
        <w:t>1.dta.</w:t>
      </w:r>
      <w:r w:rsidRPr="00861C9E">
        <w:rPr>
          <w:rFonts w:ascii="Garamond" w:eastAsiaTheme="minorEastAsia" w:hAnsi="Garamond"/>
        </w:rPr>
        <w:t xml:space="preserve"> Responda lo siguiente utilizando Stata:</w:t>
      </w:r>
    </w:p>
    <w:p w14:paraId="343CD252" w14:textId="77777777" w:rsidR="00426A2C" w:rsidRDefault="00426A2C" w:rsidP="00426A2C">
      <w:pPr>
        <w:spacing w:after="0"/>
        <w:jc w:val="both"/>
        <w:rPr>
          <w:rFonts w:ascii="Garamond" w:eastAsiaTheme="minorEastAsia" w:hAnsi="Garamond"/>
          <w:lang w:val="es-ES"/>
        </w:rPr>
      </w:pPr>
    </w:p>
    <w:p w14:paraId="5018A8E8" w14:textId="77777777" w:rsidR="009C3CBB" w:rsidRDefault="009C3CBB" w:rsidP="009C3CBB">
      <w:pPr>
        <w:pStyle w:val="Prrafodelista"/>
        <w:numPr>
          <w:ilvl w:val="0"/>
          <w:numId w:val="11"/>
        </w:numPr>
        <w:spacing w:after="0"/>
        <w:jc w:val="both"/>
        <w:rPr>
          <w:rFonts w:ascii="Garamond" w:eastAsiaTheme="minorEastAsia" w:hAnsi="Garamond"/>
        </w:rPr>
      </w:pPr>
      <w:r w:rsidRPr="00861C9E">
        <w:rPr>
          <w:rFonts w:ascii="Garamond" w:eastAsiaTheme="minorEastAsia" w:hAnsi="Garamond"/>
        </w:rPr>
        <w:t xml:space="preserve">Explique el salario en </w:t>
      </w:r>
      <w:r>
        <w:rPr>
          <w:rFonts w:ascii="Garamond" w:eastAsiaTheme="minorEastAsia" w:hAnsi="Garamond"/>
        </w:rPr>
        <w:t>función de las variables: educ,</w:t>
      </w:r>
      <w:r w:rsidRPr="00861C9E">
        <w:rPr>
          <w:rFonts w:ascii="Garamond" w:eastAsiaTheme="minorEastAsia" w:hAnsi="Garamond"/>
        </w:rPr>
        <w:t xml:space="preserve"> exper</w:t>
      </w:r>
      <w:r>
        <w:rPr>
          <w:rFonts w:ascii="Garamond" w:eastAsiaTheme="minorEastAsia" w:hAnsi="Garamond"/>
        </w:rPr>
        <w:t>, expersq, tenure, tenuresq</w:t>
      </w:r>
    </w:p>
    <w:p w14:paraId="0C9EE37D" w14:textId="31175686" w:rsidR="00280097" w:rsidRDefault="00280097" w:rsidP="009C3CBB">
      <w:pPr>
        <w:pStyle w:val="Prrafodelista"/>
        <w:numPr>
          <w:ilvl w:val="0"/>
          <w:numId w:val="11"/>
        </w:numPr>
        <w:spacing w:after="0"/>
        <w:jc w:val="both"/>
        <w:rPr>
          <w:rFonts w:ascii="Garamond" w:eastAsiaTheme="minorEastAsia" w:hAnsi="Garamond"/>
        </w:rPr>
      </w:pPr>
      <w:r>
        <w:rPr>
          <w:rFonts w:ascii="Garamond" w:eastAsiaTheme="minorEastAsia" w:hAnsi="Garamond"/>
        </w:rPr>
        <w:t xml:space="preserve">Plantee un modelo en que el retorno de los años de educación es distinto según el sexo de la persona. Represente gráficamente las funciones de regresión poblacionales en el plano </w:t>
      </w:r>
      <m:oMath>
        <m:d>
          <m:dPr>
            <m:ctrlPr>
              <w:rPr>
                <w:rFonts w:ascii="Cambria Math" w:eastAsiaTheme="minorEastAsia" w:hAnsi="Cambria Math"/>
                <w:i/>
              </w:rPr>
            </m:ctrlPr>
          </m:dPr>
          <m:e>
            <m:r>
              <w:rPr>
                <w:rFonts w:ascii="Cambria Math" w:eastAsiaTheme="minorEastAsia" w:hAnsi="Cambria Math"/>
              </w:rPr>
              <m:t>Educ,w</m:t>
            </m:r>
          </m:e>
        </m:d>
      </m:oMath>
      <w:r>
        <w:rPr>
          <w:rFonts w:ascii="Garamond" w:eastAsiaTheme="minorEastAsia" w:hAnsi="Garamond"/>
        </w:rPr>
        <w:t xml:space="preserve"> para hombre y mujeres en el modelo con cambio en intercepto y pendiente (asuma que el retorno para las mujeres es menor).</w:t>
      </w:r>
    </w:p>
    <w:p w14:paraId="1C5D72CD" w14:textId="7EF526E2" w:rsidR="00426A2C" w:rsidRPr="009C3CBB" w:rsidRDefault="00280097" w:rsidP="009C3CBB">
      <w:pPr>
        <w:pStyle w:val="Prrafodelista"/>
        <w:numPr>
          <w:ilvl w:val="0"/>
          <w:numId w:val="11"/>
        </w:numPr>
        <w:spacing w:after="0"/>
        <w:jc w:val="both"/>
        <w:rPr>
          <w:rFonts w:ascii="Garamond" w:eastAsiaTheme="minorEastAsia" w:hAnsi="Garamond"/>
        </w:rPr>
      </w:pPr>
      <w:r>
        <w:rPr>
          <w:rFonts w:ascii="Garamond" w:eastAsiaTheme="minorEastAsia" w:hAnsi="Garamond"/>
        </w:rPr>
        <w:t>E</w:t>
      </w:r>
      <w:r w:rsidR="00861C9E" w:rsidRPr="009C3CBB">
        <w:rPr>
          <w:rFonts w:ascii="Garamond" w:eastAsiaTheme="minorEastAsia" w:hAnsi="Garamond"/>
        </w:rPr>
        <w:t xml:space="preserve">stime </w:t>
      </w:r>
      <w:r>
        <w:rPr>
          <w:rFonts w:ascii="Garamond" w:eastAsiaTheme="minorEastAsia" w:hAnsi="Garamond"/>
        </w:rPr>
        <w:t>el</w:t>
      </w:r>
      <w:r w:rsidR="00861C9E" w:rsidRPr="009C3CBB">
        <w:rPr>
          <w:rFonts w:ascii="Garamond" w:eastAsiaTheme="minorEastAsia" w:hAnsi="Garamond"/>
        </w:rPr>
        <w:t xml:space="preserve"> modelo donde las pendientes de los salarios son distintas entre hombres y mujeres. Para lo anterior, tome en cuenta que esta desigua</w:t>
      </w:r>
      <w:r w:rsidR="00185919" w:rsidRPr="009C3CBB">
        <w:rPr>
          <w:rFonts w:ascii="Garamond" w:eastAsiaTheme="minorEastAsia" w:hAnsi="Garamond"/>
        </w:rPr>
        <w:t>l</w:t>
      </w:r>
      <w:r w:rsidR="00861C9E" w:rsidRPr="009C3CBB">
        <w:rPr>
          <w:rFonts w:ascii="Garamond" w:eastAsiaTheme="minorEastAsia" w:hAnsi="Garamond"/>
        </w:rPr>
        <w:t>dad está asociada a la variable educación</w:t>
      </w:r>
      <w:r>
        <w:rPr>
          <w:rFonts w:ascii="Garamond" w:eastAsiaTheme="minorEastAsia" w:hAnsi="Garamond"/>
        </w:rPr>
        <w:t xml:space="preserve"> </w:t>
      </w:r>
      <w:r w:rsidR="00861C9E" w:rsidRPr="009C3CBB">
        <w:rPr>
          <w:rFonts w:ascii="Garamond" w:eastAsiaTheme="minorEastAsia" w:hAnsi="Garamond"/>
        </w:rPr>
        <w:t>¿Cuál es el efec</w:t>
      </w:r>
      <w:r>
        <w:rPr>
          <w:rFonts w:ascii="Garamond" w:eastAsiaTheme="minorEastAsia" w:hAnsi="Garamond"/>
        </w:rPr>
        <w:t>to de un año más de educación?</w:t>
      </w:r>
      <w:r w:rsidR="00861C9E" w:rsidRPr="009C3CBB">
        <w:rPr>
          <w:rFonts w:ascii="Garamond" w:eastAsiaTheme="minorEastAsia" w:hAnsi="Garamond"/>
        </w:rPr>
        <w:t xml:space="preserve"> </w:t>
      </w:r>
    </w:p>
    <w:p w14:paraId="3E3907BD" w14:textId="77777777" w:rsidR="00426A2C" w:rsidRDefault="00426A2C" w:rsidP="00426A2C">
      <w:pPr>
        <w:spacing w:after="0"/>
        <w:jc w:val="both"/>
        <w:rPr>
          <w:rFonts w:ascii="Garamond" w:eastAsiaTheme="minorEastAsia" w:hAnsi="Garamond"/>
        </w:rPr>
      </w:pPr>
    </w:p>
    <w:p w14:paraId="186D616E" w14:textId="77777777" w:rsidR="009C3CBB" w:rsidRDefault="009C3CBB" w:rsidP="009C3CBB">
      <w:pPr>
        <w:pStyle w:val="Prrafodelista"/>
        <w:numPr>
          <w:ilvl w:val="0"/>
          <w:numId w:val="1"/>
        </w:numPr>
        <w:spacing w:after="0"/>
        <w:jc w:val="both"/>
        <w:rPr>
          <w:rFonts w:ascii="Garamond" w:eastAsiaTheme="minorEastAsia" w:hAnsi="Garamond"/>
          <w:b/>
        </w:rPr>
      </w:pPr>
      <w:r>
        <w:rPr>
          <w:rFonts w:ascii="Garamond" w:eastAsiaTheme="minorEastAsia" w:hAnsi="Garamond"/>
          <w:b/>
        </w:rPr>
        <w:t>Cambio estructural:</w:t>
      </w:r>
    </w:p>
    <w:p w14:paraId="373F6984" w14:textId="77777777" w:rsidR="009C3CBB" w:rsidRPr="001C50C7" w:rsidRDefault="009C3CBB" w:rsidP="009C3CBB">
      <w:pPr>
        <w:spacing w:after="0"/>
        <w:jc w:val="both"/>
        <w:rPr>
          <w:rFonts w:ascii="Garamond" w:eastAsiaTheme="minorEastAsia" w:hAnsi="Garamond"/>
          <w:b/>
        </w:rPr>
      </w:pPr>
    </w:p>
    <w:p w14:paraId="16BFBB68" w14:textId="77777777" w:rsidR="009C3CBB" w:rsidRPr="001C50C7" w:rsidRDefault="009C3CBB" w:rsidP="009C3CBB">
      <w:pPr>
        <w:pStyle w:val="Prrafodelista"/>
        <w:numPr>
          <w:ilvl w:val="0"/>
          <w:numId w:val="13"/>
        </w:numPr>
        <w:spacing w:after="0"/>
        <w:jc w:val="both"/>
        <w:rPr>
          <w:rFonts w:ascii="Garamond" w:eastAsiaTheme="minorEastAsia" w:hAnsi="Garamond"/>
        </w:rPr>
      </w:pPr>
      <w:r w:rsidRPr="001C50C7">
        <w:rPr>
          <w:rFonts w:ascii="Garamond" w:eastAsiaTheme="minorEastAsia" w:hAnsi="Garamond"/>
        </w:rPr>
        <w:t>Greene (2012) propone el siguiente modelo econométrico para estudiar el consumo per cápita de gasolina en el periodo 1953-2004 en Estados Unidos:</w:t>
      </w:r>
    </w:p>
    <w:p w14:paraId="54853F13" w14:textId="77777777" w:rsidR="009C3CBB" w:rsidRPr="001C50C7" w:rsidRDefault="009C3CBB" w:rsidP="009C3CBB">
      <w:pPr>
        <w:spacing w:after="0"/>
        <w:jc w:val="both"/>
        <w:rPr>
          <w:rFonts w:ascii="Garamond" w:eastAsiaTheme="minorEastAsia" w:hAnsi="Garamond"/>
        </w:rPr>
      </w:pPr>
    </w:p>
    <w:p w14:paraId="16D1A1E2" w14:textId="77777777" w:rsidR="009C3CBB" w:rsidRPr="001C50C7" w:rsidRDefault="00B32760" w:rsidP="009C3CBB">
      <w:pPr>
        <w:spacing w:after="0"/>
        <w:jc w:val="both"/>
        <w:rPr>
          <w:rFonts w:ascii="Garamond" w:eastAsiaTheme="minorEastAsia" w:hAnsi="Garamond"/>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ln</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Pop</m:t>
                      </m:r>
                    </m:den>
                  </m:f>
                </m:e>
              </m:d>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ln</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Income</m:t>
                      </m:r>
                    </m:num>
                    <m:den>
                      <m:r>
                        <w:rPr>
                          <w:rFonts w:ascii="Cambria Math" w:eastAsiaTheme="minorEastAsia" w:hAnsi="Cambria Math"/>
                        </w:rPr>
                        <m:t>Pop</m:t>
                      </m:r>
                    </m:den>
                  </m:f>
                </m:e>
              </m:d>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ln</m:t>
          </m:r>
          <m:sSub>
            <m:sSubPr>
              <m:ctrlPr>
                <w:rPr>
                  <w:rFonts w:ascii="Cambria Math" w:eastAsiaTheme="minorEastAsia" w:hAnsi="Cambria Math"/>
                  <w:i/>
                </w:rPr>
              </m:ctrlPr>
            </m:sSubPr>
            <m:e>
              <m:r>
                <w:rPr>
                  <w:rFonts w:ascii="Cambria Math" w:eastAsiaTheme="minorEastAsia" w:hAnsi="Cambria Math"/>
                </w:rPr>
                <m:t>PG</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lnPNC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lnPUC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Year+</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14:paraId="033C16C0" w14:textId="77777777" w:rsidR="009C3CBB" w:rsidRPr="001C50C7" w:rsidRDefault="009C3CBB" w:rsidP="009C3CBB">
      <w:pPr>
        <w:spacing w:after="0"/>
        <w:jc w:val="both"/>
        <w:rPr>
          <w:rFonts w:ascii="Garamond" w:eastAsiaTheme="minorEastAsia" w:hAnsi="Garamond"/>
        </w:rPr>
      </w:pPr>
    </w:p>
    <w:p w14:paraId="33416758" w14:textId="77777777" w:rsidR="009C3CBB" w:rsidRPr="001C50C7" w:rsidRDefault="009C3CBB" w:rsidP="009C3CBB">
      <w:pPr>
        <w:spacing w:after="0"/>
        <w:ind w:left="708"/>
        <w:jc w:val="both"/>
        <w:rPr>
          <w:rFonts w:ascii="Garamond" w:eastAsiaTheme="minorEastAsia" w:hAnsi="Garamond"/>
        </w:rPr>
      </w:pPr>
      <w:r w:rsidRPr="001C50C7">
        <w:rPr>
          <w:rFonts w:ascii="Garamond" w:eastAsiaTheme="minorEastAsia" w:hAnsi="Garamond"/>
        </w:rPr>
        <w:t xml:space="preserve">Donde </w:t>
      </w:r>
      <m:oMath>
        <m:f>
          <m:fPr>
            <m:type m:val="lin"/>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Pop</m:t>
            </m:r>
          </m:den>
        </m:f>
      </m:oMath>
      <w:r w:rsidRPr="001C50C7">
        <w:rPr>
          <w:rFonts w:ascii="Garamond" w:eastAsiaTheme="minorEastAsia" w:hAnsi="Garamond"/>
        </w:rPr>
        <w:t xml:space="preserve"> es el consumo per cápita de gasolina, </w:t>
      </w:r>
      <m:oMath>
        <m:f>
          <m:fPr>
            <m:type m:val="lin"/>
            <m:ctrlPr>
              <w:rPr>
                <w:rFonts w:ascii="Cambria Math" w:eastAsiaTheme="minorEastAsia" w:hAnsi="Cambria Math"/>
                <w:i/>
              </w:rPr>
            </m:ctrlPr>
          </m:fPr>
          <m:num>
            <m:r>
              <w:rPr>
                <w:rFonts w:ascii="Cambria Math" w:eastAsiaTheme="minorEastAsia" w:hAnsi="Cambria Math"/>
              </w:rPr>
              <m:t>Income</m:t>
            </m:r>
          </m:num>
          <m:den>
            <m:r>
              <w:rPr>
                <w:rFonts w:ascii="Cambria Math" w:eastAsiaTheme="minorEastAsia" w:hAnsi="Cambria Math"/>
              </w:rPr>
              <m:t>Pop</m:t>
            </m:r>
          </m:den>
        </m:f>
      </m:oMath>
      <w:r>
        <w:rPr>
          <w:rFonts w:ascii="Garamond" w:eastAsiaTheme="minorEastAsia" w:hAnsi="Garamond"/>
        </w:rPr>
        <w:t xml:space="preserve"> es el ingreso per cápita, </w:t>
      </w:r>
      <m:oMath>
        <m:r>
          <w:rPr>
            <w:rFonts w:ascii="Cambria Math" w:eastAsiaTheme="minorEastAsia" w:hAnsi="Cambria Math"/>
          </w:rPr>
          <m:t>PG</m:t>
        </m:r>
      </m:oMath>
      <w:r w:rsidRPr="001C50C7">
        <w:rPr>
          <w:rFonts w:ascii="Garamond" w:eastAsiaTheme="minorEastAsia" w:hAnsi="Garamond"/>
        </w:rPr>
        <w:t xml:space="preserve"> es el índice de precios de la gasolina, </w:t>
      </w:r>
      <m:oMath>
        <m:r>
          <w:rPr>
            <w:rFonts w:ascii="Cambria Math" w:eastAsiaTheme="minorEastAsia" w:hAnsi="Cambria Math"/>
          </w:rPr>
          <m:t>PNC</m:t>
        </m:r>
      </m:oMath>
      <w:r w:rsidRPr="001C50C7">
        <w:rPr>
          <w:rFonts w:ascii="Garamond" w:eastAsiaTheme="minorEastAsia" w:hAnsi="Garamond"/>
        </w:rPr>
        <w:t xml:space="preserve"> es el índice de precios de carros nuevos,  </w:t>
      </w:r>
      <m:oMath>
        <m:r>
          <w:rPr>
            <w:rFonts w:ascii="Cambria Math" w:eastAsiaTheme="minorEastAsia" w:hAnsi="Cambria Math"/>
          </w:rPr>
          <m:t>PUC</m:t>
        </m:r>
      </m:oMath>
      <w:r w:rsidRPr="001C50C7">
        <w:rPr>
          <w:rFonts w:ascii="Garamond" w:eastAsiaTheme="minorEastAsia" w:hAnsi="Garamond"/>
        </w:rPr>
        <w:t xml:space="preserve"> es el índice de precios de carros usados y </w:t>
      </w:r>
      <m:oMath>
        <m:r>
          <w:rPr>
            <w:rFonts w:ascii="Cambria Math" w:eastAsiaTheme="minorEastAsia" w:hAnsi="Cambria Math"/>
          </w:rPr>
          <m:t>Year</m:t>
        </m:r>
      </m:oMath>
      <w:r w:rsidRPr="001C50C7">
        <w:rPr>
          <w:rFonts w:ascii="Garamond" w:eastAsiaTheme="minorEastAsia" w:hAnsi="Garamond"/>
        </w:rPr>
        <w:t xml:space="preserve"> es una variable que es igual a 1 en el primer periodo de la muestra,igual a dos en el segundo periodo y así sucesivamente.</w:t>
      </w:r>
    </w:p>
    <w:p w14:paraId="6F265929" w14:textId="77777777" w:rsidR="009C3CBB" w:rsidRPr="001C50C7" w:rsidRDefault="009C3CBB" w:rsidP="009C3CBB">
      <w:pPr>
        <w:spacing w:after="0"/>
        <w:jc w:val="both"/>
        <w:rPr>
          <w:rFonts w:ascii="Garamond" w:eastAsiaTheme="minorEastAsia" w:hAnsi="Garamond"/>
        </w:rPr>
      </w:pPr>
    </w:p>
    <w:p w14:paraId="2D376199" w14:textId="77777777" w:rsidR="009C3CBB" w:rsidRPr="001C50C7" w:rsidRDefault="009C3CBB" w:rsidP="009C3CBB">
      <w:pPr>
        <w:spacing w:after="0"/>
        <w:ind w:left="708"/>
        <w:jc w:val="both"/>
        <w:rPr>
          <w:rFonts w:ascii="Garamond" w:eastAsiaTheme="minorEastAsia" w:hAnsi="Garamond"/>
        </w:rPr>
      </w:pPr>
      <w:r w:rsidRPr="001C50C7">
        <w:rPr>
          <w:rFonts w:ascii="Garamond" w:eastAsiaTheme="minorEastAsia" w:hAnsi="Garamond"/>
        </w:rPr>
        <w:t>En el periodo 1973 se produjo la llamada Crisis del Petróleo, la cual fue el resultado de la decisión de la Organización de Países Exportadores de Petróleo (OPEP) de detener la producción de crudo y embargar los envíos de petróleo hacia Occidente. Esta crisis generó una escasez y en consecuencia una drástica elevación en los precios de este insumo que terminó desencadenando cambios irreversibles en el mercado de gasolina en Estados Unidos. En la siguiente tabla se muestran los resultados de la estimación para distintos subperiodos.</w:t>
      </w:r>
    </w:p>
    <w:p w14:paraId="40A7ED0B" w14:textId="77777777" w:rsidR="009C3CBB" w:rsidRDefault="009C3CBB" w:rsidP="009C3CBB">
      <w:pPr>
        <w:spacing w:after="0"/>
        <w:jc w:val="both"/>
        <w:rPr>
          <w:rFonts w:ascii="Garamond" w:eastAsiaTheme="minorEastAsia" w:hAnsi="Garamond"/>
          <w:b/>
        </w:rPr>
      </w:pPr>
    </w:p>
    <w:p w14:paraId="345ED91C" w14:textId="77777777" w:rsidR="00280097" w:rsidRDefault="00280097" w:rsidP="009C3CBB">
      <w:pPr>
        <w:spacing w:after="0"/>
        <w:jc w:val="both"/>
        <w:rPr>
          <w:rFonts w:ascii="Garamond" w:eastAsiaTheme="minorEastAsia" w:hAnsi="Garamond"/>
          <w:b/>
        </w:rPr>
      </w:pPr>
    </w:p>
    <w:p w14:paraId="35BBE030" w14:textId="77777777" w:rsidR="00280097" w:rsidRDefault="00280097" w:rsidP="009C3CBB">
      <w:pPr>
        <w:spacing w:after="0"/>
        <w:jc w:val="both"/>
        <w:rPr>
          <w:rFonts w:ascii="Garamond" w:eastAsiaTheme="minorEastAsia" w:hAnsi="Garamond"/>
          <w:b/>
        </w:rPr>
      </w:pPr>
    </w:p>
    <w:p w14:paraId="03946330" w14:textId="77777777" w:rsidR="00280097" w:rsidRDefault="00280097" w:rsidP="009C3CBB">
      <w:pPr>
        <w:spacing w:after="0"/>
        <w:jc w:val="both"/>
        <w:rPr>
          <w:rFonts w:ascii="Garamond" w:eastAsiaTheme="minorEastAsia" w:hAnsi="Garamond"/>
          <w:b/>
        </w:rPr>
      </w:pPr>
    </w:p>
    <w:p w14:paraId="6EADE26E" w14:textId="77777777" w:rsidR="00280097" w:rsidRDefault="00280097" w:rsidP="009C3CBB">
      <w:pPr>
        <w:spacing w:after="0"/>
        <w:jc w:val="both"/>
        <w:rPr>
          <w:rFonts w:ascii="Garamond" w:eastAsiaTheme="minorEastAsia" w:hAnsi="Garamond"/>
          <w:b/>
        </w:rPr>
      </w:pPr>
    </w:p>
    <w:p w14:paraId="1FD4866E" w14:textId="77777777" w:rsidR="00280097" w:rsidRPr="001C50C7" w:rsidRDefault="00280097" w:rsidP="009C3CBB">
      <w:pPr>
        <w:spacing w:after="0"/>
        <w:jc w:val="both"/>
        <w:rPr>
          <w:rFonts w:ascii="Garamond" w:eastAsiaTheme="minorEastAsia" w:hAnsi="Garamond"/>
          <w:b/>
        </w:rPr>
      </w:pPr>
    </w:p>
    <w:p w14:paraId="053D9D43" w14:textId="77777777" w:rsidR="009C3CBB" w:rsidRPr="001C50C7" w:rsidRDefault="009C3CBB" w:rsidP="009C3CBB">
      <w:pPr>
        <w:spacing w:after="0"/>
        <w:jc w:val="both"/>
        <w:rPr>
          <w:rFonts w:ascii="Garamond" w:eastAsiaTheme="minorEastAsia" w:hAnsi="Garamond"/>
        </w:rPr>
      </w:pPr>
      <w:r w:rsidRPr="001C50C7">
        <w:rPr>
          <w:rFonts w:ascii="Garamond" w:eastAsiaTheme="minorEastAsia" w:hAnsi="Garamond"/>
          <w:noProof/>
          <w:lang w:val="es-ES_tradnl" w:eastAsia="es-ES_tradnl"/>
        </w:rPr>
        <w:drawing>
          <wp:anchor distT="0" distB="0" distL="114300" distR="114300" simplePos="0" relativeHeight="251659264" behindDoc="1" locked="0" layoutInCell="1" allowOverlap="1" wp14:anchorId="283E5E60" wp14:editId="7BB73E12">
            <wp:simplePos x="0" y="0"/>
            <wp:positionH relativeFrom="margin">
              <wp:align>center</wp:align>
            </wp:positionH>
            <wp:positionV relativeFrom="paragraph">
              <wp:posOffset>0</wp:posOffset>
            </wp:positionV>
            <wp:extent cx="4871923" cy="1834000"/>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71923" cy="1834000"/>
                    </a:xfrm>
                    <a:prstGeom prst="rect">
                      <a:avLst/>
                    </a:prstGeom>
                  </pic:spPr>
                </pic:pic>
              </a:graphicData>
            </a:graphic>
            <wp14:sizeRelH relativeFrom="page">
              <wp14:pctWidth>0</wp14:pctWidth>
            </wp14:sizeRelH>
            <wp14:sizeRelV relativeFrom="page">
              <wp14:pctHeight>0</wp14:pctHeight>
            </wp14:sizeRelV>
          </wp:anchor>
        </w:drawing>
      </w:r>
    </w:p>
    <w:p w14:paraId="27C6B3C9" w14:textId="77777777" w:rsidR="009C3CBB" w:rsidRDefault="009C3CBB" w:rsidP="009C3CBB">
      <w:pPr>
        <w:spacing w:after="0"/>
        <w:jc w:val="both"/>
        <w:rPr>
          <w:rFonts w:ascii="Garamond" w:eastAsiaTheme="minorEastAsia" w:hAnsi="Garamond"/>
          <w:i/>
        </w:rPr>
      </w:pPr>
      <w:r w:rsidRPr="001C50C7">
        <w:rPr>
          <w:rFonts w:ascii="Garamond" w:eastAsiaTheme="minorEastAsia" w:hAnsi="Garamond"/>
          <w:i/>
        </w:rPr>
        <w:tab/>
      </w:r>
      <w:r w:rsidRPr="001C50C7">
        <w:rPr>
          <w:rFonts w:ascii="Garamond" w:eastAsiaTheme="minorEastAsia" w:hAnsi="Garamond"/>
          <w:i/>
        </w:rPr>
        <w:tab/>
      </w:r>
    </w:p>
    <w:p w14:paraId="0CEBF273" w14:textId="77777777" w:rsidR="009C3CBB" w:rsidRDefault="009C3CBB" w:rsidP="009C3CBB">
      <w:pPr>
        <w:spacing w:after="0"/>
        <w:jc w:val="both"/>
        <w:rPr>
          <w:rFonts w:ascii="Garamond" w:eastAsiaTheme="minorEastAsia" w:hAnsi="Garamond"/>
          <w:i/>
        </w:rPr>
      </w:pPr>
    </w:p>
    <w:p w14:paraId="52C0E3BE" w14:textId="77777777" w:rsidR="009C3CBB" w:rsidRDefault="009C3CBB" w:rsidP="009C3CBB">
      <w:pPr>
        <w:spacing w:after="0"/>
        <w:jc w:val="both"/>
        <w:rPr>
          <w:rFonts w:ascii="Garamond" w:eastAsiaTheme="minorEastAsia" w:hAnsi="Garamond"/>
          <w:i/>
        </w:rPr>
      </w:pPr>
    </w:p>
    <w:p w14:paraId="4CEDD22E" w14:textId="77777777" w:rsidR="009C3CBB" w:rsidRDefault="009C3CBB" w:rsidP="009C3CBB">
      <w:pPr>
        <w:spacing w:after="0"/>
        <w:jc w:val="both"/>
        <w:rPr>
          <w:rFonts w:ascii="Garamond" w:eastAsiaTheme="minorEastAsia" w:hAnsi="Garamond"/>
          <w:i/>
        </w:rPr>
      </w:pPr>
    </w:p>
    <w:p w14:paraId="5AA5069A" w14:textId="77777777" w:rsidR="009C3CBB" w:rsidRDefault="009C3CBB" w:rsidP="009C3CBB">
      <w:pPr>
        <w:spacing w:after="0"/>
        <w:jc w:val="both"/>
        <w:rPr>
          <w:rFonts w:ascii="Garamond" w:eastAsiaTheme="minorEastAsia" w:hAnsi="Garamond"/>
          <w:i/>
        </w:rPr>
      </w:pPr>
    </w:p>
    <w:p w14:paraId="07FB1E43" w14:textId="77777777" w:rsidR="009C3CBB" w:rsidRDefault="009C3CBB" w:rsidP="009C3CBB">
      <w:pPr>
        <w:spacing w:after="0"/>
        <w:jc w:val="both"/>
        <w:rPr>
          <w:rFonts w:ascii="Garamond" w:eastAsiaTheme="minorEastAsia" w:hAnsi="Garamond"/>
          <w:i/>
        </w:rPr>
      </w:pPr>
    </w:p>
    <w:p w14:paraId="47C49B6C" w14:textId="77777777" w:rsidR="009C3CBB" w:rsidRDefault="009C3CBB" w:rsidP="009C3CBB">
      <w:pPr>
        <w:spacing w:after="0"/>
        <w:jc w:val="both"/>
        <w:rPr>
          <w:rFonts w:ascii="Garamond" w:eastAsiaTheme="minorEastAsia" w:hAnsi="Garamond"/>
          <w:i/>
        </w:rPr>
      </w:pPr>
    </w:p>
    <w:p w14:paraId="5C8B6915" w14:textId="77777777" w:rsidR="009C3CBB" w:rsidRDefault="009C3CBB" w:rsidP="009C3CBB">
      <w:pPr>
        <w:spacing w:after="0"/>
        <w:jc w:val="both"/>
        <w:rPr>
          <w:rFonts w:ascii="Garamond" w:eastAsiaTheme="minorEastAsia" w:hAnsi="Garamond"/>
          <w:i/>
        </w:rPr>
      </w:pPr>
    </w:p>
    <w:p w14:paraId="6B4B2537" w14:textId="77777777" w:rsidR="009C3CBB" w:rsidRDefault="009C3CBB" w:rsidP="009C3CBB">
      <w:pPr>
        <w:spacing w:after="0"/>
        <w:jc w:val="both"/>
        <w:rPr>
          <w:rFonts w:ascii="Garamond" w:eastAsiaTheme="minorEastAsia" w:hAnsi="Garamond"/>
          <w:i/>
        </w:rPr>
      </w:pPr>
    </w:p>
    <w:p w14:paraId="3CDF9FF9" w14:textId="77777777" w:rsidR="009C3CBB" w:rsidRPr="001C50C7" w:rsidRDefault="009C3CBB" w:rsidP="009C3CBB">
      <w:pPr>
        <w:spacing w:after="0"/>
        <w:jc w:val="center"/>
        <w:rPr>
          <w:rFonts w:ascii="Garamond" w:eastAsiaTheme="minorEastAsia" w:hAnsi="Garamond"/>
          <w:i/>
        </w:rPr>
      </w:pPr>
      <w:r w:rsidRPr="001C50C7">
        <w:rPr>
          <w:rFonts w:ascii="Garamond" w:eastAsiaTheme="minorEastAsia" w:hAnsi="Garamond"/>
          <w:i/>
        </w:rPr>
        <w:t>Fuente: Greene W. (2012) “Econometric Analysis” – 7ma ed.</w:t>
      </w:r>
    </w:p>
    <w:p w14:paraId="6A08E9FF" w14:textId="77777777" w:rsidR="009C3CBB" w:rsidRPr="001C50C7" w:rsidRDefault="009C3CBB" w:rsidP="009C3CBB">
      <w:pPr>
        <w:spacing w:after="0"/>
        <w:jc w:val="both"/>
        <w:rPr>
          <w:rFonts w:ascii="Garamond" w:eastAsiaTheme="minorEastAsia" w:hAnsi="Garamond"/>
        </w:rPr>
      </w:pPr>
    </w:p>
    <w:p w14:paraId="7305D3F8" w14:textId="77777777" w:rsidR="009C3CBB" w:rsidRPr="001C50C7" w:rsidRDefault="009C3CBB" w:rsidP="009C3CBB">
      <w:pPr>
        <w:numPr>
          <w:ilvl w:val="0"/>
          <w:numId w:val="12"/>
        </w:numPr>
        <w:spacing w:after="0"/>
        <w:jc w:val="both"/>
        <w:rPr>
          <w:rFonts w:ascii="Garamond" w:eastAsiaTheme="minorEastAsia" w:hAnsi="Garamond"/>
        </w:rPr>
      </w:pPr>
      <w:r w:rsidRPr="001C50C7">
        <w:rPr>
          <w:rFonts w:ascii="Garamond" w:eastAsiaTheme="minorEastAsia" w:hAnsi="Garamond"/>
        </w:rPr>
        <w:t>Represente matricialmente el vector de parámetros estimados que corresponde a cada una de las cuatro regresiones presentadas en la tabla.</w:t>
      </w:r>
    </w:p>
    <w:p w14:paraId="41A1C65B" w14:textId="77777777" w:rsidR="009C3CBB" w:rsidRPr="001C50C7" w:rsidRDefault="009C3CBB" w:rsidP="009C3CBB">
      <w:pPr>
        <w:numPr>
          <w:ilvl w:val="0"/>
          <w:numId w:val="12"/>
        </w:numPr>
        <w:spacing w:after="0"/>
        <w:jc w:val="both"/>
        <w:rPr>
          <w:rFonts w:ascii="Garamond" w:eastAsiaTheme="minorEastAsia" w:hAnsi="Garamond"/>
        </w:rPr>
      </w:pPr>
      <w:r w:rsidRPr="001C50C7">
        <w:rPr>
          <w:rFonts w:ascii="Garamond" w:eastAsiaTheme="minorEastAsia" w:hAnsi="Garamond"/>
        </w:rPr>
        <w:t>Muestre que la suma de la SCR de los sub-periodos  1953-1973 y 1974-2004 es igual a la SCR del modelo irrestricto (i.e. el modelo en el que se permite que tanto los interceptos como las elasticidades precio y la elasticidad ingreso cambien entre periodos).</w:t>
      </w:r>
    </w:p>
    <w:p w14:paraId="7643753C" w14:textId="77777777" w:rsidR="009C3CBB" w:rsidRPr="001C50C7" w:rsidRDefault="009C3CBB" w:rsidP="009C3CBB">
      <w:pPr>
        <w:numPr>
          <w:ilvl w:val="0"/>
          <w:numId w:val="12"/>
        </w:numPr>
        <w:spacing w:after="0"/>
        <w:jc w:val="both"/>
        <w:rPr>
          <w:rFonts w:ascii="Garamond" w:eastAsiaTheme="minorEastAsia" w:hAnsi="Garamond"/>
        </w:rPr>
      </w:pPr>
      <w:r w:rsidRPr="001C50C7">
        <w:rPr>
          <w:rFonts w:ascii="Garamond" w:eastAsiaTheme="minorEastAsia" w:hAnsi="Garamond"/>
        </w:rPr>
        <w:t>Utilice el test apropiado para evaluar si luego de la crisis los americanos simplemente redujeron su consumo de gasolina en una proporción constante pero la elasticidad ingreso y las elasticidades precio del consumo de gasolina se mantuvieron constantes en todo el periodo.</w:t>
      </w:r>
    </w:p>
    <w:p w14:paraId="14F57962" w14:textId="77777777" w:rsidR="009C3CBB" w:rsidRPr="001C50C7" w:rsidRDefault="009C3CBB" w:rsidP="009C3CBB">
      <w:pPr>
        <w:numPr>
          <w:ilvl w:val="0"/>
          <w:numId w:val="12"/>
        </w:numPr>
        <w:spacing w:after="0"/>
        <w:jc w:val="both"/>
        <w:rPr>
          <w:rFonts w:ascii="Garamond" w:eastAsiaTheme="minorEastAsia" w:hAnsi="Garamond"/>
        </w:rPr>
      </w:pPr>
      <w:r w:rsidRPr="001C50C7">
        <w:rPr>
          <w:rFonts w:ascii="Garamond" w:eastAsiaTheme="minorEastAsia" w:hAnsi="Garamond"/>
        </w:rPr>
        <w:t>Utilice el test apropiado para evaluar si luego de la crisis en el mercado de petróleo también cambiaron las elasticidades.</w:t>
      </w:r>
    </w:p>
    <w:p w14:paraId="3FD53765" w14:textId="77777777" w:rsidR="009C3CBB" w:rsidRDefault="009C3CBB" w:rsidP="00426A2C">
      <w:pPr>
        <w:spacing w:after="0"/>
        <w:jc w:val="both"/>
        <w:rPr>
          <w:rFonts w:ascii="Garamond" w:eastAsiaTheme="minorEastAsia" w:hAnsi="Garamond"/>
        </w:rPr>
      </w:pPr>
    </w:p>
    <w:p w14:paraId="49A98056" w14:textId="1532DCCB" w:rsidR="00280097" w:rsidRDefault="005946D2" w:rsidP="00280097">
      <w:pPr>
        <w:pStyle w:val="Prrafodelista"/>
        <w:numPr>
          <w:ilvl w:val="0"/>
          <w:numId w:val="1"/>
        </w:numPr>
        <w:spacing w:after="0"/>
        <w:jc w:val="both"/>
        <w:rPr>
          <w:rFonts w:ascii="Garamond" w:eastAsiaTheme="minorEastAsia" w:hAnsi="Garamond"/>
          <w:b/>
        </w:rPr>
      </w:pPr>
      <w:r>
        <w:rPr>
          <w:rFonts w:ascii="Garamond" w:eastAsiaTheme="minorEastAsia" w:hAnsi="Garamond"/>
          <w:b/>
        </w:rPr>
        <w:t>Teoría asintótica</w:t>
      </w:r>
      <w:r w:rsidR="00280097">
        <w:rPr>
          <w:rFonts w:ascii="Garamond" w:eastAsiaTheme="minorEastAsia" w:hAnsi="Garamond"/>
          <w:b/>
        </w:rPr>
        <w:t>:</w:t>
      </w:r>
    </w:p>
    <w:p w14:paraId="06AD4614" w14:textId="77777777" w:rsidR="00280097" w:rsidRPr="001C50C7" w:rsidRDefault="00280097" w:rsidP="00280097">
      <w:pPr>
        <w:spacing w:after="0"/>
        <w:jc w:val="both"/>
        <w:rPr>
          <w:rFonts w:ascii="Garamond" w:eastAsiaTheme="minorEastAsia" w:hAnsi="Garamond"/>
          <w:b/>
        </w:rPr>
      </w:pPr>
    </w:p>
    <w:p w14:paraId="59C3EE62" w14:textId="77777777" w:rsidR="005946D2" w:rsidRDefault="005946D2" w:rsidP="005946D2">
      <w:pPr>
        <w:pStyle w:val="Prrafodelista"/>
        <w:numPr>
          <w:ilvl w:val="0"/>
          <w:numId w:val="16"/>
        </w:numPr>
        <w:spacing w:after="0"/>
        <w:jc w:val="both"/>
        <w:rPr>
          <w:rFonts w:ascii="Garamond" w:eastAsiaTheme="minorEastAsia" w:hAnsi="Garamond"/>
        </w:rPr>
      </w:pPr>
      <w:r>
        <w:rPr>
          <w:rFonts w:ascii="Garamond" w:eastAsiaTheme="minorEastAsia" w:hAnsi="Garamond"/>
        </w:rPr>
        <w:t>Defina formalmente los siguientes conceptos</w:t>
      </w:r>
      <w:r w:rsidRPr="00E86C31">
        <w:rPr>
          <w:rFonts w:ascii="Garamond" w:eastAsiaTheme="minorEastAsia" w:hAnsi="Garamond"/>
        </w:rPr>
        <w:t xml:space="preserve"> </w:t>
      </w:r>
    </w:p>
    <w:p w14:paraId="4C9D0908" w14:textId="77777777" w:rsidR="005946D2" w:rsidRPr="00E86C31" w:rsidRDefault="005946D2" w:rsidP="005946D2">
      <w:pPr>
        <w:spacing w:after="0"/>
        <w:jc w:val="both"/>
        <w:rPr>
          <w:rFonts w:ascii="Garamond" w:eastAsiaTheme="minorEastAsia" w:hAnsi="Garamond"/>
        </w:rPr>
      </w:pPr>
    </w:p>
    <w:p w14:paraId="3F70532B" w14:textId="77777777" w:rsidR="005946D2" w:rsidRDefault="005946D2" w:rsidP="005946D2">
      <w:pPr>
        <w:numPr>
          <w:ilvl w:val="0"/>
          <w:numId w:val="17"/>
        </w:numPr>
        <w:spacing w:after="0"/>
        <w:jc w:val="both"/>
        <w:rPr>
          <w:rFonts w:ascii="Garamond" w:eastAsiaTheme="minorEastAsia" w:hAnsi="Garamond"/>
        </w:rPr>
      </w:pPr>
      <w:r>
        <w:rPr>
          <w:rFonts w:ascii="Garamond" w:eastAsiaTheme="minorEastAsia" w:hAnsi="Garamond"/>
        </w:rPr>
        <w:t>Convergencia en probabilidad</w:t>
      </w:r>
    </w:p>
    <w:p w14:paraId="53337B9A" w14:textId="77777777" w:rsidR="005946D2" w:rsidRDefault="005946D2" w:rsidP="005946D2">
      <w:pPr>
        <w:numPr>
          <w:ilvl w:val="0"/>
          <w:numId w:val="17"/>
        </w:numPr>
        <w:spacing w:after="0"/>
        <w:jc w:val="both"/>
        <w:rPr>
          <w:rFonts w:ascii="Garamond" w:eastAsiaTheme="minorEastAsia" w:hAnsi="Garamond"/>
        </w:rPr>
      </w:pPr>
      <w:r>
        <w:rPr>
          <w:rFonts w:ascii="Garamond" w:eastAsiaTheme="minorEastAsia" w:hAnsi="Garamond"/>
        </w:rPr>
        <w:t>Convergencia media cuadrática</w:t>
      </w:r>
    </w:p>
    <w:p w14:paraId="79199AC2" w14:textId="77777777" w:rsidR="005946D2" w:rsidRDefault="005946D2" w:rsidP="005946D2">
      <w:pPr>
        <w:numPr>
          <w:ilvl w:val="0"/>
          <w:numId w:val="17"/>
        </w:numPr>
        <w:spacing w:after="0"/>
        <w:jc w:val="both"/>
        <w:rPr>
          <w:rFonts w:ascii="Garamond" w:eastAsiaTheme="minorEastAsia" w:hAnsi="Garamond"/>
        </w:rPr>
      </w:pPr>
      <w:r>
        <w:rPr>
          <w:rFonts w:ascii="Garamond" w:eastAsiaTheme="minorEastAsia" w:hAnsi="Garamond"/>
        </w:rPr>
        <w:t>Consistencia</w:t>
      </w:r>
    </w:p>
    <w:p w14:paraId="6653002E" w14:textId="77777777" w:rsidR="005946D2" w:rsidRDefault="005946D2" w:rsidP="005946D2">
      <w:pPr>
        <w:numPr>
          <w:ilvl w:val="0"/>
          <w:numId w:val="17"/>
        </w:numPr>
        <w:spacing w:after="0"/>
        <w:jc w:val="both"/>
        <w:rPr>
          <w:rFonts w:ascii="Garamond" w:eastAsiaTheme="minorEastAsia" w:hAnsi="Garamond"/>
        </w:rPr>
      </w:pPr>
      <w:r>
        <w:rPr>
          <w:rFonts w:ascii="Garamond" w:eastAsiaTheme="minorEastAsia" w:hAnsi="Garamond"/>
        </w:rPr>
        <w:t>Convergencia en distribución</w:t>
      </w:r>
    </w:p>
    <w:p w14:paraId="193AE0B8" w14:textId="77777777" w:rsidR="005946D2" w:rsidRDefault="005946D2" w:rsidP="005946D2">
      <w:pPr>
        <w:numPr>
          <w:ilvl w:val="0"/>
          <w:numId w:val="17"/>
        </w:numPr>
        <w:spacing w:after="0"/>
        <w:jc w:val="both"/>
        <w:rPr>
          <w:rFonts w:ascii="Garamond" w:eastAsiaTheme="minorEastAsia" w:hAnsi="Garamond"/>
        </w:rPr>
      </w:pPr>
      <w:r>
        <w:rPr>
          <w:rFonts w:ascii="Garamond" w:eastAsiaTheme="minorEastAsia" w:hAnsi="Garamond"/>
        </w:rPr>
        <w:t>Teorema del Límite Central</w:t>
      </w:r>
    </w:p>
    <w:p w14:paraId="02CBBDED" w14:textId="77777777" w:rsidR="005946D2" w:rsidRDefault="005946D2" w:rsidP="005946D2">
      <w:pPr>
        <w:numPr>
          <w:ilvl w:val="0"/>
          <w:numId w:val="17"/>
        </w:numPr>
        <w:spacing w:after="0"/>
        <w:jc w:val="both"/>
        <w:rPr>
          <w:rFonts w:ascii="Garamond" w:eastAsiaTheme="minorEastAsia" w:hAnsi="Garamond"/>
        </w:rPr>
      </w:pPr>
      <w:r>
        <w:rPr>
          <w:rFonts w:ascii="Garamond" w:eastAsiaTheme="minorEastAsia" w:hAnsi="Garamond"/>
        </w:rPr>
        <w:t>Distribución Asintótica</w:t>
      </w:r>
    </w:p>
    <w:p w14:paraId="5D41E0B9" w14:textId="77777777" w:rsidR="005946D2" w:rsidRDefault="005946D2" w:rsidP="005946D2">
      <w:pPr>
        <w:spacing w:after="0"/>
        <w:jc w:val="both"/>
        <w:rPr>
          <w:rFonts w:ascii="Garamond" w:eastAsiaTheme="minorEastAsia" w:hAnsi="Garamond"/>
        </w:rPr>
      </w:pPr>
    </w:p>
    <w:p w14:paraId="4356F8D1" w14:textId="2761A380" w:rsidR="005946D2" w:rsidRDefault="00230DA5" w:rsidP="005946D2">
      <w:pPr>
        <w:pStyle w:val="Prrafodelista"/>
        <w:numPr>
          <w:ilvl w:val="0"/>
          <w:numId w:val="16"/>
        </w:numPr>
        <w:spacing w:after="0"/>
        <w:jc w:val="both"/>
        <w:rPr>
          <w:rFonts w:ascii="Garamond" w:eastAsiaTheme="minorEastAsia" w:hAnsi="Garamond"/>
        </w:rPr>
      </w:pPr>
      <w:r>
        <w:rPr>
          <w:rFonts w:ascii="Garamond" w:eastAsiaTheme="minorEastAsia" w:hAnsi="Garamond"/>
        </w:rPr>
        <w:t>Muestre las convergencias en probabilidad y medio cuadráticas de los promedios</w:t>
      </w:r>
      <w:r>
        <w:rPr>
          <w:rFonts w:ascii="Garamond" w:eastAsiaTheme="minorEastAsia" w:hAnsi="Garamond"/>
        </w:rPr>
        <w:t>.</w:t>
      </w:r>
      <w:bookmarkStart w:id="0" w:name="_GoBack"/>
      <w:bookmarkEnd w:id="0"/>
    </w:p>
    <w:p w14:paraId="5E7C66B4" w14:textId="77777777" w:rsidR="009C3CBB" w:rsidRPr="009718D2" w:rsidRDefault="009C3CBB" w:rsidP="00426A2C">
      <w:pPr>
        <w:spacing w:after="0"/>
        <w:jc w:val="both"/>
        <w:rPr>
          <w:rFonts w:ascii="Garamond" w:eastAsiaTheme="minorEastAsia" w:hAnsi="Garamond"/>
        </w:rPr>
      </w:pPr>
    </w:p>
    <w:sectPr w:rsidR="009C3CBB" w:rsidRPr="009718D2" w:rsidSect="00200F86">
      <w:head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828E0" w14:textId="77777777" w:rsidR="00B32760" w:rsidRDefault="00B32760" w:rsidP="0071747B">
      <w:pPr>
        <w:spacing w:after="0" w:line="240" w:lineRule="auto"/>
      </w:pPr>
      <w:r>
        <w:separator/>
      </w:r>
    </w:p>
  </w:endnote>
  <w:endnote w:type="continuationSeparator" w:id="0">
    <w:p w14:paraId="70138229" w14:textId="77777777" w:rsidR="00B32760" w:rsidRDefault="00B32760" w:rsidP="0071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C9ED6" w14:textId="77777777" w:rsidR="00B32760" w:rsidRDefault="00B32760" w:rsidP="0071747B">
      <w:pPr>
        <w:spacing w:after="0" w:line="240" w:lineRule="auto"/>
      </w:pPr>
      <w:r>
        <w:separator/>
      </w:r>
    </w:p>
  </w:footnote>
  <w:footnote w:type="continuationSeparator" w:id="0">
    <w:p w14:paraId="552F347B" w14:textId="77777777" w:rsidR="00B32760" w:rsidRDefault="00B32760" w:rsidP="007174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6C634" w14:textId="77777777" w:rsidR="0071747B" w:rsidRPr="00EB6BC3" w:rsidRDefault="0071747B" w:rsidP="0071747B">
    <w:pPr>
      <w:pStyle w:val="Encabezado"/>
      <w:rPr>
        <w:rFonts w:ascii="Garamond" w:hAnsi="Garamond"/>
        <w:sz w:val="20"/>
        <w:szCs w:val="20"/>
      </w:rPr>
    </w:pPr>
    <w:r w:rsidRPr="00EB6BC3">
      <w:rPr>
        <w:rFonts w:ascii="Garamond" w:hAnsi="Garamond"/>
        <w:sz w:val="20"/>
        <w:szCs w:val="20"/>
      </w:rPr>
      <w:t>PONTIFICIA UNIVERSIDAD CATÓLICA DEL PERÚ</w:t>
    </w:r>
  </w:p>
  <w:p w14:paraId="75BE80E5" w14:textId="77777777" w:rsidR="0071747B" w:rsidRDefault="0071747B" w:rsidP="0071747B">
    <w:pPr>
      <w:pStyle w:val="Encabezado"/>
      <w:rPr>
        <w:rFonts w:ascii="Garamond" w:hAnsi="Garamond"/>
        <w:sz w:val="20"/>
        <w:szCs w:val="20"/>
      </w:rPr>
    </w:pPr>
    <w:r w:rsidRPr="00EB6BC3">
      <w:rPr>
        <w:rFonts w:ascii="Garamond" w:hAnsi="Garamond"/>
        <w:sz w:val="20"/>
        <w:szCs w:val="20"/>
      </w:rPr>
      <w:t>FACULTAD DE CIENCIAS SOCIALES</w:t>
    </w:r>
  </w:p>
  <w:p w14:paraId="2863C063" w14:textId="77777777" w:rsidR="0071747B" w:rsidRDefault="0071747B" w:rsidP="0071747B">
    <w:pPr>
      <w:pStyle w:val="Encabezado"/>
      <w:rPr>
        <w:rFonts w:ascii="Garamond" w:hAnsi="Garamond"/>
        <w:sz w:val="20"/>
        <w:szCs w:val="20"/>
      </w:rPr>
    </w:pPr>
    <w:r>
      <w:rPr>
        <w:rFonts w:ascii="Garamond" w:hAnsi="Garamond"/>
        <w:sz w:val="20"/>
        <w:szCs w:val="20"/>
      </w:rPr>
      <w:t>ESPECIALIDAD DE ECONOMÍA</w:t>
    </w:r>
  </w:p>
  <w:p w14:paraId="15D85EB9" w14:textId="63295BDC" w:rsidR="0071747B" w:rsidRPr="00EB6BC3" w:rsidRDefault="00D10655" w:rsidP="0071747B">
    <w:pPr>
      <w:pStyle w:val="Encabezado"/>
      <w:rPr>
        <w:rFonts w:ascii="Garamond" w:hAnsi="Garamond"/>
        <w:sz w:val="20"/>
        <w:szCs w:val="20"/>
      </w:rPr>
    </w:pPr>
    <w:r>
      <w:rPr>
        <w:rFonts w:ascii="Garamond" w:hAnsi="Garamond"/>
        <w:sz w:val="20"/>
        <w:szCs w:val="20"/>
      </w:rPr>
      <w:t>CICLO 2019-1</w:t>
    </w:r>
  </w:p>
  <w:p w14:paraId="28B6A0FF" w14:textId="77777777" w:rsidR="0071747B" w:rsidRDefault="0071747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0770"/>
    <w:multiLevelType w:val="hybridMultilevel"/>
    <w:tmpl w:val="68666C28"/>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
    <w:nsid w:val="11FA5F54"/>
    <w:multiLevelType w:val="hybridMultilevel"/>
    <w:tmpl w:val="6A223AF6"/>
    <w:lvl w:ilvl="0" w:tplc="280A0019">
      <w:start w:val="1"/>
      <w:numFmt w:val="lowerLetter"/>
      <w:lvlText w:val="%1."/>
      <w:lvlJc w:val="left"/>
      <w:pPr>
        <w:ind w:left="1068" w:hanging="360"/>
      </w:pPr>
      <w:rPr>
        <w:rFonts w:hint="default"/>
      </w:rPr>
    </w:lvl>
    <w:lvl w:ilvl="1" w:tplc="280A001B">
      <w:start w:val="1"/>
      <w:numFmt w:val="lowerRoman"/>
      <w:lvlText w:val="%2."/>
      <w:lvlJc w:val="righ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24230C35"/>
    <w:multiLevelType w:val="hybridMultilevel"/>
    <w:tmpl w:val="68666C28"/>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
    <w:nsid w:val="27FB705E"/>
    <w:multiLevelType w:val="hybridMultilevel"/>
    <w:tmpl w:val="6B040F9C"/>
    <w:lvl w:ilvl="0" w:tplc="280A001B">
      <w:start w:val="1"/>
      <w:numFmt w:val="lowerRoman"/>
      <w:lvlText w:val="%1."/>
      <w:lvlJc w:val="righ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nsid w:val="28F90766"/>
    <w:multiLevelType w:val="hybridMultilevel"/>
    <w:tmpl w:val="6E902DAE"/>
    <w:lvl w:ilvl="0" w:tplc="280A000F">
      <w:start w:val="1"/>
      <w:numFmt w:val="decimal"/>
      <w:lvlText w:val="%1."/>
      <w:lvlJc w:val="left"/>
      <w:pPr>
        <w:ind w:left="720" w:hanging="360"/>
      </w:pPr>
      <w:rPr>
        <w:rFonts w:hint="default"/>
      </w:rPr>
    </w:lvl>
    <w:lvl w:ilvl="1" w:tplc="B6B27E1A">
      <w:start w:val="1"/>
      <w:numFmt w:val="lowerLetter"/>
      <w:lvlText w:val="%2."/>
      <w:lvlJc w:val="left"/>
      <w:pPr>
        <w:ind w:left="1440" w:hanging="360"/>
      </w:pPr>
      <w:rPr>
        <w:b w:val="0"/>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0C81AF9"/>
    <w:multiLevelType w:val="hybridMultilevel"/>
    <w:tmpl w:val="DCDA3856"/>
    <w:lvl w:ilvl="0" w:tplc="280A000F">
      <w:start w:val="1"/>
      <w:numFmt w:val="decimal"/>
      <w:lvlText w:val="%1."/>
      <w:lvlJc w:val="left"/>
      <w:pPr>
        <w:ind w:left="720" w:hanging="360"/>
      </w:pPr>
      <w:rPr>
        <w:rFonts w:hint="default"/>
      </w:rPr>
    </w:lvl>
    <w:lvl w:ilvl="1" w:tplc="B5806FDE">
      <w:start w:val="1"/>
      <w:numFmt w:val="lowerLetter"/>
      <w:lvlText w:val="%2."/>
      <w:lvlJc w:val="left"/>
      <w:pPr>
        <w:ind w:left="1440" w:hanging="360"/>
      </w:pPr>
      <w:rPr>
        <w:rFonts w:ascii="Garamond" w:hAnsi="Garamond" w:hint="default"/>
        <w:b w:val="0"/>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2BB7F3D"/>
    <w:multiLevelType w:val="hybridMultilevel"/>
    <w:tmpl w:val="12B8932A"/>
    <w:lvl w:ilvl="0" w:tplc="B6B27E1A">
      <w:start w:val="1"/>
      <w:numFmt w:val="lowerLetter"/>
      <w:lvlText w:val="%1."/>
      <w:lvlJc w:val="left"/>
      <w:pPr>
        <w:ind w:left="144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39744D23"/>
    <w:multiLevelType w:val="hybridMultilevel"/>
    <w:tmpl w:val="D44AC550"/>
    <w:lvl w:ilvl="0" w:tplc="280A001B">
      <w:start w:val="1"/>
      <w:numFmt w:val="lowerRoman"/>
      <w:lvlText w:val="%1."/>
      <w:lvlJc w:val="right"/>
      <w:pPr>
        <w:ind w:left="106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5C79505E"/>
    <w:multiLevelType w:val="hybridMultilevel"/>
    <w:tmpl w:val="A8EA8BAE"/>
    <w:lvl w:ilvl="0" w:tplc="040A0019">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D1671D8"/>
    <w:multiLevelType w:val="hybridMultilevel"/>
    <w:tmpl w:val="68666C28"/>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0">
    <w:nsid w:val="611F37DF"/>
    <w:multiLevelType w:val="hybridMultilevel"/>
    <w:tmpl w:val="DB8E65CC"/>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1">
    <w:nsid w:val="683E65C8"/>
    <w:multiLevelType w:val="hybridMultilevel"/>
    <w:tmpl w:val="A5740226"/>
    <w:lvl w:ilvl="0" w:tplc="280A0019">
      <w:start w:val="1"/>
      <w:numFmt w:val="lowerLetter"/>
      <w:lvlText w:val="%1."/>
      <w:lvlJc w:val="left"/>
      <w:pPr>
        <w:ind w:left="644" w:hanging="360"/>
      </w:p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2">
    <w:nsid w:val="6BF444F6"/>
    <w:multiLevelType w:val="hybridMultilevel"/>
    <w:tmpl w:val="A8EA8BA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6BF7385C"/>
    <w:multiLevelType w:val="hybridMultilevel"/>
    <w:tmpl w:val="D44AC550"/>
    <w:lvl w:ilvl="0" w:tplc="280A001B">
      <w:start w:val="1"/>
      <w:numFmt w:val="lowerRoman"/>
      <w:lvlText w:val="%1."/>
      <w:lvlJc w:val="right"/>
      <w:pPr>
        <w:ind w:left="106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E480372"/>
    <w:multiLevelType w:val="hybridMultilevel"/>
    <w:tmpl w:val="68666C28"/>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5">
    <w:nsid w:val="6F1F5504"/>
    <w:multiLevelType w:val="hybridMultilevel"/>
    <w:tmpl w:val="A8EA8BA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7ED57670"/>
    <w:multiLevelType w:val="hybridMultilevel"/>
    <w:tmpl w:val="50B23C4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16"/>
  </w:num>
  <w:num w:numId="6">
    <w:abstractNumId w:val="14"/>
  </w:num>
  <w:num w:numId="7">
    <w:abstractNumId w:val="10"/>
  </w:num>
  <w:num w:numId="8">
    <w:abstractNumId w:val="11"/>
  </w:num>
  <w:num w:numId="9">
    <w:abstractNumId w:val="2"/>
  </w:num>
  <w:num w:numId="10">
    <w:abstractNumId w:val="0"/>
  </w:num>
  <w:num w:numId="11">
    <w:abstractNumId w:val="9"/>
  </w:num>
  <w:num w:numId="12">
    <w:abstractNumId w:val="3"/>
  </w:num>
  <w:num w:numId="13">
    <w:abstractNumId w:val="15"/>
  </w:num>
  <w:num w:numId="14">
    <w:abstractNumId w:val="13"/>
  </w:num>
  <w:num w:numId="15">
    <w:abstractNumId w:val="1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7B"/>
    <w:rsid w:val="00032CE8"/>
    <w:rsid w:val="00036421"/>
    <w:rsid w:val="00045B84"/>
    <w:rsid w:val="000A1291"/>
    <w:rsid w:val="000C0057"/>
    <w:rsid w:val="000C111B"/>
    <w:rsid w:val="000C4067"/>
    <w:rsid w:val="000C47C9"/>
    <w:rsid w:val="00120D52"/>
    <w:rsid w:val="00130FD8"/>
    <w:rsid w:val="0013671B"/>
    <w:rsid w:val="00182539"/>
    <w:rsid w:val="00185919"/>
    <w:rsid w:val="0019335C"/>
    <w:rsid w:val="001E4A98"/>
    <w:rsid w:val="00200F86"/>
    <w:rsid w:val="00230DA5"/>
    <w:rsid w:val="002458DC"/>
    <w:rsid w:val="002506A8"/>
    <w:rsid w:val="00260D23"/>
    <w:rsid w:val="00261011"/>
    <w:rsid w:val="002720A0"/>
    <w:rsid w:val="002730F8"/>
    <w:rsid w:val="00276B3F"/>
    <w:rsid w:val="00280097"/>
    <w:rsid w:val="0029565B"/>
    <w:rsid w:val="002A72CE"/>
    <w:rsid w:val="002B64E9"/>
    <w:rsid w:val="002B751D"/>
    <w:rsid w:val="002B7BEB"/>
    <w:rsid w:val="002C0D97"/>
    <w:rsid w:val="002C1E73"/>
    <w:rsid w:val="002C1E8C"/>
    <w:rsid w:val="002C7185"/>
    <w:rsid w:val="002D107A"/>
    <w:rsid w:val="00300426"/>
    <w:rsid w:val="003050D7"/>
    <w:rsid w:val="00352798"/>
    <w:rsid w:val="003545EB"/>
    <w:rsid w:val="003837D5"/>
    <w:rsid w:val="0039719D"/>
    <w:rsid w:val="003A77B3"/>
    <w:rsid w:val="003B6125"/>
    <w:rsid w:val="003D7343"/>
    <w:rsid w:val="003F7D6D"/>
    <w:rsid w:val="00424665"/>
    <w:rsid w:val="00426A2C"/>
    <w:rsid w:val="00442783"/>
    <w:rsid w:val="00492B2E"/>
    <w:rsid w:val="00494068"/>
    <w:rsid w:val="004A50F6"/>
    <w:rsid w:val="004B0560"/>
    <w:rsid w:val="004C0119"/>
    <w:rsid w:val="004E275C"/>
    <w:rsid w:val="00511FDB"/>
    <w:rsid w:val="00521BFE"/>
    <w:rsid w:val="0053355B"/>
    <w:rsid w:val="005744EB"/>
    <w:rsid w:val="00576A34"/>
    <w:rsid w:val="00583188"/>
    <w:rsid w:val="00586343"/>
    <w:rsid w:val="0059074B"/>
    <w:rsid w:val="005946D2"/>
    <w:rsid w:val="00595A95"/>
    <w:rsid w:val="005A77C3"/>
    <w:rsid w:val="005F0A32"/>
    <w:rsid w:val="005F38A8"/>
    <w:rsid w:val="0062231A"/>
    <w:rsid w:val="00644BD2"/>
    <w:rsid w:val="006605A6"/>
    <w:rsid w:val="00670DD5"/>
    <w:rsid w:val="0068376F"/>
    <w:rsid w:val="00692164"/>
    <w:rsid w:val="00695572"/>
    <w:rsid w:val="006A5DDB"/>
    <w:rsid w:val="00703321"/>
    <w:rsid w:val="0071747B"/>
    <w:rsid w:val="00783636"/>
    <w:rsid w:val="007E7EE9"/>
    <w:rsid w:val="00861C9E"/>
    <w:rsid w:val="008822DF"/>
    <w:rsid w:val="008864D4"/>
    <w:rsid w:val="008937F5"/>
    <w:rsid w:val="008A790E"/>
    <w:rsid w:val="008C2F45"/>
    <w:rsid w:val="008D2A4D"/>
    <w:rsid w:val="008D523C"/>
    <w:rsid w:val="008D5C10"/>
    <w:rsid w:val="00915BFF"/>
    <w:rsid w:val="00932F4C"/>
    <w:rsid w:val="009718D2"/>
    <w:rsid w:val="00973D5C"/>
    <w:rsid w:val="00990431"/>
    <w:rsid w:val="0099630D"/>
    <w:rsid w:val="009C2850"/>
    <w:rsid w:val="009C3CBB"/>
    <w:rsid w:val="009E5A2C"/>
    <w:rsid w:val="00A22A4B"/>
    <w:rsid w:val="00A32AFD"/>
    <w:rsid w:val="00A61430"/>
    <w:rsid w:val="00A728CC"/>
    <w:rsid w:val="00AB0B2F"/>
    <w:rsid w:val="00AB6636"/>
    <w:rsid w:val="00AD583D"/>
    <w:rsid w:val="00AE7704"/>
    <w:rsid w:val="00B24DBB"/>
    <w:rsid w:val="00B32760"/>
    <w:rsid w:val="00B51BDE"/>
    <w:rsid w:val="00B77E0E"/>
    <w:rsid w:val="00B823F2"/>
    <w:rsid w:val="00BB41E1"/>
    <w:rsid w:val="00BC4BD9"/>
    <w:rsid w:val="00BE3E2A"/>
    <w:rsid w:val="00C3770A"/>
    <w:rsid w:val="00C64345"/>
    <w:rsid w:val="00CA503D"/>
    <w:rsid w:val="00CD1BA7"/>
    <w:rsid w:val="00CE51CC"/>
    <w:rsid w:val="00D00B13"/>
    <w:rsid w:val="00D060EE"/>
    <w:rsid w:val="00D10655"/>
    <w:rsid w:val="00D20171"/>
    <w:rsid w:val="00D6319B"/>
    <w:rsid w:val="00DC4F2E"/>
    <w:rsid w:val="00DD20A8"/>
    <w:rsid w:val="00DD2CD4"/>
    <w:rsid w:val="00DD629B"/>
    <w:rsid w:val="00E15D89"/>
    <w:rsid w:val="00E61AB3"/>
    <w:rsid w:val="00E74ACD"/>
    <w:rsid w:val="00E8784D"/>
    <w:rsid w:val="00E87FB1"/>
    <w:rsid w:val="00E91F08"/>
    <w:rsid w:val="00EA0D96"/>
    <w:rsid w:val="00EB0466"/>
    <w:rsid w:val="00EE3634"/>
    <w:rsid w:val="00F01D84"/>
    <w:rsid w:val="00F026CC"/>
    <w:rsid w:val="00F47A44"/>
    <w:rsid w:val="00F86FEA"/>
    <w:rsid w:val="00FB5BC7"/>
    <w:rsid w:val="00FC4060"/>
    <w:rsid w:val="00FD1868"/>
    <w:rsid w:val="00FD611A"/>
    <w:rsid w:val="00FE64EB"/>
    <w:rsid w:val="00FF5E3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33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747B"/>
    <w:pPr>
      <w:spacing w:after="200" w:line="276" w:lineRule="auto"/>
    </w:pPr>
    <w:rPr>
      <w:sz w:val="22"/>
      <w:szCs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747B"/>
    <w:rPr>
      <w:color w:val="0563C1" w:themeColor="hyperlink"/>
      <w:u w:val="single"/>
    </w:rPr>
  </w:style>
  <w:style w:type="paragraph" w:styleId="Encabezado">
    <w:name w:val="header"/>
    <w:basedOn w:val="Normal"/>
    <w:link w:val="EncabezadoCar"/>
    <w:uiPriority w:val="99"/>
    <w:unhideWhenUsed/>
    <w:rsid w:val="007174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747B"/>
    <w:rPr>
      <w:sz w:val="22"/>
      <w:szCs w:val="22"/>
      <w:lang w:val="es-PE"/>
    </w:rPr>
  </w:style>
  <w:style w:type="paragraph" w:styleId="Piedepgina">
    <w:name w:val="footer"/>
    <w:basedOn w:val="Normal"/>
    <w:link w:val="PiedepginaCar"/>
    <w:uiPriority w:val="99"/>
    <w:unhideWhenUsed/>
    <w:rsid w:val="007174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747B"/>
    <w:rPr>
      <w:sz w:val="22"/>
      <w:szCs w:val="22"/>
      <w:lang w:val="es-PE"/>
    </w:rPr>
  </w:style>
  <w:style w:type="paragraph" w:styleId="Prrafodelista">
    <w:name w:val="List Paragraph"/>
    <w:basedOn w:val="Normal"/>
    <w:uiPriority w:val="34"/>
    <w:qFormat/>
    <w:rsid w:val="0071747B"/>
    <w:pPr>
      <w:ind w:left="720"/>
      <w:contextualSpacing/>
    </w:pPr>
  </w:style>
  <w:style w:type="character" w:styleId="Textodelmarcadordeposicin">
    <w:name w:val="Placeholder Text"/>
    <w:basedOn w:val="Fuentedeprrafopredeter"/>
    <w:uiPriority w:val="99"/>
    <w:semiHidden/>
    <w:rsid w:val="004E275C"/>
    <w:rPr>
      <w:color w:val="808080"/>
    </w:rPr>
  </w:style>
  <w:style w:type="table" w:styleId="Tablaconcuadrcula">
    <w:name w:val="Table Grid"/>
    <w:basedOn w:val="Tablanormal"/>
    <w:uiPriority w:val="39"/>
    <w:rsid w:val="00FD61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garcia@pucp.edu.pe" TargetMode="External"/><Relationship Id="rId8" Type="http://schemas.openxmlformats.org/officeDocument/2006/relationships/hyperlink" Target="mailto:n.barrantes@pucp.pe"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531</Words>
  <Characters>2923</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Nicolas Barrantes</cp:lastModifiedBy>
  <cp:revision>7</cp:revision>
  <dcterms:created xsi:type="dcterms:W3CDTF">2019-05-30T04:03:00Z</dcterms:created>
  <dcterms:modified xsi:type="dcterms:W3CDTF">2019-05-31T04:32:00Z</dcterms:modified>
</cp:coreProperties>
</file>