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MATRIZ DE CONSISTENCIA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2021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rtl w:val="0"/>
        </w:rPr>
        <w:t xml:space="preserve">El crecimiento económico en la recaudación de impuestos </w:t>
      </w:r>
      <w:r w:rsidDel="00000000" w:rsidR="00000000" w:rsidRPr="00000000">
        <w:rPr>
          <w:b w:val="1"/>
          <w:color w:val="202124"/>
          <w:rtl w:val="0"/>
        </w:rPr>
        <w:t xml:space="preserve">del departamento de Ayacucho, periodo 2007-2019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jc w:val="center"/>
        <w:rPr>
          <w:b w:val="1"/>
          <w:color w:val="202124"/>
          <w:u w:val="none"/>
        </w:rPr>
      </w:pPr>
      <w:r w:rsidDel="00000000" w:rsidR="00000000" w:rsidRPr="00000000">
        <w:rPr>
          <w:b w:val="1"/>
          <w:color w:val="202124"/>
          <w:rtl w:val="0"/>
        </w:rPr>
        <w:t xml:space="preserve">OJO LOS DE JUSTIFICACIÓN</w:t>
      </w:r>
      <w:r w:rsidDel="00000000" w:rsidR="00000000" w:rsidRPr="00000000">
        <w:rPr>
          <w:rtl w:val="0"/>
        </w:rPr>
      </w:r>
    </w:p>
    <w:tbl>
      <w:tblPr>
        <w:tblStyle w:val="Table1"/>
        <w:tblW w:w="14808.0" w:type="dxa"/>
        <w:jc w:val="left"/>
        <w:tblInd w:w="-3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6.5102040816328"/>
        <w:gridCol w:w="2682.061224489796"/>
        <w:gridCol w:w="2682.061224489796"/>
        <w:gridCol w:w="2858.3469387755104"/>
        <w:gridCol w:w="3979.020408163265"/>
        <w:tblGridChange w:id="0">
          <w:tblGrid>
            <w:gridCol w:w="2606.5102040816328"/>
            <w:gridCol w:w="2682.061224489796"/>
            <w:gridCol w:w="2682.061224489796"/>
            <w:gridCol w:w="2858.3469387755104"/>
            <w:gridCol w:w="3979.0204081632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PROBLEMA DE INVESTIGACIÓN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OBJETIVOS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HIPÓTESIS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VARIABLES E INDICADORES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METODOLOGÍA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PROBLEMA GENERAL</w:t>
            </w:r>
          </w:p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En qué medida influye el crecimiento económico en 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la recaudación de impuestos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por la SUNAT en el departamento de Ayacucho, periodo 2007-2019?</w:t>
            </w:r>
          </w:p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PROBLEMA ESPECÍFICOS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¿Cuál ha sido la tendencia de la recaudación de impuestos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por la SUNAT en Ayacucho</w:t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durante el periodo 2007-2019?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• ¿Cuál ha sido la tendencia del crecimiento económico en el departamento de Ayacucho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durante el periodo 2007-2019?</w:t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• ¿Cuál es la relación entre  la recaudación de impuestos por la SUNAT respecto al crecimiento económico durante el periodo 2007-2019?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 GENERAL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Determinar la influencia del crecimiento</w:t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económico en la recaudación de impuestos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por la SUNAT en el departamento de Ayacucho, periodo 2007-2019.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OBJETIVO ESPECÍFICOS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• Analizar la tendencia de la recaudación de impuestos por la SUNAT en Ayacucho durante el periodo 2007-2019?</w:t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• Analizar la tendencia del crecimiento económico en el departamento de Ayacucho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durante el periodo 2007-2019?</w:t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38761d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• Analizar la relación existente entre crecimiento económico y la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38761d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recaudación de impuestos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durante el periodo 2007-2019.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  <w:color w:val="9900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HIPÓTESIS GENERAL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La influencia del crecimiento económico en recaudación de impuestos por la SUNAT en el departamento de Ayacucho, periodo 2007-2019, es directa.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u w:val="single"/>
                <w:rtl w:val="0"/>
              </w:rPr>
              <w:t xml:space="preserve">HIPÓTESIS  ESPECÍFICOS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 tendencia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 de la recaudación de impuestos por la SUNAT es creciente.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tendencia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 del crecimiento económico en el departamento de Ayacucho es creciente.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La relación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entre crecimiento económico y la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720" w:firstLine="0"/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u w:val="single"/>
                <w:rtl w:val="0"/>
              </w:rPr>
              <w:t xml:space="preserve">recaudación de impuestos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durante el periodo 2007-2019, es positiva.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VARIABLES INDEPENDIENTE: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Crecimiento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económico</w:t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Valor agregado bruto (VAB)-Valores a Precios Constantes de 2007(Miles de soles)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VARIABLE DEPENDIENTE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38761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8761d"/>
                <w:rtl w:val="0"/>
              </w:rPr>
              <w:t xml:space="preserve">Recaudación de impuestos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NDICADORES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pos="426"/>
              </w:tabs>
              <w:spacing w:line="36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-Impuesto General a las Ventas interno según departamento - Ayacucho (miles de soles)</w:t>
            </w:r>
          </w:p>
          <w:p w:rsidR="00000000" w:rsidDel="00000000" w:rsidP="00000000" w:rsidRDefault="00000000" w:rsidRPr="00000000" w14:paraId="00000040">
            <w:pPr>
              <w:tabs>
                <w:tab w:val="left" w:pos="426"/>
              </w:tabs>
              <w:spacing w:line="36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-Impuesto a la renta según departamento -Ayacucho (miles de soles)</w:t>
            </w:r>
          </w:p>
          <w:p w:rsidR="00000000" w:rsidDel="00000000" w:rsidP="00000000" w:rsidRDefault="00000000" w:rsidRPr="00000000" w14:paraId="00000041">
            <w:pPr>
              <w:tabs>
                <w:tab w:val="left" w:pos="426"/>
              </w:tabs>
              <w:spacing w:line="36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 xml:space="preserve">-Impuesto a la producción y consumo según departamento -Ayacucho (miles de soles)</w:t>
            </w:r>
          </w:p>
          <w:p w:rsidR="00000000" w:rsidDel="00000000" w:rsidP="00000000" w:rsidRDefault="00000000" w:rsidRPr="00000000" w14:paraId="00000042">
            <w:pPr>
              <w:tabs>
                <w:tab w:val="left" w:pos="426"/>
              </w:tabs>
              <w:spacing w:line="360" w:lineRule="auto"/>
              <w:ind w:left="36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-Otros gastos según departamento -Ayacucho (miles de soles)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Style w:val="Heading3"/>
              <w:spacing w:before="320" w:line="276" w:lineRule="auto"/>
              <w:jc w:val="both"/>
              <w:rPr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Tipos de investigación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spacing w:after="0" w:before="24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Aplicada: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Resolver problemas específicos y de aplicación práctica.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after="0" w:before="0"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Descriptiva: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Realiza un análisis de la realidad mediante una serie de indicadores. 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240" w:before="0" w:line="276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Cuantitativa: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 recolectan datos para probar hipótesis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Nivel De Investigación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Descriptivo-correlacional: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Descriptivo,busca describir las situaciones, fenómenos o contextos. 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Correlacional:asociación o grado de relación existente entre las variables de estudio en un periodo y espacio determinado</w:t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Diseño de Investigación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No experimental, porque se observa o interpreta las variables para llegar a una conclusión.</w:t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0212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0"/>
                <w:szCs w:val="20"/>
                <w:highlight w:val="white"/>
                <w:rtl w:val="0"/>
              </w:rPr>
              <w:t xml:space="preserve">Técnicas e Instrumentos De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Histogramas</w:t>
            </w:r>
          </w:p>
          <w:p w:rsidR="00000000" w:rsidDel="00000000" w:rsidP="00000000" w:rsidRDefault="00000000" w:rsidRPr="00000000" w14:paraId="00000053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Técnicas de correlación</w:t>
            </w:r>
          </w:p>
          <w:p w:rsidR="00000000" w:rsidDel="00000000" w:rsidP="00000000" w:rsidRDefault="00000000" w:rsidRPr="00000000" w14:paraId="00000054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2021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02124"/>
                <w:highlight w:val="white"/>
                <w:rtl w:val="0"/>
              </w:rPr>
              <w:t xml:space="preserve">Instrumentos: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Fuentes de información.</w:t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La población 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Está constituida por el crecimiento económico y la recaudación tributaria a lo largo de los diversos años desde la creación de la República del Perú experimentados en Ayacucho.</w:t>
      </w:r>
    </w:p>
    <w:p w:rsidR="00000000" w:rsidDel="00000000" w:rsidP="00000000" w:rsidRDefault="00000000" w:rsidRPr="00000000" w14:paraId="0000005B">
      <w:pPr>
        <w:spacing w:after="0" w:line="240" w:lineRule="auto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 muestra: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sz w:val="23"/>
          <w:szCs w:val="23"/>
          <w:rtl w:val="0"/>
        </w:rPr>
        <w:t xml:space="preserve">Está constituida por el crecimiento económico y la recaudación tributaria en los años 2007-2019 en el departamento de Ayacucho.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DEXYCIrXjS7OdYGFOvf2zI2A8g==">AMUW2mXjAGXFyQpfnspKfT+ixxBPnJiD1K+fRhdf8P7v0C8/M6FN6o2qz5zqEJj3rOhk+Z8AYS9gtNq/bP9vvQgPm/iwkt5T+t9b6/Q1GnJk/IPfkoyfB3Q17TIsYfP1YDKLjTGVrYN/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