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finalidad es comprobar la  influencia existente de la recaudación de impuestos en el crecimiento económico y aplicada al gobierno Nacional, teniendo como indicador de crecimiento económico a la actividad económica del Gobierno Nacional y la recaudación de impuestos por parte de la SUNAT, en tal sentido para dar respuesta a  nuestro objetivo empleamos estimaciones econométricas lineales (modelo de regresión lineal simple), con la finalidad de demostrar además el efecto de la recaudación de impuestos en el crecimiento económico, donde se estiman los siguientes parámetros: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 LPBI = β1 + β2*IGN + ui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Resultados del modelo estimado inicial</w:t>
      </w:r>
      <w:r w:rsidDel="00000000" w:rsidR="00000000" w:rsidRPr="00000000">
        <w:rPr>
          <w:rtl w:val="0"/>
        </w:rPr>
      </w:r>
    </w:p>
    <w:tbl>
      <w:tblPr>
        <w:tblStyle w:val="Table1"/>
        <w:tblW w:w="6480.0" w:type="dxa"/>
        <w:jc w:val="left"/>
        <w:tblInd w:w="0.0" w:type="dxa"/>
        <w:tblLayout w:type="fixed"/>
        <w:tblLook w:val="0000"/>
      </w:tblPr>
      <w:tblGrid>
        <w:gridCol w:w="2032"/>
        <w:gridCol w:w="1085"/>
        <w:gridCol w:w="1193"/>
        <w:gridCol w:w="1194"/>
        <w:gridCol w:w="976"/>
        <w:tblGridChange w:id="0">
          <w:tblGrid>
            <w:gridCol w:w="2032"/>
            <w:gridCol w:w="1085"/>
            <w:gridCol w:w="1193"/>
            <w:gridCol w:w="1194"/>
            <w:gridCol w:w="976"/>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Dependent Variable: LPBI</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Method: Least Squares</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 01/08/22   Time: 18:27</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Sample: 2007:1 2019:4</w:t>
            </w:r>
          </w:p>
        </w:tc>
      </w:tr>
      <w:tr>
        <w:trPr>
          <w:cantSplit w:val="0"/>
          <w:tblHeader w:val="0"/>
        </w:trPr>
        <w:tc>
          <w:tcPr>
            <w:gridSpan w:val="5"/>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Included observations: 52</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1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Variable</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1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Coefficient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Std. Error</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Prob.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4">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10.90957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0.042346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257.6279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IGN</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3.38E-05</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2.03E-06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16.68280</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2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0.847708</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Mean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11.59751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Adjusted 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0.844662</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S.D.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0.176199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of regression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8">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0.069445</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Akaike info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-2.458850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Sum squared resid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0.241133</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Schwarz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-2.383803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likelihood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65.93011</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F-statistic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278.3157</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Durbin-Watson stat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1.202300</w:t>
            </w:r>
          </w:p>
        </w:tc>
        <w:tc>
          <w:tcPr>
            <w:gridSpan w:val="2"/>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Prob(F-statistic)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4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0.000000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09" w:firstLine="0"/>
        <w:rPr/>
      </w:pPr>
      <w:r w:rsidDel="00000000" w:rsidR="00000000" w:rsidRPr="00000000">
        <w:rPr>
          <w:rtl w:val="0"/>
        </w:rPr>
        <w:t xml:space="preserve">La variable independiente de Ingresos Tributarios Gobierno Nacional explica a la variable dependiente que el crecimiento económico representado en logaritmo en 84.7% , con 52 observaciones. De acuerdo a la prueba de t-student , los parámetros del modelo son estadísticamente significativos con un nivel de significancia del 5% . Así mismo, según la prueba F, el modelo es estadísticamente significativo.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LPBI = β1 + β2*ISC+ β3* IGV+ β4*IR+ </w:t>
      </w:r>
      <w:r w:rsidDel="00000000" w:rsidR="00000000" w:rsidRPr="00000000">
        <w:rPr>
          <w:rFonts w:ascii="Times New Roman" w:cs="Times New Roman" w:eastAsia="Times New Roman" w:hAnsi="Times New Roman"/>
          <w:sz w:val="24"/>
          <w:szCs w:val="24"/>
          <w:rtl w:val="0"/>
        </w:rPr>
        <w:t xml:space="preserve">β5*OTROS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4</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Resultados del modelo estimado inicial con los indicadores</w:t>
      </w:r>
      <w:r w:rsidDel="00000000" w:rsidR="00000000" w:rsidRPr="00000000">
        <w:rPr>
          <w:rtl w:val="0"/>
        </w:rPr>
      </w:r>
    </w:p>
    <w:tbl>
      <w:tblPr>
        <w:tblStyle w:val="Table2"/>
        <w:tblW w:w="6772.0" w:type="dxa"/>
        <w:jc w:val="left"/>
        <w:tblInd w:w="0.0" w:type="dxa"/>
        <w:tblLayout w:type="fixed"/>
        <w:tblLook w:val="0000"/>
      </w:tblPr>
      <w:tblGrid>
        <w:gridCol w:w="2123"/>
        <w:gridCol w:w="1134"/>
        <w:gridCol w:w="1247"/>
        <w:gridCol w:w="1248"/>
        <w:gridCol w:w="1020"/>
        <w:tblGridChange w:id="0">
          <w:tblGrid>
            <w:gridCol w:w="2123"/>
            <w:gridCol w:w="1134"/>
            <w:gridCol w:w="1247"/>
            <w:gridCol w:w="1248"/>
            <w:gridCol w:w="1020"/>
          </w:tblGrid>
        </w:tblGridChange>
      </w:tblGrid>
      <w:tr>
        <w:trPr>
          <w:cantSplit w:val="0"/>
          <w:trHeight w:val="253"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Dependent Variable: LPBI</w:t>
            </w:r>
          </w:p>
        </w:tc>
      </w:tr>
      <w:tr>
        <w:trPr>
          <w:cantSplit w:val="0"/>
          <w:trHeight w:val="253"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Method: Least Squares</w:t>
            </w:r>
          </w:p>
        </w:tc>
      </w:tr>
      <w:tr>
        <w:trPr>
          <w:cantSplit w:val="0"/>
          <w:trHeight w:val="239"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 01/08/22   Time: 18:26</w:t>
            </w:r>
          </w:p>
        </w:tc>
      </w:tr>
      <w:tr>
        <w:trPr>
          <w:cantSplit w:val="0"/>
          <w:trHeight w:val="253"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Sample: 2007:1 2019:4</w:t>
            </w:r>
          </w:p>
        </w:tc>
      </w:tr>
      <w:tr>
        <w:trPr>
          <w:cantSplit w:val="0"/>
          <w:trHeight w:val="239" w:hRule="atLeast"/>
          <w:tblHeader w:val="0"/>
        </w:trPr>
        <w:tc>
          <w:tcPr>
            <w:gridSpan w:val="5"/>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Included observations: 52</w:t>
            </w:r>
          </w:p>
        </w:tc>
      </w:tr>
      <w:tr>
        <w:trPr>
          <w:cantSplit w:val="0"/>
          <w:trHeight w:val="253"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Variable</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Coefficient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Std. Error</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8">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7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Prob.  </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10.98425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0.019829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553.9587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ISC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-4.70E-05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2.81E-05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-1.676469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0.1003</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IGV</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5.41E-05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3.84E-06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14.10257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8">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3.01E-06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-0.896340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0.3746</w:t>
            </w:r>
          </w:p>
        </w:tc>
      </w:tr>
      <w:tr>
        <w:trPr>
          <w:cantSplit w:val="0"/>
          <w:trHeight w:val="239"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8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8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4.83E-05</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7.63E-06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6.328016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9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4">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0.972483</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Mean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11.59751</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Adjusted 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0.970142</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S.D.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0.176199</w:t>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of regression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0.030447</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Akaike info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-4.054479</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Sum squared resid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0.043569</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Schwarz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-3.866859</w:t>
            </w:r>
          </w:p>
        </w:tc>
      </w:tr>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likelihood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8">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110.4165</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F-statistic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415.2649</w:t>
            </w:r>
          </w:p>
        </w:tc>
      </w:tr>
      <w:tr>
        <w:trPr>
          <w:cantSplit w:val="0"/>
          <w:trHeight w:val="239"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Durbin-Watson stat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A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1.143926</w:t>
            </w:r>
          </w:p>
        </w:tc>
        <w:tc>
          <w:tcPr>
            <w:gridSpan w:val="2"/>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Prob(F-statistic)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0B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0.000000</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 variables independientes explican a la variable dependiente con un coeficiente de determinación de  97.24% , con 52 observaciones. De acuerdo a la prueba de t-student, los parámetros del modelo de Ingresos Tributarios Gobierno Nacional: IGV y Otros Ingresos Tributarios son estadísticamente significativos con un nivel de significancia del 5% .Por el contrario, los otros indicadores como : ISC y IR , según la prueba F, el modelo es estadísticamente significativo.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18"/>
          <w:szCs w:val="18"/>
        </w:rPr>
      </w:pPr>
      <w:r w:rsidDel="00000000" w:rsidR="00000000" w:rsidRPr="00000000">
        <w:rPr>
          <w:rtl w:val="0"/>
        </w:rPr>
      </w:r>
    </w:p>
    <w:tbl>
      <w:tblPr>
        <w:tblStyle w:val="Table3"/>
        <w:tblW w:w="6690.0" w:type="dxa"/>
        <w:jc w:val="left"/>
        <w:tblInd w:w="30.0" w:type="dxa"/>
        <w:tblLayout w:type="fixed"/>
        <w:tblLook w:val="0000"/>
      </w:tblPr>
      <w:tblGrid>
        <w:gridCol w:w="4012"/>
        <w:gridCol w:w="788"/>
        <w:gridCol w:w="997"/>
        <w:gridCol w:w="893"/>
        <w:tblGridChange w:id="0">
          <w:tblGrid>
            <w:gridCol w:w="4012"/>
            <w:gridCol w:w="788"/>
            <w:gridCol w:w="997"/>
            <w:gridCol w:w="893"/>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9">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Pairwise Granger Causality Tests</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D">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01/08/22   Time: 18:37</w:t>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1">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Sample: 2007Q1 2019Q4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4">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5">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Lags: 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8">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9">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C">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D">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E">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F">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0">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1">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Null Hypothesis: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2">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Obs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3">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4">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D5">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D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D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D8">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9">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C">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D">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IGN does not Granger Cause LPBI</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E">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3.86559</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0">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0.0097</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1">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LPBI does not Granger Cause IGN</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3">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5.80646</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4">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0.0009</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5">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E8">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9">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C">
            <w:pPr>
              <w:spacing w:after="0" w:line="24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ED">
      <w:pPr>
        <w:spacing w:after="0" w:line="240" w:lineRule="auto"/>
        <w:rPr>
          <w:color w:val="000000"/>
        </w:rPr>
      </w:pPr>
      <w:r w:rsidDel="00000000" w:rsidR="00000000" w:rsidRPr="00000000">
        <w:rPr>
          <w:rFonts w:ascii="Arial" w:cs="Arial" w:eastAsia="Arial" w:hAnsi="Arial"/>
          <w:sz w:val="18"/>
          <w:szCs w:val="18"/>
          <w:rtl w:val="0"/>
        </w:rPr>
        <w:br w:type="textWrapping"/>
      </w:r>
      <w:r w:rsidDel="00000000" w:rsidR="00000000" w:rsidRPr="00000000">
        <w:rPr>
          <w:i w:val="1"/>
          <w:color w:val="000000"/>
          <w:rtl w:val="0"/>
        </w:rPr>
        <w:t xml:space="preserve">Fuente:</w:t>
      </w:r>
      <w:r w:rsidDel="00000000" w:rsidR="00000000" w:rsidRPr="00000000">
        <w:rPr>
          <w:color w:val="000000"/>
          <w:rtl w:val="0"/>
        </w:rPr>
        <w:t xml:space="preserve"> Elaboración a partir de resultados de EViews 10.</w:t>
      </w:r>
    </w:p>
    <w:p w:rsidR="00000000" w:rsidDel="00000000" w:rsidP="00000000" w:rsidRDefault="00000000" w:rsidRPr="00000000" w14:paraId="000000EE">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sz w:val="18"/>
          <w:szCs w:val="18"/>
        </w:rPr>
      </w:pPr>
      <w:bookmarkStart w:colFirst="0" w:colLast="0" w:name="_heading=h.gjdgxs" w:id="0"/>
      <w:bookmarkEnd w:id="0"/>
      <w:r w:rsidDel="00000000" w:rsidR="00000000" w:rsidRPr="00000000">
        <w:rPr>
          <w:rFonts w:ascii="Arial" w:cs="Arial" w:eastAsia="Arial" w:hAnsi="Arial"/>
          <w:sz w:val="18"/>
          <w:szCs w:val="18"/>
          <w:highlight w:val="cyan"/>
          <w:rtl w:val="0"/>
        </w:rPr>
        <w:t xml:space="preserve">Se llevó a cabo un análisis de causalidad para las combinaciones de ambos pares de variables,entre la recaudación de impuestos y el Valor Agregado Bruto. El test de causalidad de Granger,nos da como resultado un p-valor&lt;0.05, por lo cual rechazamos la hipótesis nula de que VAB causa RI. Para  el cálculo del rezago óptimo  se tuvo el apoyo del criterio de información de Akaike en el cual se obtuvo que el primer rezago era el óptimo.(Anexo-Figura 9)</w:t>
      </w: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5">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F">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3">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9">
      <w:pPr>
        <w:spacing w:after="0" w:line="240" w:lineRule="auto"/>
        <w:rPr>
          <w:rFonts w:ascii="Arial" w:cs="Arial" w:eastAsia="Arial" w:hAnsi="Arial"/>
          <w:sz w:val="18"/>
          <w:szCs w:val="18"/>
        </w:rPr>
      </w:pPr>
      <w:r w:rsidDel="00000000" w:rsidR="00000000" w:rsidRPr="00000000">
        <w:rPr>
          <w:rtl w:val="0"/>
        </w:rPr>
      </w:r>
    </w:p>
    <w:tbl>
      <w:tblPr>
        <w:tblStyle w:val="Table4"/>
        <w:tblW w:w="6480.0" w:type="dxa"/>
        <w:jc w:val="left"/>
        <w:tblInd w:w="30.0" w:type="dxa"/>
        <w:tblLayout w:type="fixed"/>
        <w:tblLook w:val="0000"/>
      </w:tblPr>
      <w:tblGrid>
        <w:gridCol w:w="2032"/>
        <w:gridCol w:w="1085"/>
        <w:gridCol w:w="1193"/>
        <w:gridCol w:w="1194"/>
        <w:gridCol w:w="976"/>
        <w:tblGridChange w:id="0">
          <w:tblGrid>
            <w:gridCol w:w="2032"/>
            <w:gridCol w:w="1085"/>
            <w:gridCol w:w="1193"/>
            <w:gridCol w:w="1194"/>
            <w:gridCol w:w="976"/>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2A">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Pairwise Granger Causality Tests</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2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01/08/22   Time: 18:38</w:t>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Sample: 2007Q1 2019Q4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5">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6">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Lags: 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3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3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3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3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E">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F">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0">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1">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Null Hypothesis: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3">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Obs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4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4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4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4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ISC does not Granger Cause LPBI</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4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3.38829</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0.0180</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LPBI does not Granger Cause ISC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1.23569</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0.3117</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5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5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5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5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IR does not Granger Cause LPBI</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5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5.22295</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0.0018</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LPBI does not Granger Cause IR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4.08493</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0.0074</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6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6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6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6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IGV does not Granger Cause LPBI</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6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7.55391</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0.0001</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LPBI does not Granger Cause IGV</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7.17665</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0.0002</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7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7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7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7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OTROS does not Granger Cause LPBI</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7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3.72968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0.0116</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LPBI does not Granger Cause OTROS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0.70834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0.5911</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8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8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8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8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IR does not Granger Cause ISC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8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0.89807</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0.4744</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ISC does not Granger Cause IR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3.50844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0.0154</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9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9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9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9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IGV does not Granger Cause ISC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9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1.43619</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0.2403</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ISC does not Granger Cause IGV</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6.63639</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0.0004</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A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A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A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A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OTROS does not Granger Cause ISC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A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0.63174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0.6428</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ISC does not Granger Cause OTROS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1.89424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0.1309</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B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B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B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B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IGV does not Granger Cause IR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B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3.79647</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0.0106</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IR does not Granger Cause IGV</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2.75420</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0.0414</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C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C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C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C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OTROS does not Granger Cause IR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C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2.42480</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0.0642</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IR does not Granger Cause OTROS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2.44901</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0.0622</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D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D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D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D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OTROS does not Granger Cause IGV</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DF">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48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0">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7.37377</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1">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0.0002</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IGV does not Granger Cause OTROS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4">
            <w:pP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1.93825</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5">
            <w:pPr>
              <w:spacing w:after="0" w:line="240" w:lineRule="auto"/>
              <w:ind w:right="1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0.1234</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E6">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E7">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E8">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1E9">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A">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B">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C">
            <w:pPr>
              <w:spacing w:after="0" w:line="240" w:lineRule="auto"/>
              <w:jc w:val="cente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ED">
            <w:pP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E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Dependent Variable: LPBI</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F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Method: Least Squares</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F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 01/08/22   Time: 18:28</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Sample: 2007:1 2019:4</w:t>
            </w:r>
          </w:p>
        </w:tc>
      </w:tr>
      <w:tr>
        <w:trPr>
          <w:cantSplit w:val="0"/>
          <w:tblHeader w:val="0"/>
        </w:trPr>
        <w:tc>
          <w:tcPr>
            <w:gridSpan w:val="5"/>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Included observations: 52</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0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Variable</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0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Coefficient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0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Std. Error</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0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0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Prob.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10.96588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0.017563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624.3827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4">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IGV</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4.81E-05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2.13E-06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8">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22.63335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1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1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4.84E-05</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1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7.49E-06</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1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6.460113</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1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0.970381</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Mean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11.59751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Adjusted R-squared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0.969172</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S.D. dependent var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8">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0.176199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of regression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0.030937</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Akaike info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-4.057771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Sum squared resid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2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0.046898</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Schwarz criterion</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3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-3.945199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likelihood</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34">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108.5020</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F-statistic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3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802.6676</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Durbin-Watson stat</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3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0.915598</w:t>
            </w:r>
          </w:p>
        </w:tc>
        <w:tc>
          <w:tcPr>
            <w:gridSpan w:val="2"/>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Prob(F-statistic)</w:t>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3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0.000000</w:t>
            </w:r>
          </w:p>
        </w:tc>
      </w:tr>
    </w:tbl>
    <w:p w:rsidR="00000000" w:rsidDel="00000000" w:rsidP="00000000" w:rsidRDefault="00000000" w:rsidRPr="00000000" w14:paraId="0000023D">
      <w:pPr>
        <w:rPr/>
      </w:pPr>
      <w:r w:rsidDel="00000000" w:rsidR="00000000" w:rsidRPr="00000000">
        <w:rPr>
          <w:rFonts w:ascii="Arial" w:cs="Arial" w:eastAsia="Arial" w:hAnsi="Arial"/>
          <w:sz w:val="18"/>
          <w:szCs w:val="18"/>
          <w:rtl w:val="0"/>
        </w:rPr>
        <w:br w:type="textWrapp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37732"/>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Lm0eMF+jo5+xdBSlLt8OkcvqA==">AMUW2mUnWCL3MTYd+tbNl/28BFIxv9oA6nl7snjD0gEGHjg95lzHQkZgkU1L+A8nY1uL/hVUhTvul/pLkjkISPjyoudG6+iLf9fTVdoGprHi+OPGlpg4x1xRKBkN8mIPsBfSHZKSv/Us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2022-01-08T23:25:00Z</dcterms:created>
  <dc:creator>user</dc:creator>
</cp:coreProperties>
</file>