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Crecimiento económico del departamento de Ayacucho en el periodo 2007 –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Tabla X: </w:t>
      </w:r>
      <w:r w:rsidDel="00000000" w:rsidR="00000000" w:rsidRPr="00000000">
        <w:rPr>
          <w:rtl w:val="0"/>
        </w:rPr>
        <w:t xml:space="preserve">Ayacucho: Valor agregado Bruto (VAB) según actividad económica 2007-2019 (Tasa de crecimiento, %)</w:t>
      </w:r>
    </w:p>
    <w:tbl>
      <w:tblPr>
        <w:tblStyle w:val="Table1"/>
        <w:tblW w:w="9465.0" w:type="dxa"/>
        <w:jc w:val="left"/>
        <w:tblInd w:w="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540"/>
        <w:gridCol w:w="540"/>
        <w:gridCol w:w="540"/>
        <w:gridCol w:w="540"/>
        <w:gridCol w:w="660"/>
        <w:gridCol w:w="585"/>
        <w:gridCol w:w="615"/>
        <w:gridCol w:w="540"/>
        <w:gridCol w:w="585"/>
        <w:gridCol w:w="585"/>
        <w:gridCol w:w="555"/>
        <w:gridCol w:w="585"/>
        <w:gridCol w:w="570"/>
        <w:tblGridChange w:id="0">
          <w:tblGrid>
            <w:gridCol w:w="2025"/>
            <w:gridCol w:w="540"/>
            <w:gridCol w:w="540"/>
            <w:gridCol w:w="540"/>
            <w:gridCol w:w="540"/>
            <w:gridCol w:w="660"/>
            <w:gridCol w:w="585"/>
            <w:gridCol w:w="615"/>
            <w:gridCol w:w="540"/>
            <w:gridCol w:w="585"/>
            <w:gridCol w:w="585"/>
            <w:gridCol w:w="555"/>
            <w:gridCol w:w="585"/>
            <w:gridCol w:w="57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Agricultura, Ganadería, Caza y Silvicultura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-9.2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Pesca y Acuicultura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-7.7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-51.7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Extracción de Petróleo, Gas y Minerales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107.4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49.6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Manufactura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-7.9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Electricidad, Gas y Agua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-18.2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Comercio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Transporte, almacén, Correo y Mensajería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Alojamiento y Restaurantes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Telecom. y Otros Ser.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Administración Pública y Defensa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Otros Servicios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Valor Agregado Bruto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Fuente: Elaboración propia (datos, INEI, BCRP)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748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Fuente: Elaboración propia (datos, INEI, BCRP)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En el gráfico se ve la evolución que ha tenido el VAB de la región de Ayacucho en los últimos años, sin embargo, no ha tenido un crecimiento continuo y en algunos casos ha sido negativo como en el año 2014 (-0.5%); el año más resaltante es el 2008 porque obtuvo un mayor crecimiento, alcanzando un 14.3%.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