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5.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6.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7.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8.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9.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0.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1.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2.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3.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4.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5.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33645" w14:textId="4919B415" w:rsidR="00946D38" w:rsidRPr="009A0404" w:rsidRDefault="00946D38" w:rsidP="00D0694C">
      <w:pPr>
        <w:jc w:val="center"/>
        <w:rPr>
          <w:rFonts w:cs="Roboto"/>
          <w:b/>
          <w:szCs w:val="24"/>
        </w:rPr>
      </w:pPr>
      <w:r w:rsidRPr="009A0404">
        <w:rPr>
          <w:rFonts w:cs="Roboto"/>
          <w:b/>
          <w:szCs w:val="24"/>
        </w:rPr>
        <w:t>UNIVERSIDAD NACIONAL SAN CRISTÓBAL DE HUAMANGA</w:t>
      </w:r>
    </w:p>
    <w:p w14:paraId="4975F6B1" w14:textId="7A1E59FC" w:rsidR="00946D38" w:rsidRPr="009A0404" w:rsidRDefault="00946D38" w:rsidP="00D0694C">
      <w:pPr>
        <w:jc w:val="center"/>
        <w:rPr>
          <w:rFonts w:cs="Roboto"/>
          <w:b/>
          <w:sz w:val="22"/>
        </w:rPr>
      </w:pPr>
      <w:r w:rsidRPr="009A0404">
        <w:rPr>
          <w:rFonts w:cs="Roboto"/>
          <w:b/>
          <w:sz w:val="22"/>
        </w:rPr>
        <w:t>FACULTAD DE CIENCIAS ECONÓMICAS, ADMINISTRATIVAS Y CONTABLES</w:t>
      </w:r>
    </w:p>
    <w:p w14:paraId="4D85C76E" w14:textId="77777777" w:rsidR="00946D38" w:rsidRPr="009A0404" w:rsidRDefault="00946D38" w:rsidP="00D0694C">
      <w:pPr>
        <w:jc w:val="center"/>
        <w:rPr>
          <w:rFonts w:cs="Roboto"/>
          <w:b/>
          <w:szCs w:val="24"/>
        </w:rPr>
      </w:pPr>
      <w:r w:rsidRPr="009A0404">
        <w:rPr>
          <w:rFonts w:cs="Roboto"/>
          <w:b/>
          <w:szCs w:val="24"/>
        </w:rPr>
        <w:t>ESCUELA PROFESIONAL DE ECONOMÍA</w:t>
      </w:r>
    </w:p>
    <w:p w14:paraId="2DAA50E7" w14:textId="5456AB1C" w:rsidR="009A0404" w:rsidRDefault="009A0404" w:rsidP="00D0694C">
      <w:pPr>
        <w:jc w:val="center"/>
        <w:rPr>
          <w:rFonts w:cs="Roboto"/>
          <w:szCs w:val="24"/>
        </w:rPr>
      </w:pPr>
      <w:r>
        <w:rPr>
          <w:noProof/>
        </w:rPr>
        <w:drawing>
          <wp:inline distT="0" distB="0" distL="0" distR="0" wp14:anchorId="5BAEC018" wp14:editId="2E7C7684">
            <wp:extent cx="1905000" cy="1694410"/>
            <wp:effectExtent l="0" t="0" r="0" b="1270"/>
            <wp:docPr id="5" name="Imagen 5" descr="Imagen que contiene firmar, hombre, gente, muj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firmar, hombre, gente, muj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9644" cy="1707435"/>
                    </a:xfrm>
                    <a:prstGeom prst="rect">
                      <a:avLst/>
                    </a:prstGeom>
                    <a:noFill/>
                    <a:ln>
                      <a:noFill/>
                    </a:ln>
                  </pic:spPr>
                </pic:pic>
              </a:graphicData>
            </a:graphic>
          </wp:inline>
        </w:drawing>
      </w:r>
    </w:p>
    <w:p w14:paraId="67278F80" w14:textId="77777777" w:rsidR="009A0404" w:rsidRPr="00103100" w:rsidRDefault="009A0404" w:rsidP="00D0694C">
      <w:pPr>
        <w:jc w:val="center"/>
        <w:rPr>
          <w:rFonts w:cs="Roboto"/>
          <w:szCs w:val="24"/>
        </w:rPr>
      </w:pPr>
    </w:p>
    <w:p w14:paraId="2040ACB7" w14:textId="476FE7B6" w:rsidR="009A0404" w:rsidRPr="009A0404" w:rsidRDefault="00946D38" w:rsidP="00D0694C">
      <w:pPr>
        <w:jc w:val="center"/>
        <w:rPr>
          <w:rFonts w:cs="Roboto"/>
          <w:b/>
          <w:szCs w:val="24"/>
        </w:rPr>
      </w:pPr>
      <w:r w:rsidRPr="009A0404">
        <w:rPr>
          <w:rFonts w:cs="Roboto"/>
          <w:b/>
          <w:szCs w:val="24"/>
        </w:rPr>
        <w:t xml:space="preserve">Crecimiento económico de </w:t>
      </w:r>
      <w:r w:rsidR="008F0532" w:rsidRPr="009A0404">
        <w:rPr>
          <w:rFonts w:cs="Roboto"/>
          <w:b/>
          <w:szCs w:val="24"/>
        </w:rPr>
        <w:t>EE. UU.</w:t>
      </w:r>
      <w:r w:rsidRPr="009A0404">
        <w:rPr>
          <w:rFonts w:cs="Roboto"/>
          <w:b/>
          <w:szCs w:val="24"/>
        </w:rPr>
        <w:t xml:space="preserve"> 1950-2019</w:t>
      </w:r>
    </w:p>
    <w:p w14:paraId="6C2EB594" w14:textId="37DE5B02" w:rsidR="00946D38" w:rsidRDefault="00946D38" w:rsidP="00D0694C">
      <w:pPr>
        <w:jc w:val="center"/>
        <w:rPr>
          <w:rFonts w:cs="Roboto"/>
          <w:szCs w:val="24"/>
        </w:rPr>
      </w:pPr>
      <w:r w:rsidRPr="00103100">
        <w:rPr>
          <w:rFonts w:cs="Roboto"/>
          <w:szCs w:val="24"/>
        </w:rPr>
        <w:t>Teoría del crecimiento económico EC-545</w:t>
      </w:r>
    </w:p>
    <w:p w14:paraId="556FB41D" w14:textId="77777777" w:rsidR="009A0404" w:rsidRPr="00103100" w:rsidRDefault="009A0404" w:rsidP="00D0694C">
      <w:pPr>
        <w:jc w:val="center"/>
        <w:rPr>
          <w:rFonts w:cs="Roboto"/>
          <w:szCs w:val="24"/>
        </w:rPr>
      </w:pPr>
    </w:p>
    <w:p w14:paraId="56F8EB72" w14:textId="6856400E" w:rsidR="00946D38" w:rsidRPr="00103100" w:rsidRDefault="00946D38" w:rsidP="00D0694C">
      <w:pPr>
        <w:jc w:val="center"/>
        <w:rPr>
          <w:rFonts w:cs="Roboto"/>
          <w:szCs w:val="24"/>
        </w:rPr>
      </w:pPr>
      <w:r w:rsidRPr="00103100">
        <w:rPr>
          <w:rFonts w:cs="Roboto"/>
          <w:szCs w:val="24"/>
        </w:rPr>
        <w:t>Presentado por:</w:t>
      </w:r>
    </w:p>
    <w:p w14:paraId="266D57D9" w14:textId="77777777" w:rsidR="00946D38" w:rsidRPr="00103100" w:rsidRDefault="00946D38" w:rsidP="00D0694C">
      <w:pPr>
        <w:jc w:val="center"/>
        <w:rPr>
          <w:rFonts w:cs="Roboto"/>
          <w:szCs w:val="24"/>
        </w:rPr>
      </w:pPr>
      <w:r w:rsidRPr="00103100">
        <w:rPr>
          <w:rFonts w:cs="Roboto"/>
          <w:szCs w:val="24"/>
        </w:rPr>
        <w:t>Elmer Edison ACHALMA MENDOZA</w:t>
      </w:r>
    </w:p>
    <w:p w14:paraId="4BCFD4BB" w14:textId="77777777" w:rsidR="00946D38" w:rsidRPr="00103100" w:rsidRDefault="00946D38" w:rsidP="00D0694C">
      <w:pPr>
        <w:jc w:val="center"/>
        <w:rPr>
          <w:rFonts w:cs="Roboto"/>
          <w:szCs w:val="24"/>
          <w:lang w:val="en-US"/>
        </w:rPr>
      </w:pPr>
      <w:r w:rsidRPr="00103100">
        <w:rPr>
          <w:rFonts w:cs="Roboto"/>
          <w:szCs w:val="24"/>
          <w:lang w:val="en-US"/>
        </w:rPr>
        <w:t>Jhon Roly ORDOÑEZ LEON</w:t>
      </w:r>
    </w:p>
    <w:p w14:paraId="7F20ECE9" w14:textId="77777777" w:rsidR="00946D38" w:rsidRPr="00103100" w:rsidRDefault="00946D38" w:rsidP="00D0694C">
      <w:pPr>
        <w:jc w:val="center"/>
        <w:rPr>
          <w:rFonts w:cs="Roboto"/>
          <w:szCs w:val="24"/>
          <w:lang w:val="en-US"/>
        </w:rPr>
      </w:pPr>
      <w:r w:rsidRPr="00103100">
        <w:rPr>
          <w:rFonts w:cs="Roboto"/>
          <w:szCs w:val="24"/>
          <w:lang w:val="en-US"/>
        </w:rPr>
        <w:t>David Richard PÉREZ ORÉ</w:t>
      </w:r>
    </w:p>
    <w:p w14:paraId="2D2DA4D3" w14:textId="4FE43B3E" w:rsidR="00946D38" w:rsidRDefault="00946D38" w:rsidP="00D0694C">
      <w:pPr>
        <w:jc w:val="center"/>
        <w:rPr>
          <w:rFonts w:cs="Roboto"/>
          <w:szCs w:val="24"/>
        </w:rPr>
      </w:pPr>
      <w:r w:rsidRPr="00103100">
        <w:rPr>
          <w:rFonts w:cs="Roboto"/>
          <w:szCs w:val="24"/>
        </w:rPr>
        <w:t>Docente: Econ. Enrique GONZALEZ PAUCARHUANCA</w:t>
      </w:r>
    </w:p>
    <w:p w14:paraId="632D1ACB" w14:textId="77777777" w:rsidR="009A0404" w:rsidRDefault="009A0404" w:rsidP="00D0694C">
      <w:pPr>
        <w:jc w:val="center"/>
        <w:rPr>
          <w:rFonts w:cs="Roboto"/>
          <w:szCs w:val="24"/>
        </w:rPr>
      </w:pPr>
    </w:p>
    <w:p w14:paraId="036094AD" w14:textId="77777777" w:rsidR="009A0404" w:rsidRDefault="009A0404" w:rsidP="00D0694C">
      <w:pPr>
        <w:jc w:val="center"/>
        <w:rPr>
          <w:rFonts w:cs="Roboto"/>
          <w:szCs w:val="24"/>
        </w:rPr>
      </w:pPr>
    </w:p>
    <w:p w14:paraId="11EB8D7E" w14:textId="77777777" w:rsidR="009A0404" w:rsidRPr="00103100" w:rsidRDefault="009A0404" w:rsidP="00D0694C">
      <w:pPr>
        <w:jc w:val="center"/>
        <w:rPr>
          <w:rFonts w:cs="Roboto"/>
          <w:szCs w:val="24"/>
        </w:rPr>
      </w:pPr>
    </w:p>
    <w:p w14:paraId="4B1907FF" w14:textId="77777777" w:rsidR="00946D38" w:rsidRPr="00103100" w:rsidRDefault="00946D38" w:rsidP="00D0694C">
      <w:pPr>
        <w:jc w:val="center"/>
        <w:rPr>
          <w:rFonts w:cs="Roboto"/>
          <w:szCs w:val="24"/>
        </w:rPr>
      </w:pPr>
      <w:r w:rsidRPr="00103100">
        <w:rPr>
          <w:rFonts w:cs="Roboto"/>
          <w:szCs w:val="24"/>
        </w:rPr>
        <w:t>Ayacucho - Perú</w:t>
      </w:r>
    </w:p>
    <w:p w14:paraId="1A549735" w14:textId="77777777" w:rsidR="00946D38" w:rsidRPr="00103100" w:rsidRDefault="00946D38" w:rsidP="00D0694C">
      <w:pPr>
        <w:jc w:val="center"/>
        <w:rPr>
          <w:rFonts w:cs="Roboto"/>
          <w:szCs w:val="24"/>
        </w:rPr>
      </w:pPr>
      <w:r w:rsidRPr="00103100">
        <w:rPr>
          <w:rFonts w:cs="Roboto"/>
          <w:szCs w:val="24"/>
        </w:rPr>
        <w:t>Diciembre, 2021</w:t>
      </w:r>
    </w:p>
    <w:p w14:paraId="4D641DE5" w14:textId="77777777" w:rsidR="00946D38" w:rsidRPr="00103100" w:rsidRDefault="00946D38" w:rsidP="00D975AB">
      <w:pPr>
        <w:jc w:val="both"/>
        <w:rPr>
          <w:rFonts w:cs="Roboto"/>
          <w:szCs w:val="24"/>
        </w:rPr>
      </w:pPr>
    </w:p>
    <w:sdt>
      <w:sdtPr>
        <w:rPr>
          <w:rFonts w:ascii="Times New Roman" w:eastAsiaTheme="minorHAnsi" w:hAnsi="Times New Roman" w:cstheme="minorBidi"/>
          <w:color w:val="auto"/>
          <w:sz w:val="24"/>
          <w:szCs w:val="22"/>
          <w:lang w:eastAsia="en-US"/>
        </w:rPr>
        <w:id w:val="2105626571"/>
        <w:docPartObj>
          <w:docPartGallery w:val="Table of Contents"/>
          <w:docPartUnique/>
        </w:docPartObj>
      </w:sdtPr>
      <w:sdtEndPr/>
      <w:sdtContent>
        <w:p w14:paraId="3A553065" w14:textId="62882AAA" w:rsidR="00E10F77" w:rsidRPr="00997CBA" w:rsidRDefault="00261C26" w:rsidP="00261C26">
          <w:pPr>
            <w:pStyle w:val="TtuloTDC"/>
            <w:jc w:val="center"/>
            <w:rPr>
              <w:rFonts w:ascii="Times New Roman" w:hAnsi="Times New Roman" w:cs="Times New Roman"/>
              <w:color w:val="auto"/>
              <w:lang w:val="es-ES"/>
            </w:rPr>
          </w:pPr>
          <w:r w:rsidRPr="00997CBA">
            <w:rPr>
              <w:rFonts w:ascii="Times New Roman" w:hAnsi="Times New Roman" w:cs="Times New Roman"/>
              <w:color w:val="auto"/>
              <w:lang w:val="es-ES"/>
            </w:rPr>
            <w:t>ÍNDICE</w:t>
          </w:r>
        </w:p>
        <w:p w14:paraId="1F531B3A" w14:textId="49051B89" w:rsidR="00997CBA" w:rsidRDefault="0073053F">
          <w:pPr>
            <w:pStyle w:val="TDC1"/>
            <w:rPr>
              <w:rFonts w:asciiTheme="minorHAnsi" w:eastAsiaTheme="minorEastAsia" w:hAnsiTheme="minorHAnsi"/>
              <w:noProof/>
              <w:sz w:val="22"/>
              <w:lang w:val="es-MX" w:eastAsia="es-MX"/>
            </w:rPr>
          </w:pPr>
          <w:r>
            <w:fldChar w:fldCharType="begin"/>
          </w:r>
          <w:r w:rsidR="00E10F77" w:rsidRPr="00997CBA">
            <w:rPr>
              <w:rFonts w:cs="Times New Roman"/>
            </w:rPr>
            <w:instrText>TOC \o "1-3" \h \z \u</w:instrText>
          </w:r>
          <w:r>
            <w:fldChar w:fldCharType="separate"/>
          </w:r>
          <w:hyperlink w:anchor="_Toc91548290" w:history="1">
            <w:r w:rsidR="00997CBA" w:rsidRPr="002F3CDC">
              <w:rPr>
                <w:rStyle w:val="Hipervnculo"/>
                <w:rFonts w:cs="Times New Roman"/>
                <w:noProof/>
              </w:rPr>
              <w:t>PRESENTACIÓN</w:t>
            </w:r>
            <w:r w:rsidR="00997CBA">
              <w:rPr>
                <w:noProof/>
                <w:webHidden/>
              </w:rPr>
              <w:tab/>
            </w:r>
            <w:r w:rsidR="00997CBA">
              <w:rPr>
                <w:noProof/>
                <w:webHidden/>
              </w:rPr>
              <w:fldChar w:fldCharType="begin"/>
            </w:r>
            <w:r w:rsidR="00997CBA">
              <w:rPr>
                <w:noProof/>
                <w:webHidden/>
              </w:rPr>
              <w:instrText xml:space="preserve"> PAGEREF _Toc91548290 \h </w:instrText>
            </w:r>
            <w:r w:rsidR="00997CBA">
              <w:rPr>
                <w:noProof/>
                <w:webHidden/>
              </w:rPr>
            </w:r>
            <w:r w:rsidR="00997CBA">
              <w:rPr>
                <w:noProof/>
                <w:webHidden/>
              </w:rPr>
              <w:fldChar w:fldCharType="separate"/>
            </w:r>
            <w:r w:rsidR="00383437">
              <w:rPr>
                <w:noProof/>
                <w:webHidden/>
              </w:rPr>
              <w:t>4</w:t>
            </w:r>
            <w:r w:rsidR="00997CBA">
              <w:rPr>
                <w:noProof/>
                <w:webHidden/>
              </w:rPr>
              <w:fldChar w:fldCharType="end"/>
            </w:r>
          </w:hyperlink>
        </w:p>
        <w:p w14:paraId="52484F58" w14:textId="272EBE48" w:rsidR="00997CBA" w:rsidRDefault="0019619D">
          <w:pPr>
            <w:pStyle w:val="TDC1"/>
            <w:rPr>
              <w:rFonts w:asciiTheme="minorHAnsi" w:eastAsiaTheme="minorEastAsia" w:hAnsiTheme="minorHAnsi"/>
              <w:noProof/>
              <w:sz w:val="22"/>
              <w:lang w:val="es-MX" w:eastAsia="es-MX"/>
            </w:rPr>
          </w:pPr>
          <w:hyperlink w:anchor="_Toc91548291" w:history="1">
            <w:r w:rsidR="00997CBA" w:rsidRPr="002F3CDC">
              <w:rPr>
                <w:rStyle w:val="Hipervnculo"/>
                <w:rFonts w:cs="Times New Roman"/>
                <w:noProof/>
              </w:rPr>
              <w:t>1.</w:t>
            </w:r>
            <w:r w:rsidR="00997CBA">
              <w:rPr>
                <w:rFonts w:asciiTheme="minorHAnsi" w:eastAsiaTheme="minorEastAsia" w:hAnsiTheme="minorHAnsi"/>
                <w:noProof/>
                <w:sz w:val="22"/>
                <w:lang w:val="es-MX" w:eastAsia="es-MX"/>
              </w:rPr>
              <w:tab/>
            </w:r>
            <w:r w:rsidR="00997CBA" w:rsidRPr="002F3CDC">
              <w:rPr>
                <w:rStyle w:val="Hipervnculo"/>
                <w:rFonts w:cs="Times New Roman"/>
                <w:noProof/>
              </w:rPr>
              <w:t>CAPÍTULO I SITUACIÓN ECONÓMICA, SOCIAL, TECNOLÓGICO, DE INVESTIGACIÓN Y DESARROLLO 2015 – 2019</w:t>
            </w:r>
            <w:r w:rsidR="00997CBA">
              <w:rPr>
                <w:noProof/>
                <w:webHidden/>
              </w:rPr>
              <w:tab/>
            </w:r>
            <w:r w:rsidR="00997CBA">
              <w:rPr>
                <w:noProof/>
                <w:webHidden/>
              </w:rPr>
              <w:fldChar w:fldCharType="begin"/>
            </w:r>
            <w:r w:rsidR="00997CBA">
              <w:rPr>
                <w:noProof/>
                <w:webHidden/>
              </w:rPr>
              <w:instrText xml:space="preserve"> PAGEREF _Toc91548291 \h </w:instrText>
            </w:r>
            <w:r w:rsidR="00997CBA">
              <w:rPr>
                <w:noProof/>
                <w:webHidden/>
              </w:rPr>
            </w:r>
            <w:r w:rsidR="00997CBA">
              <w:rPr>
                <w:noProof/>
                <w:webHidden/>
              </w:rPr>
              <w:fldChar w:fldCharType="separate"/>
            </w:r>
            <w:r w:rsidR="00383437">
              <w:rPr>
                <w:noProof/>
                <w:webHidden/>
              </w:rPr>
              <w:t>5</w:t>
            </w:r>
            <w:r w:rsidR="00997CBA">
              <w:rPr>
                <w:noProof/>
                <w:webHidden/>
              </w:rPr>
              <w:fldChar w:fldCharType="end"/>
            </w:r>
          </w:hyperlink>
        </w:p>
        <w:p w14:paraId="3B18C38D" w14:textId="784E62D9" w:rsidR="00997CBA" w:rsidRDefault="0019619D">
          <w:pPr>
            <w:pStyle w:val="TDC2"/>
            <w:tabs>
              <w:tab w:val="left" w:pos="880"/>
              <w:tab w:val="right" w:leader="dot" w:pos="9089"/>
            </w:tabs>
            <w:rPr>
              <w:rFonts w:asciiTheme="minorHAnsi" w:eastAsiaTheme="minorEastAsia" w:hAnsiTheme="minorHAnsi"/>
              <w:noProof/>
              <w:sz w:val="22"/>
              <w:lang w:val="es-MX" w:eastAsia="es-MX"/>
            </w:rPr>
          </w:pPr>
          <w:hyperlink w:anchor="_Toc91548292" w:history="1">
            <w:r w:rsidR="00997CBA" w:rsidRPr="002F3CDC">
              <w:rPr>
                <w:rStyle w:val="Hipervnculo"/>
                <w:rFonts w:cs="Times New Roman"/>
                <w:noProof/>
              </w:rPr>
              <w:t>1.1.</w:t>
            </w:r>
            <w:r w:rsidR="00997CBA">
              <w:rPr>
                <w:rFonts w:asciiTheme="minorHAnsi" w:eastAsiaTheme="minorEastAsia" w:hAnsiTheme="minorHAnsi"/>
                <w:noProof/>
                <w:sz w:val="22"/>
                <w:lang w:val="es-MX" w:eastAsia="es-MX"/>
              </w:rPr>
              <w:tab/>
            </w:r>
            <w:r w:rsidR="00997CBA" w:rsidRPr="002F3CDC">
              <w:rPr>
                <w:rStyle w:val="Hipervnculo"/>
                <w:rFonts w:cs="Times New Roman"/>
                <w:noProof/>
              </w:rPr>
              <w:t>Situación económica de EE. UU.</w:t>
            </w:r>
            <w:r w:rsidR="00997CBA">
              <w:rPr>
                <w:noProof/>
                <w:webHidden/>
              </w:rPr>
              <w:tab/>
            </w:r>
            <w:r w:rsidR="00997CBA">
              <w:rPr>
                <w:noProof/>
                <w:webHidden/>
              </w:rPr>
              <w:fldChar w:fldCharType="begin"/>
            </w:r>
            <w:r w:rsidR="00997CBA">
              <w:rPr>
                <w:noProof/>
                <w:webHidden/>
              </w:rPr>
              <w:instrText xml:space="preserve"> PAGEREF _Toc91548292 \h </w:instrText>
            </w:r>
            <w:r w:rsidR="00997CBA">
              <w:rPr>
                <w:noProof/>
                <w:webHidden/>
              </w:rPr>
            </w:r>
            <w:r w:rsidR="00997CBA">
              <w:rPr>
                <w:noProof/>
                <w:webHidden/>
              </w:rPr>
              <w:fldChar w:fldCharType="separate"/>
            </w:r>
            <w:r w:rsidR="00383437">
              <w:rPr>
                <w:noProof/>
                <w:webHidden/>
              </w:rPr>
              <w:t>5</w:t>
            </w:r>
            <w:r w:rsidR="00997CBA">
              <w:rPr>
                <w:noProof/>
                <w:webHidden/>
              </w:rPr>
              <w:fldChar w:fldCharType="end"/>
            </w:r>
          </w:hyperlink>
        </w:p>
        <w:p w14:paraId="4012D73B" w14:textId="2B2111B6"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293" w:history="1">
            <w:r w:rsidR="00997CBA" w:rsidRPr="002F3CDC">
              <w:rPr>
                <w:rStyle w:val="Hipervnculo"/>
                <w:rFonts w:cs="Times New Roman"/>
                <w:noProof/>
              </w:rPr>
              <w:t>1.1.1.</w:t>
            </w:r>
            <w:r w:rsidR="00997CBA">
              <w:rPr>
                <w:rFonts w:asciiTheme="minorHAnsi" w:eastAsiaTheme="minorEastAsia" w:hAnsiTheme="minorHAnsi"/>
                <w:noProof/>
                <w:sz w:val="22"/>
                <w:lang w:val="es-MX" w:eastAsia="es-MX"/>
              </w:rPr>
              <w:tab/>
            </w:r>
            <w:r w:rsidR="00997CBA" w:rsidRPr="002F3CDC">
              <w:rPr>
                <w:rStyle w:val="Hipervnculo"/>
                <w:rFonts w:cs="Times New Roman"/>
                <w:noProof/>
              </w:rPr>
              <w:t>Evolución del PBI</w:t>
            </w:r>
            <w:r w:rsidR="00997CBA">
              <w:rPr>
                <w:noProof/>
                <w:webHidden/>
              </w:rPr>
              <w:tab/>
            </w:r>
            <w:r w:rsidR="00997CBA">
              <w:rPr>
                <w:noProof/>
                <w:webHidden/>
              </w:rPr>
              <w:fldChar w:fldCharType="begin"/>
            </w:r>
            <w:r w:rsidR="00997CBA">
              <w:rPr>
                <w:noProof/>
                <w:webHidden/>
              </w:rPr>
              <w:instrText xml:space="preserve"> PAGEREF _Toc91548293 \h </w:instrText>
            </w:r>
            <w:r w:rsidR="00997CBA">
              <w:rPr>
                <w:noProof/>
                <w:webHidden/>
              </w:rPr>
            </w:r>
            <w:r w:rsidR="00997CBA">
              <w:rPr>
                <w:noProof/>
                <w:webHidden/>
              </w:rPr>
              <w:fldChar w:fldCharType="separate"/>
            </w:r>
            <w:r w:rsidR="00383437">
              <w:rPr>
                <w:noProof/>
                <w:webHidden/>
              </w:rPr>
              <w:t>6</w:t>
            </w:r>
            <w:r w:rsidR="00997CBA">
              <w:rPr>
                <w:noProof/>
                <w:webHidden/>
              </w:rPr>
              <w:fldChar w:fldCharType="end"/>
            </w:r>
          </w:hyperlink>
        </w:p>
        <w:p w14:paraId="2DD7D890" w14:textId="61D9B092"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294" w:history="1">
            <w:r w:rsidR="00997CBA" w:rsidRPr="002F3CDC">
              <w:rPr>
                <w:rStyle w:val="Hipervnculo"/>
                <w:rFonts w:cs="Times New Roman"/>
                <w:noProof/>
              </w:rPr>
              <w:t>1.1.2.</w:t>
            </w:r>
            <w:r w:rsidR="00997CBA">
              <w:rPr>
                <w:rFonts w:asciiTheme="minorHAnsi" w:eastAsiaTheme="minorEastAsia" w:hAnsiTheme="minorHAnsi"/>
                <w:noProof/>
                <w:sz w:val="22"/>
                <w:lang w:val="es-MX" w:eastAsia="es-MX"/>
              </w:rPr>
              <w:tab/>
            </w:r>
            <w:r w:rsidR="00997CBA" w:rsidRPr="002F3CDC">
              <w:rPr>
                <w:rStyle w:val="Hipervnculo"/>
                <w:rFonts w:cs="Times New Roman"/>
                <w:noProof/>
              </w:rPr>
              <w:t>Fuerza Laboral</w:t>
            </w:r>
            <w:r w:rsidR="00997CBA">
              <w:rPr>
                <w:noProof/>
                <w:webHidden/>
              </w:rPr>
              <w:tab/>
            </w:r>
            <w:r w:rsidR="00997CBA">
              <w:rPr>
                <w:noProof/>
                <w:webHidden/>
              </w:rPr>
              <w:fldChar w:fldCharType="begin"/>
            </w:r>
            <w:r w:rsidR="00997CBA">
              <w:rPr>
                <w:noProof/>
                <w:webHidden/>
              </w:rPr>
              <w:instrText xml:space="preserve"> PAGEREF _Toc91548294 \h </w:instrText>
            </w:r>
            <w:r w:rsidR="00997CBA">
              <w:rPr>
                <w:noProof/>
                <w:webHidden/>
              </w:rPr>
            </w:r>
            <w:r w:rsidR="00997CBA">
              <w:rPr>
                <w:noProof/>
                <w:webHidden/>
              </w:rPr>
              <w:fldChar w:fldCharType="separate"/>
            </w:r>
            <w:r w:rsidR="00383437">
              <w:rPr>
                <w:noProof/>
                <w:webHidden/>
              </w:rPr>
              <w:t>9</w:t>
            </w:r>
            <w:r w:rsidR="00997CBA">
              <w:rPr>
                <w:noProof/>
                <w:webHidden/>
              </w:rPr>
              <w:fldChar w:fldCharType="end"/>
            </w:r>
          </w:hyperlink>
        </w:p>
        <w:p w14:paraId="4C9BD5E4" w14:textId="7E4551BA"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295" w:history="1">
            <w:r w:rsidR="00997CBA" w:rsidRPr="002F3CDC">
              <w:rPr>
                <w:rStyle w:val="Hipervnculo"/>
                <w:rFonts w:cs="Times New Roman"/>
                <w:noProof/>
              </w:rPr>
              <w:t>1.1.3.</w:t>
            </w:r>
            <w:r w:rsidR="00997CBA">
              <w:rPr>
                <w:rFonts w:asciiTheme="minorHAnsi" w:eastAsiaTheme="minorEastAsia" w:hAnsiTheme="minorHAnsi"/>
                <w:noProof/>
                <w:sz w:val="22"/>
                <w:lang w:val="es-MX" w:eastAsia="es-MX"/>
              </w:rPr>
              <w:tab/>
            </w:r>
            <w:r w:rsidR="00997CBA" w:rsidRPr="002F3CDC">
              <w:rPr>
                <w:rStyle w:val="Hipervnculo"/>
                <w:rFonts w:cs="Times New Roman"/>
                <w:noProof/>
              </w:rPr>
              <w:t>Entorno Empresarial</w:t>
            </w:r>
            <w:r w:rsidR="00997CBA">
              <w:rPr>
                <w:noProof/>
                <w:webHidden/>
              </w:rPr>
              <w:tab/>
            </w:r>
            <w:r w:rsidR="00997CBA">
              <w:rPr>
                <w:noProof/>
                <w:webHidden/>
              </w:rPr>
              <w:fldChar w:fldCharType="begin"/>
            </w:r>
            <w:r w:rsidR="00997CBA">
              <w:rPr>
                <w:noProof/>
                <w:webHidden/>
              </w:rPr>
              <w:instrText xml:space="preserve"> PAGEREF _Toc91548295 \h </w:instrText>
            </w:r>
            <w:r w:rsidR="00997CBA">
              <w:rPr>
                <w:noProof/>
                <w:webHidden/>
              </w:rPr>
            </w:r>
            <w:r w:rsidR="00997CBA">
              <w:rPr>
                <w:noProof/>
                <w:webHidden/>
              </w:rPr>
              <w:fldChar w:fldCharType="separate"/>
            </w:r>
            <w:r w:rsidR="00383437">
              <w:rPr>
                <w:noProof/>
                <w:webHidden/>
              </w:rPr>
              <w:t>13</w:t>
            </w:r>
            <w:r w:rsidR="00997CBA">
              <w:rPr>
                <w:noProof/>
                <w:webHidden/>
              </w:rPr>
              <w:fldChar w:fldCharType="end"/>
            </w:r>
          </w:hyperlink>
        </w:p>
        <w:p w14:paraId="116973E8" w14:textId="4ACA1481" w:rsidR="00997CBA" w:rsidRDefault="0019619D">
          <w:pPr>
            <w:pStyle w:val="TDC2"/>
            <w:tabs>
              <w:tab w:val="left" w:pos="880"/>
              <w:tab w:val="right" w:leader="dot" w:pos="9089"/>
            </w:tabs>
            <w:rPr>
              <w:rFonts w:asciiTheme="minorHAnsi" w:eastAsiaTheme="minorEastAsia" w:hAnsiTheme="minorHAnsi"/>
              <w:noProof/>
              <w:sz w:val="22"/>
              <w:lang w:val="es-MX" w:eastAsia="es-MX"/>
            </w:rPr>
          </w:pPr>
          <w:hyperlink w:anchor="_Toc91548296" w:history="1">
            <w:r w:rsidR="00997CBA" w:rsidRPr="002F3CDC">
              <w:rPr>
                <w:rStyle w:val="Hipervnculo"/>
                <w:rFonts w:cs="Times New Roman"/>
                <w:noProof/>
              </w:rPr>
              <w:t>1.2.</w:t>
            </w:r>
            <w:r w:rsidR="00997CBA">
              <w:rPr>
                <w:rFonts w:asciiTheme="minorHAnsi" w:eastAsiaTheme="minorEastAsia" w:hAnsiTheme="minorHAnsi"/>
                <w:noProof/>
                <w:sz w:val="22"/>
                <w:lang w:val="es-MX" w:eastAsia="es-MX"/>
              </w:rPr>
              <w:tab/>
            </w:r>
            <w:r w:rsidR="00997CBA" w:rsidRPr="002F3CDC">
              <w:rPr>
                <w:rStyle w:val="Hipervnculo"/>
                <w:rFonts w:cs="Times New Roman"/>
                <w:noProof/>
              </w:rPr>
              <w:t>Población</w:t>
            </w:r>
            <w:r w:rsidR="00997CBA">
              <w:rPr>
                <w:noProof/>
                <w:webHidden/>
              </w:rPr>
              <w:tab/>
            </w:r>
            <w:r w:rsidR="00997CBA">
              <w:rPr>
                <w:noProof/>
                <w:webHidden/>
              </w:rPr>
              <w:fldChar w:fldCharType="begin"/>
            </w:r>
            <w:r w:rsidR="00997CBA">
              <w:rPr>
                <w:noProof/>
                <w:webHidden/>
              </w:rPr>
              <w:instrText xml:space="preserve"> PAGEREF _Toc91548296 \h </w:instrText>
            </w:r>
            <w:r w:rsidR="00997CBA">
              <w:rPr>
                <w:noProof/>
                <w:webHidden/>
              </w:rPr>
            </w:r>
            <w:r w:rsidR="00997CBA">
              <w:rPr>
                <w:noProof/>
                <w:webHidden/>
              </w:rPr>
              <w:fldChar w:fldCharType="separate"/>
            </w:r>
            <w:r w:rsidR="00383437">
              <w:rPr>
                <w:noProof/>
                <w:webHidden/>
              </w:rPr>
              <w:t>13</w:t>
            </w:r>
            <w:r w:rsidR="00997CBA">
              <w:rPr>
                <w:noProof/>
                <w:webHidden/>
              </w:rPr>
              <w:fldChar w:fldCharType="end"/>
            </w:r>
          </w:hyperlink>
        </w:p>
        <w:p w14:paraId="15904A39" w14:textId="115F5D79"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297" w:history="1">
            <w:r w:rsidR="00997CBA" w:rsidRPr="002F3CDC">
              <w:rPr>
                <w:rStyle w:val="Hipervnculo"/>
                <w:rFonts w:cs="Times New Roman"/>
                <w:noProof/>
              </w:rPr>
              <w:t>1.2.1.</w:t>
            </w:r>
            <w:r w:rsidR="00997CBA">
              <w:rPr>
                <w:rFonts w:asciiTheme="minorHAnsi" w:eastAsiaTheme="minorEastAsia" w:hAnsiTheme="minorHAnsi"/>
                <w:noProof/>
                <w:sz w:val="22"/>
                <w:lang w:val="es-MX" w:eastAsia="es-MX"/>
              </w:rPr>
              <w:tab/>
            </w:r>
            <w:r w:rsidR="00997CBA" w:rsidRPr="002F3CDC">
              <w:rPr>
                <w:rStyle w:val="Hipervnculo"/>
                <w:rFonts w:cs="Times New Roman"/>
                <w:noProof/>
              </w:rPr>
              <w:t>Población total de EE. UU.</w:t>
            </w:r>
            <w:r w:rsidR="00997CBA">
              <w:rPr>
                <w:noProof/>
                <w:webHidden/>
              </w:rPr>
              <w:tab/>
            </w:r>
            <w:r w:rsidR="00997CBA">
              <w:rPr>
                <w:noProof/>
                <w:webHidden/>
              </w:rPr>
              <w:fldChar w:fldCharType="begin"/>
            </w:r>
            <w:r w:rsidR="00997CBA">
              <w:rPr>
                <w:noProof/>
                <w:webHidden/>
              </w:rPr>
              <w:instrText xml:space="preserve"> PAGEREF _Toc91548297 \h </w:instrText>
            </w:r>
            <w:r w:rsidR="00997CBA">
              <w:rPr>
                <w:noProof/>
                <w:webHidden/>
              </w:rPr>
            </w:r>
            <w:r w:rsidR="00997CBA">
              <w:rPr>
                <w:noProof/>
                <w:webHidden/>
              </w:rPr>
              <w:fldChar w:fldCharType="separate"/>
            </w:r>
            <w:r w:rsidR="00383437">
              <w:rPr>
                <w:noProof/>
                <w:webHidden/>
              </w:rPr>
              <w:t>13</w:t>
            </w:r>
            <w:r w:rsidR="00997CBA">
              <w:rPr>
                <w:noProof/>
                <w:webHidden/>
              </w:rPr>
              <w:fldChar w:fldCharType="end"/>
            </w:r>
          </w:hyperlink>
        </w:p>
        <w:p w14:paraId="5B7C365C" w14:textId="774CBBEF"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298" w:history="1">
            <w:r w:rsidR="00997CBA" w:rsidRPr="002F3CDC">
              <w:rPr>
                <w:rStyle w:val="Hipervnculo"/>
                <w:rFonts w:cs="Times New Roman"/>
                <w:noProof/>
                <w:lang w:val="es-MX"/>
              </w:rPr>
              <w:t>1.2.2.</w:t>
            </w:r>
            <w:r w:rsidR="00997CBA">
              <w:rPr>
                <w:rFonts w:asciiTheme="minorHAnsi" w:eastAsiaTheme="minorEastAsia" w:hAnsiTheme="minorHAnsi"/>
                <w:noProof/>
                <w:sz w:val="22"/>
                <w:lang w:val="es-MX" w:eastAsia="es-MX"/>
              </w:rPr>
              <w:tab/>
            </w:r>
            <w:r w:rsidR="00997CBA" w:rsidRPr="002F3CDC">
              <w:rPr>
                <w:rStyle w:val="Hipervnculo"/>
                <w:rFonts w:cs="Times New Roman"/>
                <w:noProof/>
                <w:lang w:val="es-MX"/>
              </w:rPr>
              <w:t>Tasa de crecimiento</w:t>
            </w:r>
            <w:r w:rsidR="00997CBA">
              <w:rPr>
                <w:noProof/>
                <w:webHidden/>
              </w:rPr>
              <w:tab/>
            </w:r>
            <w:r w:rsidR="00997CBA">
              <w:rPr>
                <w:noProof/>
                <w:webHidden/>
              </w:rPr>
              <w:fldChar w:fldCharType="begin"/>
            </w:r>
            <w:r w:rsidR="00997CBA">
              <w:rPr>
                <w:noProof/>
                <w:webHidden/>
              </w:rPr>
              <w:instrText xml:space="preserve"> PAGEREF _Toc91548298 \h </w:instrText>
            </w:r>
            <w:r w:rsidR="00997CBA">
              <w:rPr>
                <w:noProof/>
                <w:webHidden/>
              </w:rPr>
            </w:r>
            <w:r w:rsidR="00997CBA">
              <w:rPr>
                <w:noProof/>
                <w:webHidden/>
              </w:rPr>
              <w:fldChar w:fldCharType="separate"/>
            </w:r>
            <w:r w:rsidR="00383437">
              <w:rPr>
                <w:noProof/>
                <w:webHidden/>
              </w:rPr>
              <w:t>14</w:t>
            </w:r>
            <w:r w:rsidR="00997CBA">
              <w:rPr>
                <w:noProof/>
                <w:webHidden/>
              </w:rPr>
              <w:fldChar w:fldCharType="end"/>
            </w:r>
          </w:hyperlink>
        </w:p>
        <w:p w14:paraId="473E5677" w14:textId="0ED058E1"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299" w:history="1">
            <w:r w:rsidR="00997CBA" w:rsidRPr="002F3CDC">
              <w:rPr>
                <w:rStyle w:val="Hipervnculo"/>
                <w:rFonts w:cs="Times New Roman"/>
                <w:noProof/>
                <w:lang w:val="es-MX"/>
              </w:rPr>
              <w:t>1.2.3.</w:t>
            </w:r>
            <w:r w:rsidR="00997CBA">
              <w:rPr>
                <w:rFonts w:asciiTheme="minorHAnsi" w:eastAsiaTheme="minorEastAsia" w:hAnsiTheme="minorHAnsi"/>
                <w:noProof/>
                <w:sz w:val="22"/>
                <w:lang w:val="es-MX" w:eastAsia="es-MX"/>
              </w:rPr>
              <w:tab/>
            </w:r>
            <w:r w:rsidR="00997CBA" w:rsidRPr="002F3CDC">
              <w:rPr>
                <w:rStyle w:val="Hipervnculo"/>
                <w:rFonts w:cs="Times New Roman"/>
                <w:noProof/>
                <w:lang w:val="es-MX"/>
              </w:rPr>
              <w:t>Tasa de fertilidad</w:t>
            </w:r>
            <w:r w:rsidR="00997CBA">
              <w:rPr>
                <w:noProof/>
                <w:webHidden/>
              </w:rPr>
              <w:tab/>
            </w:r>
            <w:r w:rsidR="00997CBA">
              <w:rPr>
                <w:noProof/>
                <w:webHidden/>
              </w:rPr>
              <w:fldChar w:fldCharType="begin"/>
            </w:r>
            <w:r w:rsidR="00997CBA">
              <w:rPr>
                <w:noProof/>
                <w:webHidden/>
              </w:rPr>
              <w:instrText xml:space="preserve"> PAGEREF _Toc91548299 \h </w:instrText>
            </w:r>
            <w:r w:rsidR="00997CBA">
              <w:rPr>
                <w:noProof/>
                <w:webHidden/>
              </w:rPr>
            </w:r>
            <w:r w:rsidR="00997CBA">
              <w:rPr>
                <w:noProof/>
                <w:webHidden/>
              </w:rPr>
              <w:fldChar w:fldCharType="separate"/>
            </w:r>
            <w:r w:rsidR="00383437">
              <w:rPr>
                <w:noProof/>
                <w:webHidden/>
              </w:rPr>
              <w:t>15</w:t>
            </w:r>
            <w:r w:rsidR="00997CBA">
              <w:rPr>
                <w:noProof/>
                <w:webHidden/>
              </w:rPr>
              <w:fldChar w:fldCharType="end"/>
            </w:r>
          </w:hyperlink>
        </w:p>
        <w:p w14:paraId="3D87F46A" w14:textId="7B860DF3" w:rsidR="00997CBA" w:rsidRDefault="0019619D">
          <w:pPr>
            <w:pStyle w:val="TDC2"/>
            <w:tabs>
              <w:tab w:val="left" w:pos="880"/>
              <w:tab w:val="right" w:leader="dot" w:pos="9089"/>
            </w:tabs>
            <w:rPr>
              <w:rFonts w:asciiTheme="minorHAnsi" w:eastAsiaTheme="minorEastAsia" w:hAnsiTheme="minorHAnsi"/>
              <w:noProof/>
              <w:sz w:val="22"/>
              <w:lang w:val="es-MX" w:eastAsia="es-MX"/>
            </w:rPr>
          </w:pPr>
          <w:hyperlink w:anchor="_Toc91548300" w:history="1">
            <w:r w:rsidR="00997CBA" w:rsidRPr="002F3CDC">
              <w:rPr>
                <w:rStyle w:val="Hipervnculo"/>
                <w:rFonts w:eastAsia="Time new roman" w:cs="Times New Roman"/>
                <w:noProof/>
              </w:rPr>
              <w:t>1.3.</w:t>
            </w:r>
            <w:r w:rsidR="00997CBA">
              <w:rPr>
                <w:rFonts w:asciiTheme="minorHAnsi" w:eastAsiaTheme="minorEastAsia" w:hAnsiTheme="minorHAnsi"/>
                <w:noProof/>
                <w:sz w:val="22"/>
                <w:lang w:val="es-MX" w:eastAsia="es-MX"/>
              </w:rPr>
              <w:tab/>
            </w:r>
            <w:r w:rsidR="00997CBA" w:rsidRPr="002F3CDC">
              <w:rPr>
                <w:rStyle w:val="Hipervnculo"/>
                <w:rFonts w:eastAsia="Time new roman" w:cs="Times New Roman"/>
                <w:noProof/>
              </w:rPr>
              <w:t xml:space="preserve">Índice de </w:t>
            </w:r>
            <w:r w:rsidR="00997CBA" w:rsidRPr="002F3CDC">
              <w:rPr>
                <w:rStyle w:val="Hipervnculo"/>
                <w:rFonts w:eastAsia="Time new roman" w:cs="Times New Roman"/>
                <w:bCs/>
                <w:noProof/>
              </w:rPr>
              <w:t>Desarrollo</w:t>
            </w:r>
            <w:r w:rsidR="00997CBA" w:rsidRPr="002F3CDC">
              <w:rPr>
                <w:rStyle w:val="Hipervnculo"/>
                <w:rFonts w:eastAsia="Time new roman" w:cs="Times New Roman"/>
                <w:noProof/>
              </w:rPr>
              <w:t xml:space="preserve"> Humano</w:t>
            </w:r>
            <w:r w:rsidR="00997CBA">
              <w:rPr>
                <w:noProof/>
                <w:webHidden/>
              </w:rPr>
              <w:tab/>
            </w:r>
            <w:r w:rsidR="00997CBA">
              <w:rPr>
                <w:noProof/>
                <w:webHidden/>
              </w:rPr>
              <w:fldChar w:fldCharType="begin"/>
            </w:r>
            <w:r w:rsidR="00997CBA">
              <w:rPr>
                <w:noProof/>
                <w:webHidden/>
              </w:rPr>
              <w:instrText xml:space="preserve"> PAGEREF _Toc91548300 \h </w:instrText>
            </w:r>
            <w:r w:rsidR="00997CBA">
              <w:rPr>
                <w:noProof/>
                <w:webHidden/>
              </w:rPr>
            </w:r>
            <w:r w:rsidR="00997CBA">
              <w:rPr>
                <w:noProof/>
                <w:webHidden/>
              </w:rPr>
              <w:fldChar w:fldCharType="separate"/>
            </w:r>
            <w:r w:rsidR="00383437">
              <w:rPr>
                <w:noProof/>
                <w:webHidden/>
              </w:rPr>
              <w:t>16</w:t>
            </w:r>
            <w:r w:rsidR="00997CBA">
              <w:rPr>
                <w:noProof/>
                <w:webHidden/>
              </w:rPr>
              <w:fldChar w:fldCharType="end"/>
            </w:r>
          </w:hyperlink>
        </w:p>
        <w:p w14:paraId="23B8508A" w14:textId="759CFA66"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01" w:history="1">
            <w:r w:rsidR="00997CBA" w:rsidRPr="002F3CDC">
              <w:rPr>
                <w:rStyle w:val="Hipervnculo"/>
                <w:rFonts w:cs="Times New Roman"/>
                <w:noProof/>
              </w:rPr>
              <w:t>1.3.1.</w:t>
            </w:r>
            <w:r w:rsidR="00997CBA">
              <w:rPr>
                <w:rFonts w:asciiTheme="minorHAnsi" w:eastAsiaTheme="minorEastAsia" w:hAnsiTheme="minorHAnsi"/>
                <w:noProof/>
                <w:sz w:val="22"/>
                <w:lang w:val="es-MX" w:eastAsia="es-MX"/>
              </w:rPr>
              <w:tab/>
            </w:r>
            <w:r w:rsidR="00997CBA" w:rsidRPr="002F3CDC">
              <w:rPr>
                <w:rStyle w:val="Hipervnculo"/>
                <w:rFonts w:cs="Times New Roman"/>
                <w:noProof/>
              </w:rPr>
              <w:t>Producto Bruto Interno Per Cápita</w:t>
            </w:r>
            <w:r w:rsidR="00997CBA">
              <w:rPr>
                <w:noProof/>
                <w:webHidden/>
              </w:rPr>
              <w:tab/>
            </w:r>
            <w:r w:rsidR="00997CBA">
              <w:rPr>
                <w:noProof/>
                <w:webHidden/>
              </w:rPr>
              <w:fldChar w:fldCharType="begin"/>
            </w:r>
            <w:r w:rsidR="00997CBA">
              <w:rPr>
                <w:noProof/>
                <w:webHidden/>
              </w:rPr>
              <w:instrText xml:space="preserve"> PAGEREF _Toc91548301 \h </w:instrText>
            </w:r>
            <w:r w:rsidR="00997CBA">
              <w:rPr>
                <w:noProof/>
                <w:webHidden/>
              </w:rPr>
            </w:r>
            <w:r w:rsidR="00997CBA">
              <w:rPr>
                <w:noProof/>
                <w:webHidden/>
              </w:rPr>
              <w:fldChar w:fldCharType="separate"/>
            </w:r>
            <w:r w:rsidR="00383437">
              <w:rPr>
                <w:noProof/>
                <w:webHidden/>
              </w:rPr>
              <w:t>16</w:t>
            </w:r>
            <w:r w:rsidR="00997CBA">
              <w:rPr>
                <w:noProof/>
                <w:webHidden/>
              </w:rPr>
              <w:fldChar w:fldCharType="end"/>
            </w:r>
          </w:hyperlink>
        </w:p>
        <w:p w14:paraId="70F6834A" w14:textId="6A981E33"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02" w:history="1">
            <w:r w:rsidR="00997CBA" w:rsidRPr="002F3CDC">
              <w:rPr>
                <w:rStyle w:val="Hipervnculo"/>
                <w:rFonts w:cs="Times New Roman"/>
                <w:noProof/>
              </w:rPr>
              <w:t>1.3.2.</w:t>
            </w:r>
            <w:r w:rsidR="00997CBA">
              <w:rPr>
                <w:rFonts w:asciiTheme="minorHAnsi" w:eastAsiaTheme="minorEastAsia" w:hAnsiTheme="minorHAnsi"/>
                <w:noProof/>
                <w:sz w:val="22"/>
                <w:lang w:val="es-MX" w:eastAsia="es-MX"/>
              </w:rPr>
              <w:tab/>
            </w:r>
            <w:r w:rsidR="00997CBA" w:rsidRPr="002F3CDC">
              <w:rPr>
                <w:rStyle w:val="Hipervnculo"/>
                <w:rFonts w:cs="Times New Roman"/>
                <w:noProof/>
              </w:rPr>
              <w:t>Esperanza de vida al nacer</w:t>
            </w:r>
            <w:r w:rsidR="00997CBA">
              <w:rPr>
                <w:noProof/>
                <w:webHidden/>
              </w:rPr>
              <w:tab/>
            </w:r>
            <w:r w:rsidR="00997CBA">
              <w:rPr>
                <w:noProof/>
                <w:webHidden/>
              </w:rPr>
              <w:fldChar w:fldCharType="begin"/>
            </w:r>
            <w:r w:rsidR="00997CBA">
              <w:rPr>
                <w:noProof/>
                <w:webHidden/>
              </w:rPr>
              <w:instrText xml:space="preserve"> PAGEREF _Toc91548302 \h </w:instrText>
            </w:r>
            <w:r w:rsidR="00997CBA">
              <w:rPr>
                <w:noProof/>
                <w:webHidden/>
              </w:rPr>
            </w:r>
            <w:r w:rsidR="00997CBA">
              <w:rPr>
                <w:noProof/>
                <w:webHidden/>
              </w:rPr>
              <w:fldChar w:fldCharType="separate"/>
            </w:r>
            <w:r w:rsidR="00383437">
              <w:rPr>
                <w:noProof/>
                <w:webHidden/>
              </w:rPr>
              <w:t>17</w:t>
            </w:r>
            <w:r w:rsidR="00997CBA">
              <w:rPr>
                <w:noProof/>
                <w:webHidden/>
              </w:rPr>
              <w:fldChar w:fldCharType="end"/>
            </w:r>
          </w:hyperlink>
        </w:p>
        <w:p w14:paraId="3C17A0D3" w14:textId="62DB2203"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03" w:history="1">
            <w:r w:rsidR="00997CBA" w:rsidRPr="002F3CDC">
              <w:rPr>
                <w:rStyle w:val="Hipervnculo"/>
                <w:rFonts w:cs="Times New Roman"/>
                <w:noProof/>
              </w:rPr>
              <w:t>1.3.3.</w:t>
            </w:r>
            <w:r w:rsidR="00997CBA">
              <w:rPr>
                <w:rFonts w:asciiTheme="minorHAnsi" w:eastAsiaTheme="minorEastAsia" w:hAnsiTheme="minorHAnsi"/>
                <w:noProof/>
                <w:sz w:val="22"/>
                <w:lang w:val="es-MX" w:eastAsia="es-MX"/>
              </w:rPr>
              <w:tab/>
            </w:r>
            <w:r w:rsidR="00997CBA" w:rsidRPr="002F3CDC">
              <w:rPr>
                <w:rStyle w:val="Hipervnculo"/>
                <w:rFonts w:cs="Times New Roman"/>
                <w:noProof/>
              </w:rPr>
              <w:t>Mortalidad infantil</w:t>
            </w:r>
            <w:r w:rsidR="00997CBA">
              <w:rPr>
                <w:noProof/>
                <w:webHidden/>
              </w:rPr>
              <w:tab/>
            </w:r>
            <w:r w:rsidR="00997CBA">
              <w:rPr>
                <w:noProof/>
                <w:webHidden/>
              </w:rPr>
              <w:fldChar w:fldCharType="begin"/>
            </w:r>
            <w:r w:rsidR="00997CBA">
              <w:rPr>
                <w:noProof/>
                <w:webHidden/>
              </w:rPr>
              <w:instrText xml:space="preserve"> PAGEREF _Toc91548303 \h </w:instrText>
            </w:r>
            <w:r w:rsidR="00997CBA">
              <w:rPr>
                <w:noProof/>
                <w:webHidden/>
              </w:rPr>
            </w:r>
            <w:r w:rsidR="00997CBA">
              <w:rPr>
                <w:noProof/>
                <w:webHidden/>
              </w:rPr>
              <w:fldChar w:fldCharType="separate"/>
            </w:r>
            <w:r w:rsidR="00383437">
              <w:rPr>
                <w:noProof/>
                <w:webHidden/>
              </w:rPr>
              <w:t>18</w:t>
            </w:r>
            <w:r w:rsidR="00997CBA">
              <w:rPr>
                <w:noProof/>
                <w:webHidden/>
              </w:rPr>
              <w:fldChar w:fldCharType="end"/>
            </w:r>
          </w:hyperlink>
        </w:p>
        <w:p w14:paraId="71818AB4" w14:textId="2C49AC13" w:rsidR="00997CBA" w:rsidRDefault="0019619D">
          <w:pPr>
            <w:pStyle w:val="TDC2"/>
            <w:tabs>
              <w:tab w:val="left" w:pos="880"/>
              <w:tab w:val="right" w:leader="dot" w:pos="9089"/>
            </w:tabs>
            <w:rPr>
              <w:rFonts w:asciiTheme="minorHAnsi" w:eastAsiaTheme="minorEastAsia" w:hAnsiTheme="minorHAnsi"/>
              <w:noProof/>
              <w:sz w:val="22"/>
              <w:lang w:val="es-MX" w:eastAsia="es-MX"/>
            </w:rPr>
          </w:pPr>
          <w:hyperlink w:anchor="_Toc91548304" w:history="1">
            <w:r w:rsidR="00997CBA" w:rsidRPr="002F3CDC">
              <w:rPr>
                <w:rStyle w:val="Hipervnculo"/>
                <w:rFonts w:cs="Times New Roman"/>
                <w:noProof/>
              </w:rPr>
              <w:t>1.4.</w:t>
            </w:r>
            <w:r w:rsidR="00997CBA">
              <w:rPr>
                <w:rFonts w:asciiTheme="minorHAnsi" w:eastAsiaTheme="minorEastAsia" w:hAnsiTheme="minorHAnsi"/>
                <w:noProof/>
                <w:sz w:val="22"/>
                <w:lang w:val="es-MX" w:eastAsia="es-MX"/>
              </w:rPr>
              <w:tab/>
            </w:r>
            <w:r w:rsidR="00997CBA" w:rsidRPr="002F3CDC">
              <w:rPr>
                <w:rStyle w:val="Hipervnculo"/>
                <w:rFonts w:cs="Times New Roman"/>
                <w:noProof/>
              </w:rPr>
              <w:t>Investigación y Desarrollo</w:t>
            </w:r>
            <w:r w:rsidR="00997CBA">
              <w:rPr>
                <w:noProof/>
                <w:webHidden/>
              </w:rPr>
              <w:tab/>
            </w:r>
            <w:r w:rsidR="00997CBA">
              <w:rPr>
                <w:noProof/>
                <w:webHidden/>
              </w:rPr>
              <w:fldChar w:fldCharType="begin"/>
            </w:r>
            <w:r w:rsidR="00997CBA">
              <w:rPr>
                <w:noProof/>
                <w:webHidden/>
              </w:rPr>
              <w:instrText xml:space="preserve"> PAGEREF _Toc91548304 \h </w:instrText>
            </w:r>
            <w:r w:rsidR="00997CBA">
              <w:rPr>
                <w:noProof/>
                <w:webHidden/>
              </w:rPr>
            </w:r>
            <w:r w:rsidR="00997CBA">
              <w:rPr>
                <w:noProof/>
                <w:webHidden/>
              </w:rPr>
              <w:fldChar w:fldCharType="separate"/>
            </w:r>
            <w:r w:rsidR="00383437">
              <w:rPr>
                <w:noProof/>
                <w:webHidden/>
              </w:rPr>
              <w:t>19</w:t>
            </w:r>
            <w:r w:rsidR="00997CBA">
              <w:rPr>
                <w:noProof/>
                <w:webHidden/>
              </w:rPr>
              <w:fldChar w:fldCharType="end"/>
            </w:r>
          </w:hyperlink>
        </w:p>
        <w:p w14:paraId="11B3033F" w14:textId="3FCFBB35"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05" w:history="1">
            <w:r w:rsidR="00997CBA" w:rsidRPr="002F3CDC">
              <w:rPr>
                <w:rStyle w:val="Hipervnculo"/>
                <w:rFonts w:cs="Times New Roman"/>
                <w:noProof/>
              </w:rPr>
              <w:t>1.4.1.</w:t>
            </w:r>
            <w:r w:rsidR="00997CBA">
              <w:rPr>
                <w:rFonts w:asciiTheme="minorHAnsi" w:eastAsiaTheme="minorEastAsia" w:hAnsiTheme="minorHAnsi"/>
                <w:noProof/>
                <w:sz w:val="22"/>
                <w:lang w:val="es-MX" w:eastAsia="es-MX"/>
              </w:rPr>
              <w:tab/>
            </w:r>
            <w:r w:rsidR="00997CBA" w:rsidRPr="002F3CDC">
              <w:rPr>
                <w:rStyle w:val="Hipervnculo"/>
                <w:rFonts w:cs="Times New Roman"/>
                <w:noProof/>
              </w:rPr>
              <w:t>Empresas</w:t>
            </w:r>
            <w:r w:rsidR="00997CBA">
              <w:rPr>
                <w:noProof/>
                <w:webHidden/>
              </w:rPr>
              <w:tab/>
            </w:r>
            <w:r w:rsidR="00997CBA">
              <w:rPr>
                <w:noProof/>
                <w:webHidden/>
              </w:rPr>
              <w:fldChar w:fldCharType="begin"/>
            </w:r>
            <w:r w:rsidR="00997CBA">
              <w:rPr>
                <w:noProof/>
                <w:webHidden/>
              </w:rPr>
              <w:instrText xml:space="preserve"> PAGEREF _Toc91548305 \h </w:instrText>
            </w:r>
            <w:r w:rsidR="00997CBA">
              <w:rPr>
                <w:noProof/>
                <w:webHidden/>
              </w:rPr>
            </w:r>
            <w:r w:rsidR="00997CBA">
              <w:rPr>
                <w:noProof/>
                <w:webHidden/>
              </w:rPr>
              <w:fldChar w:fldCharType="separate"/>
            </w:r>
            <w:r w:rsidR="00383437">
              <w:rPr>
                <w:noProof/>
                <w:webHidden/>
              </w:rPr>
              <w:t>20</w:t>
            </w:r>
            <w:r w:rsidR="00997CBA">
              <w:rPr>
                <w:noProof/>
                <w:webHidden/>
              </w:rPr>
              <w:fldChar w:fldCharType="end"/>
            </w:r>
          </w:hyperlink>
        </w:p>
        <w:p w14:paraId="1B903213" w14:textId="03F75BBF"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06" w:history="1">
            <w:r w:rsidR="00997CBA" w:rsidRPr="002F3CDC">
              <w:rPr>
                <w:rStyle w:val="Hipervnculo"/>
                <w:rFonts w:cs="Times New Roman"/>
                <w:noProof/>
              </w:rPr>
              <w:t>1.4.2.</w:t>
            </w:r>
            <w:r w:rsidR="00997CBA">
              <w:rPr>
                <w:rFonts w:asciiTheme="minorHAnsi" w:eastAsiaTheme="minorEastAsia" w:hAnsiTheme="minorHAnsi"/>
                <w:noProof/>
                <w:sz w:val="22"/>
                <w:lang w:val="es-MX" w:eastAsia="es-MX"/>
              </w:rPr>
              <w:tab/>
            </w:r>
            <w:r w:rsidR="00997CBA" w:rsidRPr="002F3CDC">
              <w:rPr>
                <w:rStyle w:val="Hipervnculo"/>
                <w:rFonts w:cs="Times New Roman"/>
                <w:noProof/>
              </w:rPr>
              <w:t>Educación</w:t>
            </w:r>
            <w:r w:rsidR="00997CBA">
              <w:rPr>
                <w:noProof/>
                <w:webHidden/>
              </w:rPr>
              <w:tab/>
            </w:r>
            <w:r w:rsidR="00997CBA">
              <w:rPr>
                <w:noProof/>
                <w:webHidden/>
              </w:rPr>
              <w:fldChar w:fldCharType="begin"/>
            </w:r>
            <w:r w:rsidR="00997CBA">
              <w:rPr>
                <w:noProof/>
                <w:webHidden/>
              </w:rPr>
              <w:instrText xml:space="preserve"> PAGEREF _Toc91548306 \h </w:instrText>
            </w:r>
            <w:r w:rsidR="00997CBA">
              <w:rPr>
                <w:noProof/>
                <w:webHidden/>
              </w:rPr>
            </w:r>
            <w:r w:rsidR="00997CBA">
              <w:rPr>
                <w:noProof/>
                <w:webHidden/>
              </w:rPr>
              <w:fldChar w:fldCharType="separate"/>
            </w:r>
            <w:r w:rsidR="00383437">
              <w:rPr>
                <w:noProof/>
                <w:webHidden/>
              </w:rPr>
              <w:t>21</w:t>
            </w:r>
            <w:r w:rsidR="00997CBA">
              <w:rPr>
                <w:noProof/>
                <w:webHidden/>
              </w:rPr>
              <w:fldChar w:fldCharType="end"/>
            </w:r>
          </w:hyperlink>
        </w:p>
        <w:p w14:paraId="05DDC07F" w14:textId="3E5A2F15"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07" w:history="1">
            <w:r w:rsidR="00997CBA" w:rsidRPr="002F3CDC">
              <w:rPr>
                <w:rStyle w:val="Hipervnculo"/>
                <w:rFonts w:cs="Times New Roman"/>
                <w:noProof/>
              </w:rPr>
              <w:t>1.4.3.</w:t>
            </w:r>
            <w:r w:rsidR="00997CBA">
              <w:rPr>
                <w:rFonts w:asciiTheme="minorHAnsi" w:eastAsiaTheme="minorEastAsia" w:hAnsiTheme="minorHAnsi"/>
                <w:noProof/>
                <w:sz w:val="22"/>
                <w:lang w:val="es-MX" w:eastAsia="es-MX"/>
              </w:rPr>
              <w:tab/>
            </w:r>
            <w:r w:rsidR="00997CBA" w:rsidRPr="002F3CDC">
              <w:rPr>
                <w:rStyle w:val="Hipervnculo"/>
                <w:rFonts w:cs="Times New Roman"/>
                <w:noProof/>
              </w:rPr>
              <w:t>Universidades</w:t>
            </w:r>
            <w:r w:rsidR="00997CBA">
              <w:rPr>
                <w:noProof/>
                <w:webHidden/>
              </w:rPr>
              <w:tab/>
            </w:r>
            <w:r w:rsidR="00997CBA">
              <w:rPr>
                <w:noProof/>
                <w:webHidden/>
              </w:rPr>
              <w:fldChar w:fldCharType="begin"/>
            </w:r>
            <w:r w:rsidR="00997CBA">
              <w:rPr>
                <w:noProof/>
                <w:webHidden/>
              </w:rPr>
              <w:instrText xml:space="preserve"> PAGEREF _Toc91548307 \h </w:instrText>
            </w:r>
            <w:r w:rsidR="00997CBA">
              <w:rPr>
                <w:noProof/>
                <w:webHidden/>
              </w:rPr>
            </w:r>
            <w:r w:rsidR="00997CBA">
              <w:rPr>
                <w:noProof/>
                <w:webHidden/>
              </w:rPr>
              <w:fldChar w:fldCharType="separate"/>
            </w:r>
            <w:r w:rsidR="00383437">
              <w:rPr>
                <w:noProof/>
                <w:webHidden/>
              </w:rPr>
              <w:t>22</w:t>
            </w:r>
            <w:r w:rsidR="00997CBA">
              <w:rPr>
                <w:noProof/>
                <w:webHidden/>
              </w:rPr>
              <w:fldChar w:fldCharType="end"/>
            </w:r>
          </w:hyperlink>
        </w:p>
        <w:p w14:paraId="272E8774" w14:textId="6B4A2BC1" w:rsidR="00997CBA" w:rsidRDefault="0019619D">
          <w:pPr>
            <w:pStyle w:val="TDC2"/>
            <w:tabs>
              <w:tab w:val="left" w:pos="880"/>
              <w:tab w:val="right" w:leader="dot" w:pos="9089"/>
            </w:tabs>
            <w:rPr>
              <w:rFonts w:asciiTheme="minorHAnsi" w:eastAsiaTheme="minorEastAsia" w:hAnsiTheme="minorHAnsi"/>
              <w:noProof/>
              <w:sz w:val="22"/>
              <w:lang w:val="es-MX" w:eastAsia="es-MX"/>
            </w:rPr>
          </w:pPr>
          <w:hyperlink w:anchor="_Toc91548308" w:history="1">
            <w:r w:rsidR="00997CBA" w:rsidRPr="002F3CDC">
              <w:rPr>
                <w:rStyle w:val="Hipervnculo"/>
                <w:rFonts w:cs="Times New Roman"/>
                <w:noProof/>
              </w:rPr>
              <w:t>1.5.</w:t>
            </w:r>
            <w:r w:rsidR="00997CBA">
              <w:rPr>
                <w:rFonts w:asciiTheme="minorHAnsi" w:eastAsiaTheme="minorEastAsia" w:hAnsiTheme="minorHAnsi"/>
                <w:noProof/>
                <w:sz w:val="22"/>
                <w:lang w:val="es-MX" w:eastAsia="es-MX"/>
              </w:rPr>
              <w:tab/>
            </w:r>
            <w:r w:rsidR="00997CBA" w:rsidRPr="002F3CDC">
              <w:rPr>
                <w:rStyle w:val="Hipervnculo"/>
                <w:rFonts w:cs="Times New Roman"/>
                <w:noProof/>
              </w:rPr>
              <w:t>Tecnología</w:t>
            </w:r>
            <w:r w:rsidR="00997CBA">
              <w:rPr>
                <w:noProof/>
                <w:webHidden/>
              </w:rPr>
              <w:tab/>
            </w:r>
            <w:r w:rsidR="00997CBA">
              <w:rPr>
                <w:noProof/>
                <w:webHidden/>
              </w:rPr>
              <w:fldChar w:fldCharType="begin"/>
            </w:r>
            <w:r w:rsidR="00997CBA">
              <w:rPr>
                <w:noProof/>
                <w:webHidden/>
              </w:rPr>
              <w:instrText xml:space="preserve"> PAGEREF _Toc91548308 \h </w:instrText>
            </w:r>
            <w:r w:rsidR="00997CBA">
              <w:rPr>
                <w:noProof/>
                <w:webHidden/>
              </w:rPr>
            </w:r>
            <w:r w:rsidR="00997CBA">
              <w:rPr>
                <w:noProof/>
                <w:webHidden/>
              </w:rPr>
              <w:fldChar w:fldCharType="separate"/>
            </w:r>
            <w:r w:rsidR="00383437">
              <w:rPr>
                <w:noProof/>
                <w:webHidden/>
              </w:rPr>
              <w:t>23</w:t>
            </w:r>
            <w:r w:rsidR="00997CBA">
              <w:rPr>
                <w:noProof/>
                <w:webHidden/>
              </w:rPr>
              <w:fldChar w:fldCharType="end"/>
            </w:r>
          </w:hyperlink>
        </w:p>
        <w:p w14:paraId="3F0F3346" w14:textId="430C3A24"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09" w:history="1">
            <w:r w:rsidR="00997CBA" w:rsidRPr="002F3CDC">
              <w:rPr>
                <w:rStyle w:val="Hipervnculo"/>
                <w:rFonts w:cs="Times New Roman"/>
                <w:noProof/>
              </w:rPr>
              <w:t>1.5.1.</w:t>
            </w:r>
            <w:r w:rsidR="00997CBA">
              <w:rPr>
                <w:rFonts w:asciiTheme="minorHAnsi" w:eastAsiaTheme="minorEastAsia" w:hAnsiTheme="minorHAnsi"/>
                <w:noProof/>
                <w:sz w:val="22"/>
                <w:lang w:val="es-MX" w:eastAsia="es-MX"/>
              </w:rPr>
              <w:tab/>
            </w:r>
            <w:r w:rsidR="00997CBA" w:rsidRPr="002F3CDC">
              <w:rPr>
                <w:rStyle w:val="Hipervnculo"/>
                <w:rFonts w:cs="Times New Roman"/>
                <w:noProof/>
              </w:rPr>
              <w:t>E – Commerce</w:t>
            </w:r>
            <w:r w:rsidR="00997CBA">
              <w:rPr>
                <w:noProof/>
                <w:webHidden/>
              </w:rPr>
              <w:tab/>
            </w:r>
            <w:r w:rsidR="00997CBA">
              <w:rPr>
                <w:noProof/>
                <w:webHidden/>
              </w:rPr>
              <w:fldChar w:fldCharType="begin"/>
            </w:r>
            <w:r w:rsidR="00997CBA">
              <w:rPr>
                <w:noProof/>
                <w:webHidden/>
              </w:rPr>
              <w:instrText xml:space="preserve"> PAGEREF _Toc91548309 \h </w:instrText>
            </w:r>
            <w:r w:rsidR="00997CBA">
              <w:rPr>
                <w:noProof/>
                <w:webHidden/>
              </w:rPr>
            </w:r>
            <w:r w:rsidR="00997CBA">
              <w:rPr>
                <w:noProof/>
                <w:webHidden/>
              </w:rPr>
              <w:fldChar w:fldCharType="separate"/>
            </w:r>
            <w:r w:rsidR="00383437">
              <w:rPr>
                <w:noProof/>
                <w:webHidden/>
              </w:rPr>
              <w:t>23</w:t>
            </w:r>
            <w:r w:rsidR="00997CBA">
              <w:rPr>
                <w:noProof/>
                <w:webHidden/>
              </w:rPr>
              <w:fldChar w:fldCharType="end"/>
            </w:r>
          </w:hyperlink>
        </w:p>
        <w:p w14:paraId="452EDEDE" w14:textId="1670448E"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10" w:history="1">
            <w:r w:rsidR="00997CBA" w:rsidRPr="002F3CDC">
              <w:rPr>
                <w:rStyle w:val="Hipervnculo"/>
                <w:rFonts w:cs="Times New Roman"/>
                <w:noProof/>
              </w:rPr>
              <w:t>1.5.2.</w:t>
            </w:r>
            <w:r w:rsidR="00997CBA">
              <w:rPr>
                <w:rFonts w:asciiTheme="minorHAnsi" w:eastAsiaTheme="minorEastAsia" w:hAnsiTheme="minorHAnsi"/>
                <w:noProof/>
                <w:sz w:val="22"/>
                <w:lang w:val="es-MX" w:eastAsia="es-MX"/>
              </w:rPr>
              <w:tab/>
            </w:r>
            <w:r w:rsidR="00997CBA" w:rsidRPr="002F3CDC">
              <w:rPr>
                <w:rStyle w:val="Hipervnculo"/>
                <w:rFonts w:cs="Times New Roman"/>
                <w:noProof/>
              </w:rPr>
              <w:t>Fintech</w:t>
            </w:r>
            <w:r w:rsidR="00997CBA">
              <w:rPr>
                <w:noProof/>
                <w:webHidden/>
              </w:rPr>
              <w:tab/>
            </w:r>
            <w:r w:rsidR="00997CBA">
              <w:rPr>
                <w:noProof/>
                <w:webHidden/>
              </w:rPr>
              <w:fldChar w:fldCharType="begin"/>
            </w:r>
            <w:r w:rsidR="00997CBA">
              <w:rPr>
                <w:noProof/>
                <w:webHidden/>
              </w:rPr>
              <w:instrText xml:space="preserve"> PAGEREF _Toc91548310 \h </w:instrText>
            </w:r>
            <w:r w:rsidR="00997CBA">
              <w:rPr>
                <w:noProof/>
                <w:webHidden/>
              </w:rPr>
            </w:r>
            <w:r w:rsidR="00997CBA">
              <w:rPr>
                <w:noProof/>
                <w:webHidden/>
              </w:rPr>
              <w:fldChar w:fldCharType="separate"/>
            </w:r>
            <w:r w:rsidR="00383437">
              <w:rPr>
                <w:noProof/>
                <w:webHidden/>
              </w:rPr>
              <w:t>24</w:t>
            </w:r>
            <w:r w:rsidR="00997CBA">
              <w:rPr>
                <w:noProof/>
                <w:webHidden/>
              </w:rPr>
              <w:fldChar w:fldCharType="end"/>
            </w:r>
          </w:hyperlink>
        </w:p>
        <w:p w14:paraId="3228CDB4" w14:textId="412A8625" w:rsidR="00997CBA" w:rsidRDefault="0019619D">
          <w:pPr>
            <w:pStyle w:val="TDC2"/>
            <w:tabs>
              <w:tab w:val="left" w:pos="880"/>
              <w:tab w:val="right" w:leader="dot" w:pos="9089"/>
            </w:tabs>
            <w:rPr>
              <w:rFonts w:asciiTheme="minorHAnsi" w:eastAsiaTheme="minorEastAsia" w:hAnsiTheme="minorHAnsi"/>
              <w:noProof/>
              <w:sz w:val="22"/>
              <w:lang w:val="es-MX" w:eastAsia="es-MX"/>
            </w:rPr>
          </w:pPr>
          <w:hyperlink w:anchor="_Toc91548311" w:history="1">
            <w:r w:rsidR="00997CBA" w:rsidRPr="002F3CDC">
              <w:rPr>
                <w:rStyle w:val="Hipervnculo"/>
                <w:rFonts w:cs="Times New Roman"/>
                <w:noProof/>
              </w:rPr>
              <w:t>1.6.</w:t>
            </w:r>
            <w:r w:rsidR="00997CBA">
              <w:rPr>
                <w:rFonts w:asciiTheme="minorHAnsi" w:eastAsiaTheme="minorEastAsia" w:hAnsiTheme="minorHAnsi"/>
                <w:noProof/>
                <w:sz w:val="22"/>
                <w:lang w:val="es-MX" w:eastAsia="es-MX"/>
              </w:rPr>
              <w:tab/>
            </w:r>
            <w:r w:rsidR="00997CBA" w:rsidRPr="002F3CDC">
              <w:rPr>
                <w:rStyle w:val="Hipervnculo"/>
                <w:rFonts w:cs="Times New Roman"/>
                <w:noProof/>
              </w:rPr>
              <w:t>Comercio Internacional</w:t>
            </w:r>
            <w:r w:rsidR="00997CBA">
              <w:rPr>
                <w:noProof/>
                <w:webHidden/>
              </w:rPr>
              <w:tab/>
            </w:r>
            <w:r w:rsidR="00997CBA">
              <w:rPr>
                <w:noProof/>
                <w:webHidden/>
              </w:rPr>
              <w:fldChar w:fldCharType="begin"/>
            </w:r>
            <w:r w:rsidR="00997CBA">
              <w:rPr>
                <w:noProof/>
                <w:webHidden/>
              </w:rPr>
              <w:instrText xml:space="preserve"> PAGEREF _Toc91548311 \h </w:instrText>
            </w:r>
            <w:r w:rsidR="00997CBA">
              <w:rPr>
                <w:noProof/>
                <w:webHidden/>
              </w:rPr>
            </w:r>
            <w:r w:rsidR="00997CBA">
              <w:rPr>
                <w:noProof/>
                <w:webHidden/>
              </w:rPr>
              <w:fldChar w:fldCharType="separate"/>
            </w:r>
            <w:r w:rsidR="00383437">
              <w:rPr>
                <w:noProof/>
                <w:webHidden/>
              </w:rPr>
              <w:t>25</w:t>
            </w:r>
            <w:r w:rsidR="00997CBA">
              <w:rPr>
                <w:noProof/>
                <w:webHidden/>
              </w:rPr>
              <w:fldChar w:fldCharType="end"/>
            </w:r>
          </w:hyperlink>
        </w:p>
        <w:p w14:paraId="6268512C" w14:textId="33F60FC3"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12" w:history="1">
            <w:r w:rsidR="00997CBA" w:rsidRPr="002F3CDC">
              <w:rPr>
                <w:rStyle w:val="Hipervnculo"/>
                <w:rFonts w:cs="Times New Roman"/>
                <w:noProof/>
              </w:rPr>
              <w:t>1.6.1.</w:t>
            </w:r>
            <w:r w:rsidR="00997CBA">
              <w:rPr>
                <w:rFonts w:asciiTheme="minorHAnsi" w:eastAsiaTheme="minorEastAsia" w:hAnsiTheme="minorHAnsi"/>
                <w:noProof/>
                <w:sz w:val="22"/>
                <w:lang w:val="es-MX" w:eastAsia="es-MX"/>
              </w:rPr>
              <w:tab/>
            </w:r>
            <w:r w:rsidR="00997CBA" w:rsidRPr="002F3CDC">
              <w:rPr>
                <w:rStyle w:val="Hipervnculo"/>
                <w:rFonts w:cs="Times New Roman"/>
                <w:noProof/>
              </w:rPr>
              <w:t>Comercio de Mercancía</w:t>
            </w:r>
            <w:r w:rsidR="00997CBA">
              <w:rPr>
                <w:noProof/>
                <w:webHidden/>
              </w:rPr>
              <w:tab/>
            </w:r>
            <w:r w:rsidR="00997CBA">
              <w:rPr>
                <w:noProof/>
                <w:webHidden/>
              </w:rPr>
              <w:fldChar w:fldCharType="begin"/>
            </w:r>
            <w:r w:rsidR="00997CBA">
              <w:rPr>
                <w:noProof/>
                <w:webHidden/>
              </w:rPr>
              <w:instrText xml:space="preserve"> PAGEREF _Toc91548312 \h </w:instrText>
            </w:r>
            <w:r w:rsidR="00997CBA">
              <w:rPr>
                <w:noProof/>
                <w:webHidden/>
              </w:rPr>
            </w:r>
            <w:r w:rsidR="00997CBA">
              <w:rPr>
                <w:noProof/>
                <w:webHidden/>
              </w:rPr>
              <w:fldChar w:fldCharType="separate"/>
            </w:r>
            <w:r w:rsidR="00383437">
              <w:rPr>
                <w:noProof/>
                <w:webHidden/>
              </w:rPr>
              <w:t>25</w:t>
            </w:r>
            <w:r w:rsidR="00997CBA">
              <w:rPr>
                <w:noProof/>
                <w:webHidden/>
              </w:rPr>
              <w:fldChar w:fldCharType="end"/>
            </w:r>
          </w:hyperlink>
        </w:p>
        <w:p w14:paraId="56FEFC92" w14:textId="5CD387BA"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13" w:history="1">
            <w:r w:rsidR="00997CBA" w:rsidRPr="002F3CDC">
              <w:rPr>
                <w:rStyle w:val="Hipervnculo"/>
                <w:rFonts w:cs="Times New Roman"/>
                <w:noProof/>
              </w:rPr>
              <w:t>1.6.2.</w:t>
            </w:r>
            <w:r w:rsidR="00997CBA">
              <w:rPr>
                <w:rFonts w:asciiTheme="minorHAnsi" w:eastAsiaTheme="minorEastAsia" w:hAnsiTheme="minorHAnsi"/>
                <w:noProof/>
                <w:sz w:val="22"/>
                <w:lang w:val="es-MX" w:eastAsia="es-MX"/>
              </w:rPr>
              <w:tab/>
            </w:r>
            <w:r w:rsidR="00997CBA" w:rsidRPr="002F3CDC">
              <w:rPr>
                <w:rStyle w:val="Hipervnculo"/>
                <w:rFonts w:cs="Times New Roman"/>
                <w:noProof/>
              </w:rPr>
              <w:t>Servicios Comerciales</w:t>
            </w:r>
            <w:r w:rsidR="00997CBA">
              <w:rPr>
                <w:noProof/>
                <w:webHidden/>
              </w:rPr>
              <w:tab/>
            </w:r>
            <w:r w:rsidR="00997CBA">
              <w:rPr>
                <w:noProof/>
                <w:webHidden/>
              </w:rPr>
              <w:fldChar w:fldCharType="begin"/>
            </w:r>
            <w:r w:rsidR="00997CBA">
              <w:rPr>
                <w:noProof/>
                <w:webHidden/>
              </w:rPr>
              <w:instrText xml:space="preserve"> PAGEREF _Toc91548313 \h </w:instrText>
            </w:r>
            <w:r w:rsidR="00997CBA">
              <w:rPr>
                <w:noProof/>
                <w:webHidden/>
              </w:rPr>
            </w:r>
            <w:r w:rsidR="00997CBA">
              <w:rPr>
                <w:noProof/>
                <w:webHidden/>
              </w:rPr>
              <w:fldChar w:fldCharType="separate"/>
            </w:r>
            <w:r w:rsidR="00383437">
              <w:rPr>
                <w:noProof/>
                <w:webHidden/>
              </w:rPr>
              <w:t>27</w:t>
            </w:r>
            <w:r w:rsidR="00997CBA">
              <w:rPr>
                <w:noProof/>
                <w:webHidden/>
              </w:rPr>
              <w:fldChar w:fldCharType="end"/>
            </w:r>
          </w:hyperlink>
        </w:p>
        <w:p w14:paraId="0F2C42FC" w14:textId="4EC9A305" w:rsidR="00997CBA" w:rsidRDefault="0019619D">
          <w:pPr>
            <w:pStyle w:val="TDC1"/>
            <w:rPr>
              <w:rFonts w:asciiTheme="minorHAnsi" w:eastAsiaTheme="minorEastAsia" w:hAnsiTheme="minorHAnsi"/>
              <w:noProof/>
              <w:sz w:val="22"/>
              <w:lang w:val="es-MX" w:eastAsia="es-MX"/>
            </w:rPr>
          </w:pPr>
          <w:hyperlink w:anchor="_Toc91548314" w:history="1">
            <w:r w:rsidR="00997CBA" w:rsidRPr="002F3CDC">
              <w:rPr>
                <w:rStyle w:val="Hipervnculo"/>
                <w:rFonts w:eastAsia="Calibri Light" w:cs="Times New Roman"/>
                <w:noProof/>
              </w:rPr>
              <w:t>2.</w:t>
            </w:r>
            <w:r w:rsidR="00997CBA">
              <w:rPr>
                <w:rFonts w:asciiTheme="minorHAnsi" w:eastAsiaTheme="minorEastAsia" w:hAnsiTheme="minorHAnsi"/>
                <w:noProof/>
                <w:sz w:val="22"/>
                <w:lang w:val="es-MX" w:eastAsia="es-MX"/>
              </w:rPr>
              <w:tab/>
            </w:r>
            <w:r w:rsidR="00997CBA" w:rsidRPr="002F3CDC">
              <w:rPr>
                <w:rStyle w:val="Hipervnculo"/>
                <w:rFonts w:cs="Times New Roman"/>
                <w:noProof/>
              </w:rPr>
              <w:t>CAPÍTULO II REFORMAS IMPLEMENTADAS PARA EL CRECIMIENTO ECONÓMICO 1950 – 2015</w:t>
            </w:r>
            <w:r w:rsidR="00997CBA">
              <w:rPr>
                <w:noProof/>
                <w:webHidden/>
              </w:rPr>
              <w:tab/>
            </w:r>
            <w:r w:rsidR="00997CBA">
              <w:rPr>
                <w:noProof/>
                <w:webHidden/>
              </w:rPr>
              <w:fldChar w:fldCharType="begin"/>
            </w:r>
            <w:r w:rsidR="00997CBA">
              <w:rPr>
                <w:noProof/>
                <w:webHidden/>
              </w:rPr>
              <w:instrText xml:space="preserve"> PAGEREF _Toc91548314 \h </w:instrText>
            </w:r>
            <w:r w:rsidR="00997CBA">
              <w:rPr>
                <w:noProof/>
                <w:webHidden/>
              </w:rPr>
            </w:r>
            <w:r w:rsidR="00997CBA">
              <w:rPr>
                <w:noProof/>
                <w:webHidden/>
              </w:rPr>
              <w:fldChar w:fldCharType="separate"/>
            </w:r>
            <w:r w:rsidR="00383437">
              <w:rPr>
                <w:noProof/>
                <w:webHidden/>
              </w:rPr>
              <w:t>28</w:t>
            </w:r>
            <w:r w:rsidR="00997CBA">
              <w:rPr>
                <w:noProof/>
                <w:webHidden/>
              </w:rPr>
              <w:fldChar w:fldCharType="end"/>
            </w:r>
          </w:hyperlink>
        </w:p>
        <w:p w14:paraId="30127E23" w14:textId="4AD36A6F" w:rsidR="00997CBA" w:rsidRDefault="0019619D">
          <w:pPr>
            <w:pStyle w:val="TDC2"/>
            <w:tabs>
              <w:tab w:val="left" w:pos="880"/>
              <w:tab w:val="right" w:leader="dot" w:pos="9089"/>
            </w:tabs>
            <w:rPr>
              <w:rFonts w:asciiTheme="minorHAnsi" w:eastAsiaTheme="minorEastAsia" w:hAnsiTheme="minorHAnsi"/>
              <w:noProof/>
              <w:sz w:val="22"/>
              <w:lang w:val="es-MX" w:eastAsia="es-MX"/>
            </w:rPr>
          </w:pPr>
          <w:hyperlink w:anchor="_Toc91548315" w:history="1">
            <w:r w:rsidR="00997CBA" w:rsidRPr="002F3CDC">
              <w:rPr>
                <w:rStyle w:val="Hipervnculo"/>
                <w:rFonts w:cs="Times New Roman"/>
                <w:noProof/>
              </w:rPr>
              <w:t>2.1.</w:t>
            </w:r>
            <w:r w:rsidR="00997CBA">
              <w:rPr>
                <w:rFonts w:asciiTheme="minorHAnsi" w:eastAsiaTheme="minorEastAsia" w:hAnsiTheme="minorHAnsi"/>
                <w:noProof/>
                <w:sz w:val="22"/>
                <w:lang w:val="es-MX" w:eastAsia="es-MX"/>
              </w:rPr>
              <w:tab/>
            </w:r>
            <w:r w:rsidR="00997CBA" w:rsidRPr="002F3CDC">
              <w:rPr>
                <w:rStyle w:val="Hipervnculo"/>
                <w:rFonts w:cs="Times New Roman"/>
                <w:noProof/>
              </w:rPr>
              <w:t>Periodo 1950 – 1970</w:t>
            </w:r>
            <w:r w:rsidR="00997CBA">
              <w:rPr>
                <w:noProof/>
                <w:webHidden/>
              </w:rPr>
              <w:tab/>
            </w:r>
            <w:r w:rsidR="00997CBA">
              <w:rPr>
                <w:noProof/>
                <w:webHidden/>
              </w:rPr>
              <w:fldChar w:fldCharType="begin"/>
            </w:r>
            <w:r w:rsidR="00997CBA">
              <w:rPr>
                <w:noProof/>
                <w:webHidden/>
              </w:rPr>
              <w:instrText xml:space="preserve"> PAGEREF _Toc91548315 \h </w:instrText>
            </w:r>
            <w:r w:rsidR="00997CBA">
              <w:rPr>
                <w:noProof/>
                <w:webHidden/>
              </w:rPr>
            </w:r>
            <w:r w:rsidR="00997CBA">
              <w:rPr>
                <w:noProof/>
                <w:webHidden/>
              </w:rPr>
              <w:fldChar w:fldCharType="separate"/>
            </w:r>
            <w:r w:rsidR="00383437">
              <w:rPr>
                <w:noProof/>
                <w:webHidden/>
              </w:rPr>
              <w:t>28</w:t>
            </w:r>
            <w:r w:rsidR="00997CBA">
              <w:rPr>
                <w:noProof/>
                <w:webHidden/>
              </w:rPr>
              <w:fldChar w:fldCharType="end"/>
            </w:r>
          </w:hyperlink>
        </w:p>
        <w:p w14:paraId="507DCE38" w14:textId="42FDE593" w:rsidR="00997CBA" w:rsidRDefault="0019619D">
          <w:pPr>
            <w:pStyle w:val="TDC2"/>
            <w:tabs>
              <w:tab w:val="left" w:pos="880"/>
              <w:tab w:val="right" w:leader="dot" w:pos="9089"/>
            </w:tabs>
            <w:rPr>
              <w:rFonts w:asciiTheme="minorHAnsi" w:eastAsiaTheme="minorEastAsia" w:hAnsiTheme="minorHAnsi"/>
              <w:noProof/>
              <w:sz w:val="22"/>
              <w:lang w:val="es-MX" w:eastAsia="es-MX"/>
            </w:rPr>
          </w:pPr>
          <w:hyperlink w:anchor="_Toc91548316" w:history="1">
            <w:r w:rsidR="00997CBA" w:rsidRPr="002F3CDC">
              <w:rPr>
                <w:rStyle w:val="Hipervnculo"/>
                <w:rFonts w:cs="Times New Roman"/>
                <w:noProof/>
              </w:rPr>
              <w:t>2.2.</w:t>
            </w:r>
            <w:r w:rsidR="00997CBA">
              <w:rPr>
                <w:rFonts w:asciiTheme="minorHAnsi" w:eastAsiaTheme="minorEastAsia" w:hAnsiTheme="minorHAnsi"/>
                <w:noProof/>
                <w:sz w:val="22"/>
                <w:lang w:val="es-MX" w:eastAsia="es-MX"/>
              </w:rPr>
              <w:tab/>
            </w:r>
            <w:r w:rsidR="00997CBA" w:rsidRPr="002F3CDC">
              <w:rPr>
                <w:rStyle w:val="Hipervnculo"/>
                <w:rFonts w:cs="Times New Roman"/>
                <w:noProof/>
              </w:rPr>
              <w:t>Periodo 1971 – 1990</w:t>
            </w:r>
            <w:r w:rsidR="00997CBA">
              <w:rPr>
                <w:noProof/>
                <w:webHidden/>
              </w:rPr>
              <w:tab/>
            </w:r>
            <w:r w:rsidR="00997CBA">
              <w:rPr>
                <w:noProof/>
                <w:webHidden/>
              </w:rPr>
              <w:fldChar w:fldCharType="begin"/>
            </w:r>
            <w:r w:rsidR="00997CBA">
              <w:rPr>
                <w:noProof/>
                <w:webHidden/>
              </w:rPr>
              <w:instrText xml:space="preserve"> PAGEREF _Toc91548316 \h </w:instrText>
            </w:r>
            <w:r w:rsidR="00997CBA">
              <w:rPr>
                <w:noProof/>
                <w:webHidden/>
              </w:rPr>
            </w:r>
            <w:r w:rsidR="00997CBA">
              <w:rPr>
                <w:noProof/>
                <w:webHidden/>
              </w:rPr>
              <w:fldChar w:fldCharType="separate"/>
            </w:r>
            <w:r w:rsidR="00383437">
              <w:rPr>
                <w:noProof/>
                <w:webHidden/>
              </w:rPr>
              <w:t>30</w:t>
            </w:r>
            <w:r w:rsidR="00997CBA">
              <w:rPr>
                <w:noProof/>
                <w:webHidden/>
              </w:rPr>
              <w:fldChar w:fldCharType="end"/>
            </w:r>
          </w:hyperlink>
        </w:p>
        <w:p w14:paraId="055D1B74" w14:textId="084A2074"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17" w:history="1">
            <w:r w:rsidR="00997CBA" w:rsidRPr="002F3CDC">
              <w:rPr>
                <w:rStyle w:val="Hipervnculo"/>
                <w:rFonts w:cs="Times New Roman"/>
                <w:noProof/>
              </w:rPr>
              <w:t>2.2.1.</w:t>
            </w:r>
            <w:r w:rsidR="00997CBA">
              <w:rPr>
                <w:rFonts w:asciiTheme="minorHAnsi" w:eastAsiaTheme="minorEastAsia" w:hAnsiTheme="minorHAnsi"/>
                <w:noProof/>
                <w:sz w:val="22"/>
                <w:lang w:val="es-MX" w:eastAsia="es-MX"/>
              </w:rPr>
              <w:tab/>
            </w:r>
            <w:r w:rsidR="00997CBA" w:rsidRPr="002F3CDC">
              <w:rPr>
                <w:rStyle w:val="Hipervnculo"/>
                <w:rFonts w:cs="Times New Roman"/>
                <w:noProof/>
              </w:rPr>
              <w:t>Transformaciones en la estructura sectorial de EE. UU.</w:t>
            </w:r>
            <w:r w:rsidR="00997CBA">
              <w:rPr>
                <w:noProof/>
                <w:webHidden/>
              </w:rPr>
              <w:tab/>
            </w:r>
            <w:r w:rsidR="00997CBA">
              <w:rPr>
                <w:noProof/>
                <w:webHidden/>
              </w:rPr>
              <w:fldChar w:fldCharType="begin"/>
            </w:r>
            <w:r w:rsidR="00997CBA">
              <w:rPr>
                <w:noProof/>
                <w:webHidden/>
              </w:rPr>
              <w:instrText xml:space="preserve"> PAGEREF _Toc91548317 \h </w:instrText>
            </w:r>
            <w:r w:rsidR="00997CBA">
              <w:rPr>
                <w:noProof/>
                <w:webHidden/>
              </w:rPr>
            </w:r>
            <w:r w:rsidR="00997CBA">
              <w:rPr>
                <w:noProof/>
                <w:webHidden/>
              </w:rPr>
              <w:fldChar w:fldCharType="separate"/>
            </w:r>
            <w:r w:rsidR="00383437">
              <w:rPr>
                <w:noProof/>
                <w:webHidden/>
              </w:rPr>
              <w:t>31</w:t>
            </w:r>
            <w:r w:rsidR="00997CBA">
              <w:rPr>
                <w:noProof/>
                <w:webHidden/>
              </w:rPr>
              <w:fldChar w:fldCharType="end"/>
            </w:r>
          </w:hyperlink>
        </w:p>
        <w:p w14:paraId="5FF2F433" w14:textId="06D56DA7" w:rsidR="00997CBA" w:rsidRDefault="0019619D">
          <w:pPr>
            <w:pStyle w:val="TDC3"/>
            <w:tabs>
              <w:tab w:val="left" w:pos="1320"/>
              <w:tab w:val="right" w:leader="dot" w:pos="9089"/>
            </w:tabs>
            <w:rPr>
              <w:rFonts w:asciiTheme="minorHAnsi" w:eastAsiaTheme="minorEastAsia" w:hAnsiTheme="minorHAnsi"/>
              <w:noProof/>
              <w:sz w:val="22"/>
              <w:lang w:val="es-MX" w:eastAsia="es-MX"/>
            </w:rPr>
          </w:pPr>
          <w:hyperlink w:anchor="_Toc91548318" w:history="1">
            <w:r w:rsidR="00997CBA" w:rsidRPr="002F3CDC">
              <w:rPr>
                <w:rStyle w:val="Hipervnculo"/>
                <w:rFonts w:cs="Times New Roman"/>
                <w:noProof/>
              </w:rPr>
              <w:t>2.2.2.</w:t>
            </w:r>
            <w:r w:rsidR="00997CBA">
              <w:rPr>
                <w:rFonts w:asciiTheme="minorHAnsi" w:eastAsiaTheme="minorEastAsia" w:hAnsiTheme="minorHAnsi"/>
                <w:noProof/>
                <w:sz w:val="22"/>
                <w:lang w:val="es-MX" w:eastAsia="es-MX"/>
              </w:rPr>
              <w:tab/>
            </w:r>
            <w:r w:rsidR="00997CBA" w:rsidRPr="002F3CDC">
              <w:rPr>
                <w:rStyle w:val="Hipervnculo"/>
                <w:rFonts w:cs="Times New Roman"/>
                <w:noProof/>
              </w:rPr>
              <w:t>Empleo, salario, inflación y distribución del ingreso</w:t>
            </w:r>
            <w:r w:rsidR="00997CBA">
              <w:rPr>
                <w:noProof/>
                <w:webHidden/>
              </w:rPr>
              <w:tab/>
            </w:r>
            <w:r w:rsidR="00997CBA">
              <w:rPr>
                <w:noProof/>
                <w:webHidden/>
              </w:rPr>
              <w:fldChar w:fldCharType="begin"/>
            </w:r>
            <w:r w:rsidR="00997CBA">
              <w:rPr>
                <w:noProof/>
                <w:webHidden/>
              </w:rPr>
              <w:instrText xml:space="preserve"> PAGEREF _Toc91548318 \h </w:instrText>
            </w:r>
            <w:r w:rsidR="00997CBA">
              <w:rPr>
                <w:noProof/>
                <w:webHidden/>
              </w:rPr>
            </w:r>
            <w:r w:rsidR="00997CBA">
              <w:rPr>
                <w:noProof/>
                <w:webHidden/>
              </w:rPr>
              <w:fldChar w:fldCharType="separate"/>
            </w:r>
            <w:r w:rsidR="00383437">
              <w:rPr>
                <w:noProof/>
                <w:webHidden/>
              </w:rPr>
              <w:t>32</w:t>
            </w:r>
            <w:r w:rsidR="00997CBA">
              <w:rPr>
                <w:noProof/>
                <w:webHidden/>
              </w:rPr>
              <w:fldChar w:fldCharType="end"/>
            </w:r>
          </w:hyperlink>
        </w:p>
        <w:p w14:paraId="068F382D" w14:textId="54F85265" w:rsidR="00997CBA" w:rsidRDefault="0019619D">
          <w:pPr>
            <w:pStyle w:val="TDC2"/>
            <w:tabs>
              <w:tab w:val="left" w:pos="880"/>
              <w:tab w:val="right" w:leader="dot" w:pos="9089"/>
            </w:tabs>
            <w:rPr>
              <w:rFonts w:asciiTheme="minorHAnsi" w:eastAsiaTheme="minorEastAsia" w:hAnsiTheme="minorHAnsi"/>
              <w:noProof/>
              <w:sz w:val="22"/>
              <w:lang w:val="es-MX" w:eastAsia="es-MX"/>
            </w:rPr>
          </w:pPr>
          <w:hyperlink w:anchor="_Toc91548319" w:history="1">
            <w:r w:rsidR="00997CBA" w:rsidRPr="002F3CDC">
              <w:rPr>
                <w:rStyle w:val="Hipervnculo"/>
                <w:rFonts w:cs="Times New Roman"/>
                <w:noProof/>
              </w:rPr>
              <w:t>2.3.</w:t>
            </w:r>
            <w:r w:rsidR="00997CBA">
              <w:rPr>
                <w:rFonts w:asciiTheme="minorHAnsi" w:eastAsiaTheme="minorEastAsia" w:hAnsiTheme="minorHAnsi"/>
                <w:noProof/>
                <w:sz w:val="22"/>
                <w:lang w:val="es-MX" w:eastAsia="es-MX"/>
              </w:rPr>
              <w:tab/>
            </w:r>
            <w:r w:rsidR="00997CBA" w:rsidRPr="002F3CDC">
              <w:rPr>
                <w:rStyle w:val="Hipervnculo"/>
                <w:rFonts w:cs="Times New Roman"/>
                <w:noProof/>
              </w:rPr>
              <w:t>Periodo 1991 – 2010</w:t>
            </w:r>
            <w:r w:rsidR="00997CBA">
              <w:rPr>
                <w:noProof/>
                <w:webHidden/>
              </w:rPr>
              <w:tab/>
            </w:r>
            <w:r w:rsidR="00997CBA">
              <w:rPr>
                <w:noProof/>
                <w:webHidden/>
              </w:rPr>
              <w:fldChar w:fldCharType="begin"/>
            </w:r>
            <w:r w:rsidR="00997CBA">
              <w:rPr>
                <w:noProof/>
                <w:webHidden/>
              </w:rPr>
              <w:instrText xml:space="preserve"> PAGEREF _Toc91548319 \h </w:instrText>
            </w:r>
            <w:r w:rsidR="00997CBA">
              <w:rPr>
                <w:noProof/>
                <w:webHidden/>
              </w:rPr>
            </w:r>
            <w:r w:rsidR="00997CBA">
              <w:rPr>
                <w:noProof/>
                <w:webHidden/>
              </w:rPr>
              <w:fldChar w:fldCharType="separate"/>
            </w:r>
            <w:r w:rsidR="00383437">
              <w:rPr>
                <w:noProof/>
                <w:webHidden/>
              </w:rPr>
              <w:t>33</w:t>
            </w:r>
            <w:r w:rsidR="00997CBA">
              <w:rPr>
                <w:noProof/>
                <w:webHidden/>
              </w:rPr>
              <w:fldChar w:fldCharType="end"/>
            </w:r>
          </w:hyperlink>
        </w:p>
        <w:p w14:paraId="3F6ABC30" w14:textId="56C5AF1A" w:rsidR="00997CBA" w:rsidRDefault="0019619D">
          <w:pPr>
            <w:pStyle w:val="TDC2"/>
            <w:tabs>
              <w:tab w:val="left" w:pos="880"/>
              <w:tab w:val="right" w:leader="dot" w:pos="9089"/>
            </w:tabs>
            <w:rPr>
              <w:rFonts w:asciiTheme="minorHAnsi" w:eastAsiaTheme="minorEastAsia" w:hAnsiTheme="minorHAnsi"/>
              <w:noProof/>
              <w:sz w:val="22"/>
              <w:lang w:val="es-MX" w:eastAsia="es-MX"/>
            </w:rPr>
          </w:pPr>
          <w:hyperlink w:anchor="_Toc91548320" w:history="1">
            <w:r w:rsidR="00997CBA" w:rsidRPr="002F3CDC">
              <w:rPr>
                <w:rStyle w:val="Hipervnculo"/>
                <w:rFonts w:eastAsia="Calibri Light" w:cs="Times New Roman"/>
                <w:noProof/>
              </w:rPr>
              <w:t>2.4.</w:t>
            </w:r>
            <w:r w:rsidR="00997CBA">
              <w:rPr>
                <w:rFonts w:asciiTheme="minorHAnsi" w:eastAsiaTheme="minorEastAsia" w:hAnsiTheme="minorHAnsi"/>
                <w:noProof/>
                <w:sz w:val="22"/>
                <w:lang w:val="es-MX" w:eastAsia="es-MX"/>
              </w:rPr>
              <w:tab/>
            </w:r>
            <w:r w:rsidR="00997CBA" w:rsidRPr="002F3CDC">
              <w:rPr>
                <w:rStyle w:val="Hipervnculo"/>
                <w:rFonts w:cs="Times New Roman"/>
                <w:noProof/>
              </w:rPr>
              <w:t>Periodo 2011 – 2015</w:t>
            </w:r>
            <w:r w:rsidR="00997CBA">
              <w:rPr>
                <w:noProof/>
                <w:webHidden/>
              </w:rPr>
              <w:tab/>
            </w:r>
            <w:r w:rsidR="00997CBA">
              <w:rPr>
                <w:noProof/>
                <w:webHidden/>
              </w:rPr>
              <w:fldChar w:fldCharType="begin"/>
            </w:r>
            <w:r w:rsidR="00997CBA">
              <w:rPr>
                <w:noProof/>
                <w:webHidden/>
              </w:rPr>
              <w:instrText xml:space="preserve"> PAGEREF _Toc91548320 \h </w:instrText>
            </w:r>
            <w:r w:rsidR="00997CBA">
              <w:rPr>
                <w:noProof/>
                <w:webHidden/>
              </w:rPr>
            </w:r>
            <w:r w:rsidR="00997CBA">
              <w:rPr>
                <w:noProof/>
                <w:webHidden/>
              </w:rPr>
              <w:fldChar w:fldCharType="separate"/>
            </w:r>
            <w:r w:rsidR="00383437">
              <w:rPr>
                <w:noProof/>
                <w:webHidden/>
              </w:rPr>
              <w:t>35</w:t>
            </w:r>
            <w:r w:rsidR="00997CBA">
              <w:rPr>
                <w:noProof/>
                <w:webHidden/>
              </w:rPr>
              <w:fldChar w:fldCharType="end"/>
            </w:r>
          </w:hyperlink>
        </w:p>
        <w:p w14:paraId="7CC24CDC" w14:textId="1143E872" w:rsidR="00997CBA" w:rsidRDefault="0019619D">
          <w:pPr>
            <w:pStyle w:val="TDC1"/>
            <w:rPr>
              <w:rFonts w:asciiTheme="minorHAnsi" w:eastAsiaTheme="minorEastAsia" w:hAnsiTheme="minorHAnsi"/>
              <w:noProof/>
              <w:sz w:val="22"/>
              <w:lang w:val="es-MX" w:eastAsia="es-MX"/>
            </w:rPr>
          </w:pPr>
          <w:hyperlink w:anchor="_Toc91548321" w:history="1">
            <w:r w:rsidR="00997CBA" w:rsidRPr="002F3CDC">
              <w:rPr>
                <w:rStyle w:val="Hipervnculo"/>
                <w:rFonts w:cs="Times New Roman"/>
                <w:noProof/>
              </w:rPr>
              <w:t>CONCLUSIONES</w:t>
            </w:r>
            <w:r w:rsidR="00997CBA">
              <w:rPr>
                <w:noProof/>
                <w:webHidden/>
              </w:rPr>
              <w:tab/>
            </w:r>
            <w:r w:rsidR="00997CBA">
              <w:rPr>
                <w:noProof/>
                <w:webHidden/>
              </w:rPr>
              <w:fldChar w:fldCharType="begin"/>
            </w:r>
            <w:r w:rsidR="00997CBA">
              <w:rPr>
                <w:noProof/>
                <w:webHidden/>
              </w:rPr>
              <w:instrText xml:space="preserve"> PAGEREF _Toc91548321 \h </w:instrText>
            </w:r>
            <w:r w:rsidR="00997CBA">
              <w:rPr>
                <w:noProof/>
                <w:webHidden/>
              </w:rPr>
            </w:r>
            <w:r w:rsidR="00997CBA">
              <w:rPr>
                <w:noProof/>
                <w:webHidden/>
              </w:rPr>
              <w:fldChar w:fldCharType="separate"/>
            </w:r>
            <w:r w:rsidR="00383437">
              <w:rPr>
                <w:noProof/>
                <w:webHidden/>
              </w:rPr>
              <w:t>38</w:t>
            </w:r>
            <w:r w:rsidR="00997CBA">
              <w:rPr>
                <w:noProof/>
                <w:webHidden/>
              </w:rPr>
              <w:fldChar w:fldCharType="end"/>
            </w:r>
          </w:hyperlink>
        </w:p>
        <w:p w14:paraId="450B8271" w14:textId="2891D4C7" w:rsidR="00997CBA" w:rsidRDefault="0019619D">
          <w:pPr>
            <w:pStyle w:val="TDC1"/>
            <w:rPr>
              <w:rFonts w:asciiTheme="minorHAnsi" w:eastAsiaTheme="minorEastAsia" w:hAnsiTheme="minorHAnsi"/>
              <w:noProof/>
              <w:sz w:val="22"/>
              <w:lang w:val="es-MX" w:eastAsia="es-MX"/>
            </w:rPr>
          </w:pPr>
          <w:hyperlink w:anchor="_Toc91548322" w:history="1">
            <w:r w:rsidR="00997CBA" w:rsidRPr="002F3CDC">
              <w:rPr>
                <w:rStyle w:val="Hipervnculo"/>
                <w:rFonts w:cs="Times New Roman"/>
                <w:noProof/>
                <w:lang w:val="es-ES"/>
              </w:rPr>
              <w:t>REFERENCIAS BIBLIOGRÁFICAS</w:t>
            </w:r>
            <w:r w:rsidR="00997CBA">
              <w:rPr>
                <w:noProof/>
                <w:webHidden/>
              </w:rPr>
              <w:tab/>
            </w:r>
            <w:r w:rsidR="00997CBA">
              <w:rPr>
                <w:noProof/>
                <w:webHidden/>
              </w:rPr>
              <w:fldChar w:fldCharType="begin"/>
            </w:r>
            <w:r w:rsidR="00997CBA">
              <w:rPr>
                <w:noProof/>
                <w:webHidden/>
              </w:rPr>
              <w:instrText xml:space="preserve"> PAGEREF _Toc91548322 \h </w:instrText>
            </w:r>
            <w:r w:rsidR="00997CBA">
              <w:rPr>
                <w:noProof/>
                <w:webHidden/>
              </w:rPr>
            </w:r>
            <w:r w:rsidR="00997CBA">
              <w:rPr>
                <w:noProof/>
                <w:webHidden/>
              </w:rPr>
              <w:fldChar w:fldCharType="separate"/>
            </w:r>
            <w:r w:rsidR="00383437">
              <w:rPr>
                <w:noProof/>
                <w:webHidden/>
              </w:rPr>
              <w:t>40</w:t>
            </w:r>
            <w:r w:rsidR="00997CBA">
              <w:rPr>
                <w:noProof/>
                <w:webHidden/>
              </w:rPr>
              <w:fldChar w:fldCharType="end"/>
            </w:r>
          </w:hyperlink>
        </w:p>
        <w:p w14:paraId="6597FFE4" w14:textId="7E5A62D0" w:rsidR="00997CBA" w:rsidRDefault="0019619D">
          <w:pPr>
            <w:pStyle w:val="TDC1"/>
            <w:rPr>
              <w:rFonts w:asciiTheme="minorHAnsi" w:eastAsiaTheme="minorEastAsia" w:hAnsiTheme="minorHAnsi"/>
              <w:noProof/>
              <w:sz w:val="22"/>
              <w:lang w:val="es-MX" w:eastAsia="es-MX"/>
            </w:rPr>
          </w:pPr>
          <w:hyperlink w:anchor="_Toc91548323" w:history="1">
            <w:r w:rsidR="00997CBA" w:rsidRPr="002F3CDC">
              <w:rPr>
                <w:rStyle w:val="Hipervnculo"/>
                <w:rFonts w:cs="Times New Roman"/>
                <w:noProof/>
              </w:rPr>
              <w:t>ANEXOS</w:t>
            </w:r>
            <w:r w:rsidR="00997CBA">
              <w:rPr>
                <w:noProof/>
                <w:webHidden/>
              </w:rPr>
              <w:tab/>
            </w:r>
            <w:r w:rsidR="00997CBA">
              <w:rPr>
                <w:noProof/>
                <w:webHidden/>
              </w:rPr>
              <w:fldChar w:fldCharType="begin"/>
            </w:r>
            <w:r w:rsidR="00997CBA">
              <w:rPr>
                <w:noProof/>
                <w:webHidden/>
              </w:rPr>
              <w:instrText xml:space="preserve"> PAGEREF _Toc91548323 \h </w:instrText>
            </w:r>
            <w:r w:rsidR="00997CBA">
              <w:rPr>
                <w:noProof/>
                <w:webHidden/>
              </w:rPr>
            </w:r>
            <w:r w:rsidR="00997CBA">
              <w:rPr>
                <w:noProof/>
                <w:webHidden/>
              </w:rPr>
              <w:fldChar w:fldCharType="separate"/>
            </w:r>
            <w:r w:rsidR="00383437">
              <w:rPr>
                <w:noProof/>
                <w:webHidden/>
              </w:rPr>
              <w:t>42</w:t>
            </w:r>
            <w:r w:rsidR="00997CBA">
              <w:rPr>
                <w:noProof/>
                <w:webHidden/>
              </w:rPr>
              <w:fldChar w:fldCharType="end"/>
            </w:r>
          </w:hyperlink>
        </w:p>
        <w:p w14:paraId="6551C185" w14:textId="3EF4093E" w:rsidR="00A2605C" w:rsidRDefault="0073053F" w:rsidP="009B4A7C">
          <w:pPr>
            <w:pStyle w:val="TDC1"/>
            <w:tabs>
              <w:tab w:val="right" w:leader="dot" w:pos="8835"/>
            </w:tabs>
            <w:jc w:val="both"/>
            <w:rPr>
              <w:rFonts w:eastAsia="Calibri" w:cs="Arial"/>
              <w:szCs w:val="24"/>
              <w:lang w:val="es-MX" w:eastAsia="es-MX"/>
            </w:rPr>
          </w:pPr>
          <w:r>
            <w:fldChar w:fldCharType="end"/>
          </w:r>
        </w:p>
      </w:sdtContent>
    </w:sdt>
    <w:p w14:paraId="79E2413A" w14:textId="5C144402" w:rsidR="00AC7BC1" w:rsidRDefault="00AC7BC1" w:rsidP="00D975AB">
      <w:pPr>
        <w:tabs>
          <w:tab w:val="right" w:leader="dot" w:pos="8835"/>
        </w:tabs>
        <w:jc w:val="both"/>
        <w:rPr>
          <w:rFonts w:eastAsia="Calibri" w:cs="Arial"/>
          <w:szCs w:val="24"/>
          <w:lang w:val="es-MX" w:eastAsia="es-MX"/>
        </w:rPr>
      </w:pPr>
    </w:p>
    <w:p w14:paraId="562B25AF" w14:textId="1FA3831F" w:rsidR="5A181446" w:rsidRDefault="5A181446" w:rsidP="00D975AB">
      <w:pPr>
        <w:tabs>
          <w:tab w:val="right" w:leader="dot" w:pos="8835"/>
        </w:tabs>
        <w:jc w:val="both"/>
        <w:rPr>
          <w:rFonts w:eastAsia="Calibri" w:cs="Arial"/>
          <w:szCs w:val="24"/>
          <w:lang w:val="es-MX" w:eastAsia="es-MX"/>
        </w:rPr>
      </w:pPr>
    </w:p>
    <w:p w14:paraId="26A6FC94" w14:textId="04A8FDFC" w:rsidR="00946D38" w:rsidRPr="00103100" w:rsidRDefault="00946D38" w:rsidP="00D0694C">
      <w:pPr>
        <w:pStyle w:val="Ttulo1"/>
        <w:numPr>
          <w:ilvl w:val="0"/>
          <w:numId w:val="0"/>
        </w:numPr>
        <w:ind w:left="432"/>
      </w:pPr>
      <w:bookmarkStart w:id="0" w:name="_Toc91548290"/>
      <w:r w:rsidRPr="00103100">
        <w:lastRenderedPageBreak/>
        <w:t>PRESENTACIÓN</w:t>
      </w:r>
      <w:bookmarkEnd w:id="0"/>
    </w:p>
    <w:p w14:paraId="682150FC" w14:textId="06076DC2" w:rsidR="7A2F3A24" w:rsidRPr="00997CBA" w:rsidRDefault="00324246" w:rsidP="00D0694C">
      <w:pPr>
        <w:pStyle w:val="APAPrrafo"/>
        <w:jc w:val="both"/>
        <w:rPr>
          <w:rFonts w:cs="Times New Roman"/>
          <w:lang w:val="es-MX"/>
        </w:rPr>
      </w:pPr>
      <w:r w:rsidRPr="00D0694C">
        <w:rPr>
          <w:lang w:val="es-MX"/>
        </w:rPr>
        <w:t>El objetivo del presente trabajo de investigación es caracterizar el crecimiento económico de los Estados Unidos para el periodo 1950</w:t>
      </w:r>
      <w:r w:rsidR="4CCEFD73" w:rsidRPr="00D0694C">
        <w:rPr>
          <w:lang w:val="es-MX"/>
        </w:rPr>
        <w:t xml:space="preserve"> al </w:t>
      </w:r>
      <w:r w:rsidRPr="00D0694C">
        <w:rPr>
          <w:lang w:val="es-MX"/>
        </w:rPr>
        <w:t xml:space="preserve">2019. A través de la revisión de literatura, sobre las regularidades empíricas (hechos estilizados del crecimiento económico) que se observaron en el periodo de análisis para </w:t>
      </w:r>
      <w:r w:rsidR="07537E65" w:rsidRPr="00D0694C">
        <w:rPr>
          <w:lang w:val="es-MX"/>
        </w:rPr>
        <w:t>la economía de Estados Unidos.</w:t>
      </w:r>
      <w:r w:rsidRPr="00D0694C">
        <w:rPr>
          <w:lang w:val="es-MX"/>
        </w:rPr>
        <w:t xml:space="preserve"> Donde la investigación se circunscribe en dos capítulos.</w:t>
      </w:r>
    </w:p>
    <w:p w14:paraId="131D7AB0" w14:textId="3D70A70D" w:rsidR="29A51E96" w:rsidRPr="00997CBA" w:rsidRDefault="04525B47" w:rsidP="00D0694C">
      <w:pPr>
        <w:pStyle w:val="APAPrrafo"/>
        <w:jc w:val="both"/>
        <w:rPr>
          <w:rFonts w:cs="Times New Roman"/>
          <w:szCs w:val="24"/>
        </w:rPr>
      </w:pPr>
      <w:r w:rsidRPr="00997CBA">
        <w:rPr>
          <w:rFonts w:cs="Times New Roman"/>
          <w:lang w:val="es-MX"/>
        </w:rPr>
        <w:t xml:space="preserve">En el primer capítulo se hace referencia a la situación económica, social, tecnológica, investigación y desarrollo para el periodo 2015 al 2019, y ello se hizo un desglose mediante el análisis de la situación económica, la economía de EEUU depende básicamente del sector servicios (78% PBI), el crecimiento de la población es cada vez menor, posee un alto índice de desarrollo humano asociado a una mayor esperanza de vida y menor tasa de mortalidad, en el campo de la investigación y desarrollo </w:t>
      </w:r>
      <w:r w:rsidR="0C30A27B" w:rsidRPr="00997CBA">
        <w:rPr>
          <w:rFonts w:cs="Times New Roman"/>
          <w:lang w:val="es-MX"/>
        </w:rPr>
        <w:t>EEUU</w:t>
      </w:r>
      <w:r w:rsidRPr="00997CBA">
        <w:rPr>
          <w:rFonts w:cs="Times New Roman"/>
          <w:lang w:val="es-MX"/>
        </w:rPr>
        <w:t xml:space="preserve"> es </w:t>
      </w:r>
      <w:r>
        <w:t>uno de los países líderes por gasto bruto en investigación y desarrollo en todo el mundo para el 2019</w:t>
      </w:r>
      <w:r w:rsidR="52A04923">
        <w:t xml:space="preserve"> </w:t>
      </w:r>
      <w:r w:rsidR="03A4598C">
        <w:t>(2.88% PBI</w:t>
      </w:r>
      <w:r w:rsidR="344CA888">
        <w:t xml:space="preserve">), Estados Unidos </w:t>
      </w:r>
      <w:r w:rsidR="086068BA">
        <w:t xml:space="preserve">maneja una tecnología moderna debido a la </w:t>
      </w:r>
      <w:r w:rsidR="0E471E21">
        <w:t>industrialización y</w:t>
      </w:r>
      <w:r w:rsidR="538B8718">
        <w:t xml:space="preserve"> </w:t>
      </w:r>
      <w:r w:rsidR="0C4E2A93">
        <w:t>finalmente</w:t>
      </w:r>
      <w:r w:rsidR="538B8718">
        <w:t xml:space="preserve"> en el comercio internacional </w:t>
      </w:r>
      <w:r w:rsidR="4F24AD91">
        <w:t>EEUU</w:t>
      </w:r>
      <w:r w:rsidR="3BF5A00D">
        <w:t xml:space="preserve"> </w:t>
      </w:r>
      <w:r w:rsidR="237B6B79">
        <w:t xml:space="preserve">es </w:t>
      </w:r>
      <w:r w:rsidR="3BF5A00D">
        <w:t>el</w:t>
      </w:r>
      <w:r w:rsidR="3F9FCCB8">
        <w:t xml:space="preserve"> </w:t>
      </w:r>
      <w:r w:rsidR="4F24AD91">
        <w:t>país</w:t>
      </w:r>
      <w:r w:rsidR="3F9FCCB8">
        <w:t xml:space="preserve"> comercial </w:t>
      </w:r>
      <w:r w:rsidR="4F24AD91">
        <w:t>más</w:t>
      </w:r>
      <w:r w:rsidR="3F9FCCB8">
        <w:t xml:space="preserve"> grande del mundo</w:t>
      </w:r>
      <w:r w:rsidR="542CA41A">
        <w:t xml:space="preserve"> en el 2019 representó el 16</w:t>
      </w:r>
      <w:r w:rsidR="237B6B79">
        <w:t xml:space="preserve"> </w:t>
      </w:r>
      <w:r w:rsidR="542CA41A">
        <w:t>% del PBI mundial.</w:t>
      </w:r>
    </w:p>
    <w:p w14:paraId="7E8427CA" w14:textId="18F3CDE4" w:rsidR="00946D38" w:rsidRPr="00997CBA" w:rsidRDefault="00324246" w:rsidP="00D0694C">
      <w:pPr>
        <w:pStyle w:val="APAPrrafo"/>
        <w:jc w:val="both"/>
        <w:rPr>
          <w:rFonts w:eastAsia="Times New Roman" w:cs="Times New Roman"/>
        </w:rPr>
      </w:pPr>
      <w:r w:rsidRPr="00997CBA">
        <w:rPr>
          <w:rFonts w:cs="Times New Roman"/>
          <w:lang w:val="es-MX"/>
        </w:rPr>
        <w:t>Y en el segundo capítulo se presenta las reformas que han sido implementadas para el crecimiento económico en el periodo 1950</w:t>
      </w:r>
      <w:r w:rsidR="79D9626D" w:rsidRPr="00997CBA">
        <w:rPr>
          <w:rFonts w:cs="Times New Roman"/>
          <w:lang w:val="es-MX"/>
        </w:rPr>
        <w:t xml:space="preserve"> </w:t>
      </w:r>
      <w:r w:rsidR="60113E0C" w:rsidRPr="00997CBA">
        <w:rPr>
          <w:rFonts w:cs="Times New Roman"/>
          <w:lang w:val="es-MX"/>
        </w:rPr>
        <w:t xml:space="preserve">– </w:t>
      </w:r>
      <w:r w:rsidRPr="00997CBA">
        <w:rPr>
          <w:rFonts w:cs="Times New Roman"/>
          <w:lang w:val="es-MX"/>
        </w:rPr>
        <w:t>2015.</w:t>
      </w:r>
      <w:r w:rsidR="19FC8E87" w:rsidRPr="00997CBA">
        <w:rPr>
          <w:rFonts w:cs="Times New Roman"/>
          <w:lang w:val="es-MX"/>
        </w:rPr>
        <w:t xml:space="preserve"> </w:t>
      </w:r>
      <w:r w:rsidR="797FFEE1" w:rsidRPr="00997CBA">
        <w:rPr>
          <w:rFonts w:cs="Times New Roman"/>
          <w:lang w:val="es-MX"/>
        </w:rPr>
        <w:t>L</w:t>
      </w:r>
      <w:r w:rsidR="797FFEE1" w:rsidRPr="797FFEE1">
        <w:rPr>
          <w:szCs w:val="24"/>
          <w:lang w:val="es-MX"/>
        </w:rPr>
        <w:t>as principales reformas</w:t>
      </w:r>
      <w:r w:rsidR="31D63D91" w:rsidRPr="31D63D91">
        <w:rPr>
          <w:szCs w:val="24"/>
          <w:lang w:val="es-MX"/>
        </w:rPr>
        <w:t xml:space="preserve"> </w:t>
      </w:r>
      <w:r w:rsidR="510D2E9B" w:rsidRPr="510D2E9B">
        <w:rPr>
          <w:szCs w:val="24"/>
          <w:lang w:val="es-MX"/>
        </w:rPr>
        <w:t xml:space="preserve">implementadas </w:t>
      </w:r>
      <w:r w:rsidR="3D46E9D9" w:rsidRPr="3D46E9D9">
        <w:rPr>
          <w:szCs w:val="24"/>
          <w:lang w:val="es-MX"/>
        </w:rPr>
        <w:t>en el periodo de análisis fueron</w:t>
      </w:r>
      <w:r w:rsidR="510D2E9B" w:rsidRPr="510D2E9B">
        <w:rPr>
          <w:szCs w:val="24"/>
          <w:lang w:val="es-MX"/>
        </w:rPr>
        <w:t xml:space="preserve">: </w:t>
      </w:r>
      <w:r w:rsidR="341588D4" w:rsidRPr="341588D4">
        <w:rPr>
          <w:szCs w:val="24"/>
          <w:lang w:val="es-MX"/>
        </w:rPr>
        <w:t>reforma</w:t>
      </w:r>
      <w:r w:rsidR="510D2E9B" w:rsidRPr="510D2E9B">
        <w:rPr>
          <w:szCs w:val="24"/>
          <w:lang w:val="es-MX"/>
        </w:rPr>
        <w:t xml:space="preserve"> </w:t>
      </w:r>
      <w:r w:rsidR="31D63D91" w:rsidRPr="31D63D91">
        <w:rPr>
          <w:szCs w:val="24"/>
          <w:lang w:val="es-MX"/>
        </w:rPr>
        <w:t>educativa</w:t>
      </w:r>
      <w:r w:rsidR="3D46E9D9" w:rsidRPr="3D46E9D9">
        <w:rPr>
          <w:szCs w:val="24"/>
          <w:lang w:val="es-MX"/>
        </w:rPr>
        <w:t xml:space="preserve">, </w:t>
      </w:r>
      <w:r w:rsidR="59EF777A" w:rsidRPr="59EF777A">
        <w:rPr>
          <w:szCs w:val="24"/>
          <w:lang w:val="es-MX"/>
        </w:rPr>
        <w:t xml:space="preserve">reforma de inmigración, </w:t>
      </w:r>
      <w:r w:rsidR="33645EF0" w:rsidRPr="33645EF0">
        <w:rPr>
          <w:szCs w:val="24"/>
          <w:lang w:val="es-MX"/>
        </w:rPr>
        <w:t xml:space="preserve">reforma </w:t>
      </w:r>
      <w:r w:rsidR="59EF777A" w:rsidRPr="59EF777A">
        <w:rPr>
          <w:szCs w:val="24"/>
          <w:lang w:val="es-MX"/>
        </w:rPr>
        <w:t>de innovación</w:t>
      </w:r>
      <w:r w:rsidR="0B1AC3E9" w:rsidRPr="0B1AC3E9">
        <w:rPr>
          <w:szCs w:val="24"/>
          <w:lang w:val="es-MX"/>
        </w:rPr>
        <w:t xml:space="preserve">, reforma tributaria, </w:t>
      </w:r>
      <w:r w:rsidR="598ACC69" w:rsidRPr="598ACC69">
        <w:rPr>
          <w:szCs w:val="24"/>
          <w:lang w:val="es-MX"/>
        </w:rPr>
        <w:t>reforma</w:t>
      </w:r>
      <w:r w:rsidR="0B1AC3E9" w:rsidRPr="0B1AC3E9">
        <w:rPr>
          <w:szCs w:val="24"/>
          <w:lang w:val="es-MX"/>
        </w:rPr>
        <w:t xml:space="preserve"> de inversión</w:t>
      </w:r>
      <w:r w:rsidR="3F09F640" w:rsidRPr="3F09F640">
        <w:rPr>
          <w:szCs w:val="24"/>
          <w:lang w:val="es-MX"/>
        </w:rPr>
        <w:t>.</w:t>
      </w:r>
    </w:p>
    <w:p w14:paraId="2EF7777B" w14:textId="77777777" w:rsidR="00946D38" w:rsidRPr="00103100" w:rsidRDefault="00946D38" w:rsidP="00D975AB">
      <w:pPr>
        <w:jc w:val="both"/>
        <w:rPr>
          <w:rFonts w:cs="Roboto"/>
          <w:szCs w:val="24"/>
        </w:rPr>
      </w:pPr>
    </w:p>
    <w:p w14:paraId="66AF7057" w14:textId="77777777" w:rsidR="00946D38" w:rsidRPr="00103100" w:rsidRDefault="00946D38" w:rsidP="00D975AB">
      <w:pPr>
        <w:jc w:val="both"/>
        <w:rPr>
          <w:rFonts w:cs="Roboto"/>
          <w:szCs w:val="24"/>
        </w:rPr>
      </w:pPr>
    </w:p>
    <w:p w14:paraId="2BF7A331" w14:textId="11EF7460" w:rsidR="425E582A" w:rsidRDefault="425E582A" w:rsidP="00D0694C">
      <w:pPr>
        <w:pStyle w:val="APAPrrafo"/>
        <w:ind w:firstLine="0"/>
      </w:pPr>
    </w:p>
    <w:p w14:paraId="7C54A144" w14:textId="1B16645F" w:rsidR="00946D38" w:rsidRPr="00103100" w:rsidRDefault="00946D38" w:rsidP="00D975AB">
      <w:pPr>
        <w:pStyle w:val="Ttulo1"/>
        <w:jc w:val="both"/>
        <w:rPr>
          <w:rFonts w:cs="Roboto"/>
        </w:rPr>
      </w:pPr>
      <w:bookmarkStart w:id="1" w:name="_Toc91548291"/>
      <w:r w:rsidRPr="7F837570">
        <w:rPr>
          <w:rFonts w:cs="Roboto"/>
        </w:rPr>
        <w:lastRenderedPageBreak/>
        <w:t>CAPÍTULO I SITUACIÓN ECONÓMICA, SOCIAL, TECNOLÓGICO, DE</w:t>
      </w:r>
      <w:r w:rsidR="00D30DF9" w:rsidRPr="7F837570">
        <w:rPr>
          <w:rFonts w:cs="Roboto"/>
        </w:rPr>
        <w:t xml:space="preserve"> </w:t>
      </w:r>
      <w:r w:rsidRPr="7F837570">
        <w:rPr>
          <w:rFonts w:cs="Roboto"/>
        </w:rPr>
        <w:t>INVESTIGACIÓN Y DESARROLLO 2015 – 2019</w:t>
      </w:r>
      <w:bookmarkEnd w:id="1"/>
    </w:p>
    <w:p w14:paraId="55BB9806" w14:textId="1F5F5518" w:rsidR="00946D38" w:rsidRPr="00103100" w:rsidRDefault="00946D38" w:rsidP="00D975AB">
      <w:pPr>
        <w:pStyle w:val="Ttulo2"/>
        <w:jc w:val="both"/>
        <w:rPr>
          <w:rFonts w:cs="Roboto"/>
        </w:rPr>
      </w:pPr>
      <w:bookmarkStart w:id="2" w:name="_Toc91548292"/>
      <w:r w:rsidRPr="7F837570">
        <w:rPr>
          <w:rFonts w:cs="Roboto"/>
        </w:rPr>
        <w:t>Situación económica de EE. UU.</w:t>
      </w:r>
      <w:bookmarkEnd w:id="2"/>
    </w:p>
    <w:p w14:paraId="742E5BE3" w14:textId="117F4B0B" w:rsidR="006678C3" w:rsidRDefault="50F9B7A2" w:rsidP="00D975AB">
      <w:pPr>
        <w:pStyle w:val="APAPrrafo"/>
        <w:jc w:val="both"/>
        <w:rPr>
          <w:szCs w:val="24"/>
        </w:rPr>
      </w:pPr>
      <w:r>
        <w:t xml:space="preserve"> </w:t>
      </w:r>
      <w:r w:rsidR="006678C3">
        <w:t xml:space="preserve">Estados Unidos es la economía más grande a nivel mundial, en el 2019 presento un PBI de 21.43 USD billones de dólares y un alto nivel de PBI per cápita de 65,279.53 USD, es altamente industrializado con elevados niveles de productividad y uso de tecnología moderna, es el mayor productor industrial del mundo, y el país comercial más </w:t>
      </w:r>
      <w:r w:rsidR="00281AE2">
        <w:t>grande.</w:t>
      </w:r>
      <w:r w:rsidR="006678C3">
        <w:t xml:space="preserve"> Presenta un incremento sostenido del empleo que genera mayores puestos de trabajo y mejora el nivel de vida de las personas, la esperanza de vida ha ido aumentando ligeramente en la última década por lo cual presenta una menor tasa de desempleo que se ha ido reduciendo desde la crisis del 2008. </w:t>
      </w:r>
    </w:p>
    <w:p w14:paraId="4654198C" w14:textId="64A76FF4" w:rsidR="00023445" w:rsidRDefault="006678C3" w:rsidP="00023445">
      <w:pPr>
        <w:pStyle w:val="APAPrrafo"/>
        <w:jc w:val="both"/>
      </w:pPr>
      <w:r w:rsidRPr="006A1ABA">
        <w:t>Los sectores claves que impulsan el crecimiento económico son la agricultura, manufactura de maquinaria, productos químicos, comida, automóviles, mercado terciario enfocado a las finanzas, seguros, bienes raíces, arriendos y arrendamientos. El país es el mayor productor de gas líquido natural, aluminio, electricidad y energía nuclear. Es también el tercer productor a nivel mundial de petróleo y por años también ha estado desarrollando extracción de gas de lutita a gran escala.</w:t>
      </w:r>
    </w:p>
    <w:p w14:paraId="3E773AEE" w14:textId="77777777" w:rsidR="00023445" w:rsidRPr="00023445" w:rsidRDefault="00023445" w:rsidP="00023445"/>
    <w:p w14:paraId="0427CFD1" w14:textId="093D9070" w:rsidR="00946D38" w:rsidRPr="00103100" w:rsidRDefault="00946D38" w:rsidP="00D975AB">
      <w:pPr>
        <w:pStyle w:val="Ttulo3"/>
        <w:jc w:val="both"/>
        <w:rPr>
          <w:rFonts w:cs="Roboto"/>
        </w:rPr>
      </w:pPr>
      <w:bookmarkStart w:id="3" w:name="_Toc91548293"/>
      <w:r w:rsidRPr="00103100">
        <w:rPr>
          <w:rFonts w:cs="Roboto"/>
        </w:rPr>
        <w:lastRenderedPageBreak/>
        <w:t>Evolución del PBI</w:t>
      </w:r>
      <w:bookmarkEnd w:id="3"/>
    </w:p>
    <w:p w14:paraId="6FEA64DE" w14:textId="54281855" w:rsidR="00757F47" w:rsidRPr="00997CBA" w:rsidRDefault="00317B89" w:rsidP="00D975AB">
      <w:pPr>
        <w:pStyle w:val="TITULOTablasyFiguras"/>
        <w:jc w:val="both"/>
        <w:rPr>
          <w:rFonts w:cs="Times New Roman"/>
          <w:b/>
          <w:bCs/>
          <w:i w:val="0"/>
          <w:iCs w:val="0"/>
          <w:color w:val="auto"/>
        </w:rPr>
      </w:pPr>
      <w:r w:rsidRPr="00997CBA">
        <w:rPr>
          <w:rFonts w:cs="Times New Roman"/>
          <w:b/>
          <w:bCs/>
          <w:i w:val="0"/>
          <w:iCs w:val="0"/>
          <w:color w:val="auto"/>
        </w:rPr>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1</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43F195AF" w14:textId="5F93656F" w:rsidR="50F9B7A2" w:rsidRPr="00997CBA" w:rsidRDefault="00317B89" w:rsidP="00023445">
      <w:pPr>
        <w:pStyle w:val="TITULOTablasyFiguras"/>
        <w:jc w:val="both"/>
        <w:rPr>
          <w:rFonts w:eastAsia="Calibri Light" w:cs="Times New Roman"/>
          <w:color w:val="auto"/>
        </w:rPr>
      </w:pPr>
      <w:r w:rsidRPr="00997CBA">
        <w:rPr>
          <w:rFonts w:cs="Times New Roman"/>
          <w:color w:val="auto"/>
        </w:rPr>
        <w:t>Producto Bruto Interno 2015 – 2019 (</w:t>
      </w:r>
      <w:r w:rsidR="64637A83" w:rsidRPr="00997CBA">
        <w:rPr>
          <w:rFonts w:cs="Times New Roman"/>
          <w:color w:val="auto"/>
        </w:rPr>
        <w:t>Billones</w:t>
      </w:r>
      <w:r w:rsidRPr="00997CBA">
        <w:rPr>
          <w:rFonts w:cs="Times New Roman"/>
          <w:color w:val="auto"/>
        </w:rPr>
        <w:t xml:space="preserve"> USD)</w:t>
      </w:r>
      <w:r w:rsidR="000F5A71" w:rsidRPr="00997CBA">
        <w:rPr>
          <w:rFonts w:cs="Times New Roman"/>
          <w:noProof/>
          <w:color w:val="auto"/>
        </w:rPr>
        <w:drawing>
          <wp:anchor distT="0" distB="0" distL="114300" distR="114300" simplePos="0" relativeHeight="251658244" behindDoc="0" locked="0" layoutInCell="1" allowOverlap="1" wp14:anchorId="389AD5B9" wp14:editId="7D1E59E5">
            <wp:simplePos x="0" y="0"/>
            <wp:positionH relativeFrom="column">
              <wp:posOffset>421005</wp:posOffset>
            </wp:positionH>
            <wp:positionV relativeFrom="paragraph">
              <wp:posOffset>349885</wp:posOffset>
            </wp:positionV>
            <wp:extent cx="4680000" cy="2880000"/>
            <wp:effectExtent l="0" t="0" r="6350" b="15875"/>
            <wp:wrapSquare wrapText="bothSides"/>
            <wp:docPr id="13" name="Gráfico 13">
              <a:extLst xmlns:a="http://schemas.openxmlformats.org/drawingml/2006/main">
                <a:ext uri="{FF2B5EF4-FFF2-40B4-BE49-F238E27FC236}">
                  <a16:creationId xmlns:a16="http://schemas.microsoft.com/office/drawing/2014/main" id="{2C6BA9EF-0375-45B0-B4FB-813AC3C1B2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0AF8582B" w14:textId="77777777" w:rsidR="00A8499A" w:rsidRDefault="00A8499A" w:rsidP="00D975AB">
      <w:pPr>
        <w:pStyle w:val="NotasAPA"/>
        <w:jc w:val="both"/>
        <w:rPr>
          <w:shd w:val="clear" w:color="auto" w:fill="FFFFFF"/>
        </w:rPr>
      </w:pPr>
    </w:p>
    <w:p w14:paraId="67B72B66" w14:textId="77777777" w:rsidR="00A8499A" w:rsidRDefault="00A8499A" w:rsidP="00D975AB">
      <w:pPr>
        <w:pStyle w:val="NotasAPA"/>
        <w:jc w:val="both"/>
        <w:rPr>
          <w:shd w:val="clear" w:color="auto" w:fill="FFFFFF"/>
        </w:rPr>
      </w:pPr>
    </w:p>
    <w:p w14:paraId="6064FB77" w14:textId="77777777" w:rsidR="00A8499A" w:rsidRDefault="00A8499A" w:rsidP="00D975AB">
      <w:pPr>
        <w:pStyle w:val="NotasAPA"/>
        <w:jc w:val="both"/>
        <w:rPr>
          <w:shd w:val="clear" w:color="auto" w:fill="FFFFFF"/>
        </w:rPr>
      </w:pPr>
    </w:p>
    <w:p w14:paraId="06B593F8" w14:textId="77777777" w:rsidR="00A8499A" w:rsidRDefault="00A8499A" w:rsidP="00D975AB">
      <w:pPr>
        <w:pStyle w:val="NotasAPA"/>
        <w:jc w:val="both"/>
        <w:rPr>
          <w:shd w:val="clear" w:color="auto" w:fill="FFFFFF"/>
        </w:rPr>
      </w:pPr>
    </w:p>
    <w:p w14:paraId="651684D3" w14:textId="77777777" w:rsidR="00A8499A" w:rsidRDefault="00A8499A" w:rsidP="00D975AB">
      <w:pPr>
        <w:pStyle w:val="NotasAPA"/>
        <w:jc w:val="both"/>
        <w:rPr>
          <w:shd w:val="clear" w:color="auto" w:fill="FFFFFF"/>
        </w:rPr>
      </w:pPr>
    </w:p>
    <w:p w14:paraId="1312B794" w14:textId="77777777" w:rsidR="00A8499A" w:rsidRDefault="00A8499A" w:rsidP="00D975AB">
      <w:pPr>
        <w:pStyle w:val="NotasAPA"/>
        <w:jc w:val="both"/>
        <w:rPr>
          <w:shd w:val="clear" w:color="auto" w:fill="FFFFFF"/>
        </w:rPr>
      </w:pPr>
    </w:p>
    <w:p w14:paraId="7B4D21A7" w14:textId="77777777" w:rsidR="00A8499A" w:rsidRDefault="00A8499A" w:rsidP="00D975AB">
      <w:pPr>
        <w:pStyle w:val="NotasAPA"/>
        <w:jc w:val="both"/>
        <w:rPr>
          <w:shd w:val="clear" w:color="auto" w:fill="FFFFFF"/>
        </w:rPr>
      </w:pPr>
    </w:p>
    <w:p w14:paraId="7CABD54F" w14:textId="77777777" w:rsidR="00A8499A" w:rsidRDefault="00A8499A" w:rsidP="00D975AB">
      <w:pPr>
        <w:pStyle w:val="NotasAPA"/>
        <w:jc w:val="both"/>
        <w:rPr>
          <w:shd w:val="clear" w:color="auto" w:fill="FFFFFF"/>
        </w:rPr>
      </w:pPr>
    </w:p>
    <w:p w14:paraId="4A082E90" w14:textId="77777777" w:rsidR="00A8499A" w:rsidRDefault="00A8499A" w:rsidP="00D975AB">
      <w:pPr>
        <w:pStyle w:val="NotasAPA"/>
        <w:jc w:val="both"/>
        <w:rPr>
          <w:shd w:val="clear" w:color="auto" w:fill="FFFFFF"/>
        </w:rPr>
      </w:pPr>
    </w:p>
    <w:p w14:paraId="0FE8D6BB" w14:textId="77777777" w:rsidR="00A8499A" w:rsidRDefault="00A8499A" w:rsidP="00D975AB">
      <w:pPr>
        <w:pStyle w:val="NotasAPA"/>
        <w:jc w:val="both"/>
        <w:rPr>
          <w:shd w:val="clear" w:color="auto" w:fill="FFFFFF"/>
        </w:rPr>
      </w:pPr>
    </w:p>
    <w:p w14:paraId="7558412D" w14:textId="36EF2846" w:rsidR="000F5A71" w:rsidRPr="00674043" w:rsidRDefault="000F5A71" w:rsidP="00D975AB">
      <w:pPr>
        <w:pStyle w:val="NotasAPA"/>
        <w:jc w:val="both"/>
        <w:rPr>
          <w:shd w:val="clear" w:color="auto" w:fill="FFFFFF"/>
        </w:rPr>
      </w:pPr>
      <w:r w:rsidRPr="00674043">
        <w:rPr>
          <w:shd w:val="clear" w:color="auto" w:fill="FFFFFF"/>
        </w:rPr>
        <w:t>Nota. Statista, Elaboración propia</w:t>
      </w:r>
    </w:p>
    <w:p w14:paraId="61722F84" w14:textId="78DEE9DB" w:rsidR="00BC483A" w:rsidRDefault="00BC483A" w:rsidP="00D975AB">
      <w:pPr>
        <w:pStyle w:val="APAPrrafo"/>
        <w:tabs>
          <w:tab w:val="left" w:pos="3402"/>
        </w:tabs>
        <w:jc w:val="both"/>
      </w:pPr>
      <w:r w:rsidRPr="00BC483A">
        <w:t>En la figura</w:t>
      </w:r>
      <w:r w:rsidR="00794DD1">
        <w:t xml:space="preserve"> 1</w:t>
      </w:r>
      <w:r w:rsidRPr="00BC483A">
        <w:t xml:space="preserve">, la serie del PBI del año 2015 – 2019, presenta una tendencia creciente debido al buen entorno internacional, impulso de la demanda interna, mayor producción, incremento de las exportaciones donde se obtuvieron ingresos importantes durante el periodo. El producto bruto interno en 2019 ascendió a </w:t>
      </w:r>
      <w:r w:rsidR="22880F8B">
        <w:t>21</w:t>
      </w:r>
      <w:r w:rsidR="6CDFE961">
        <w:t>.43</w:t>
      </w:r>
      <w:r w:rsidRPr="00BC483A">
        <w:t xml:space="preserve"> billones de dólares el nivel más alto de los últimos 4 años.</w:t>
      </w:r>
    </w:p>
    <w:p w14:paraId="193FADFE" w14:textId="4B9E99B9" w:rsidR="77518C2C" w:rsidRDefault="77518C2C" w:rsidP="00D975AB">
      <w:pPr>
        <w:pStyle w:val="APAPrrafo"/>
        <w:tabs>
          <w:tab w:val="left" w:pos="3402"/>
        </w:tabs>
        <w:jc w:val="both"/>
        <w:rPr>
          <w:szCs w:val="24"/>
        </w:rPr>
      </w:pPr>
    </w:p>
    <w:p w14:paraId="72F5BF2B" w14:textId="25DB06D1" w:rsidR="00AA5CC6" w:rsidRPr="00997CBA" w:rsidRDefault="00AA5CC6" w:rsidP="00D975AB">
      <w:pPr>
        <w:pStyle w:val="TITULOTablasyFiguras"/>
        <w:jc w:val="both"/>
        <w:rPr>
          <w:rFonts w:cs="Times New Roman"/>
          <w:b/>
          <w:bCs/>
          <w:i w:val="0"/>
          <w:iCs w:val="0"/>
          <w:color w:val="auto"/>
        </w:rPr>
      </w:pPr>
      <w:r w:rsidRPr="00997CBA">
        <w:rPr>
          <w:rFonts w:cs="Times New Roman"/>
          <w:b/>
          <w:bCs/>
          <w:i w:val="0"/>
          <w:iCs w:val="0"/>
          <w:color w:val="auto"/>
        </w:rPr>
        <w:lastRenderedPageBreak/>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2</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0F2071D7" w14:textId="438C2860" w:rsidR="00AA5CC6" w:rsidRPr="00997CBA" w:rsidRDefault="00AA5CC6" w:rsidP="00D975AB">
      <w:pPr>
        <w:pStyle w:val="TITULOTablasyFiguras"/>
        <w:jc w:val="both"/>
        <w:rPr>
          <w:rFonts w:cs="Times New Roman"/>
          <w:color w:val="auto"/>
        </w:rPr>
      </w:pPr>
      <w:r w:rsidRPr="00997CBA">
        <w:rPr>
          <w:rFonts w:cs="Times New Roman"/>
          <w:color w:val="auto"/>
        </w:rPr>
        <w:t>Tasa de crecimiento del PBI real de 2015 – 2019 (Var %)</w:t>
      </w:r>
    </w:p>
    <w:p w14:paraId="171C21D2" w14:textId="684B075F" w:rsidR="00BC483A" w:rsidRDefault="003F1017" w:rsidP="00D975AB">
      <w:pPr>
        <w:pStyle w:val="APAPrrafo"/>
        <w:tabs>
          <w:tab w:val="left" w:pos="3402"/>
        </w:tabs>
        <w:jc w:val="both"/>
      </w:pPr>
      <w:r>
        <w:rPr>
          <w:noProof/>
        </w:rPr>
        <w:drawing>
          <wp:inline distT="0" distB="0" distL="0" distR="0" wp14:anchorId="2166BAC1" wp14:editId="1DE0A495">
            <wp:extent cx="4680000" cy="2880000"/>
            <wp:effectExtent l="0" t="0" r="6350" b="15875"/>
            <wp:docPr id="8" name="Gráfico 8">
              <a:extLst xmlns:a="http://schemas.openxmlformats.org/drawingml/2006/main">
                <a:ext uri="{FF2B5EF4-FFF2-40B4-BE49-F238E27FC236}">
                  <a16:creationId xmlns:a16="http://schemas.microsoft.com/office/drawing/2014/main" id="{9A918878-660C-44F8-A8A4-7E14F988C5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2B22E77" w14:textId="11D8E728" w:rsidR="00BC483A" w:rsidRPr="007766F3" w:rsidRDefault="00AD03A5" w:rsidP="007766F3">
      <w:pPr>
        <w:pStyle w:val="NotasAPA"/>
        <w:jc w:val="both"/>
        <w:rPr>
          <w:shd w:val="clear" w:color="auto" w:fill="FFFFFF"/>
        </w:rPr>
      </w:pPr>
      <w:r w:rsidRPr="00674043">
        <w:rPr>
          <w:shd w:val="clear" w:color="auto" w:fill="FFFFFF"/>
        </w:rPr>
        <w:t>Nota. Statista, Elaboración propia</w:t>
      </w:r>
    </w:p>
    <w:p w14:paraId="7961E4A4" w14:textId="47D2084B" w:rsidR="50F9B7A2" w:rsidRDefault="50F9B7A2" w:rsidP="00D975AB">
      <w:pPr>
        <w:pStyle w:val="APAPrrafo"/>
        <w:tabs>
          <w:tab w:val="left" w:pos="3402"/>
        </w:tabs>
        <w:jc w:val="both"/>
      </w:pPr>
      <w:r w:rsidRPr="44E38DA2">
        <w:rPr>
          <w:lang w:val="es"/>
        </w:rPr>
        <w:t xml:space="preserve">En </w:t>
      </w:r>
      <w:r w:rsidR="7F837570" w:rsidRPr="7F837570">
        <w:rPr>
          <w:lang w:val="es"/>
        </w:rPr>
        <w:t xml:space="preserve">la figura 2, la serie del </w:t>
      </w:r>
      <w:r w:rsidRPr="44E38DA2">
        <w:rPr>
          <w:lang w:val="es"/>
        </w:rPr>
        <w:t xml:space="preserve">PBI real </w:t>
      </w:r>
      <w:r w:rsidR="7F837570" w:rsidRPr="7F837570">
        <w:rPr>
          <w:lang w:val="es"/>
        </w:rPr>
        <w:t>en el 2015 presentó</w:t>
      </w:r>
      <w:r w:rsidRPr="44E38DA2">
        <w:rPr>
          <w:lang w:val="es"/>
        </w:rPr>
        <w:t xml:space="preserve"> un crecimiento de 2.70 % </w:t>
      </w:r>
      <w:r w:rsidR="7F837570" w:rsidRPr="7F837570">
        <w:rPr>
          <w:lang w:val="es"/>
        </w:rPr>
        <w:t>donde</w:t>
      </w:r>
      <w:r w:rsidRPr="44E38DA2">
        <w:rPr>
          <w:rFonts w:eastAsia="Roboto" w:cs="Roboto"/>
        </w:rPr>
        <w:t xml:space="preserve"> el consumo interno influyo al crecimiento y puso el foco en el sector del consumo como motor del crecimiento en </w:t>
      </w:r>
      <w:r w:rsidR="7F837570" w:rsidRPr="7F837570">
        <w:rPr>
          <w:rFonts w:eastAsia="Roboto" w:cs="Roboto"/>
        </w:rPr>
        <w:t xml:space="preserve">2015 debido al fortalecimiento de la </w:t>
      </w:r>
      <w:r w:rsidRPr="44E38DA2">
        <w:rPr>
          <w:rFonts w:eastAsia="Roboto" w:cs="Roboto"/>
        </w:rPr>
        <w:t xml:space="preserve">confianza de los consumidores como consecuencia de la solidez de las economías familiares </w:t>
      </w:r>
      <w:r w:rsidR="7F837570" w:rsidRPr="7F837570">
        <w:rPr>
          <w:rFonts w:eastAsia="Roboto" w:cs="Roboto"/>
        </w:rPr>
        <w:t>y</w:t>
      </w:r>
      <w:r w:rsidRPr="44E38DA2">
        <w:rPr>
          <w:rFonts w:eastAsia="Roboto" w:cs="Roboto"/>
        </w:rPr>
        <w:t xml:space="preserve"> el entorno de baja inflación</w:t>
      </w:r>
      <w:r w:rsidR="7F837570" w:rsidRPr="7F837570">
        <w:rPr>
          <w:rFonts w:eastAsia="Roboto" w:cs="Roboto"/>
        </w:rPr>
        <w:t>.</w:t>
      </w:r>
    </w:p>
    <w:p w14:paraId="3F4B4E20" w14:textId="047FF0E3" w:rsidR="50F9B7A2" w:rsidRDefault="7F837570" w:rsidP="00A8499A">
      <w:pPr>
        <w:pStyle w:val="APAPrrafo"/>
        <w:jc w:val="both"/>
        <w:rPr>
          <w:szCs w:val="24"/>
        </w:rPr>
      </w:pPr>
      <w:r w:rsidRPr="7F837570">
        <w:rPr>
          <w:lang w:val="es"/>
        </w:rPr>
        <w:t xml:space="preserve">En el año 2016 el PBI real presento un crecimiento de 1.67 % debido al </w:t>
      </w:r>
      <w:r>
        <w:t>respaldo de los gastos en consumo personal y una reactivación de la inversión en viviendas, acompañado de la presión sobre la inversión privada, el comercio exterior y el gasto público. Los factores importantes, como el empleo y el aumento de los ingresos, así como la solidez de los balances y del crecimiento del crédito favorecieron el gasto familiar.</w:t>
      </w:r>
    </w:p>
    <w:p w14:paraId="5FF8DC58" w14:textId="6B71AEFC" w:rsidR="50F9B7A2" w:rsidRDefault="50F9B7A2" w:rsidP="00D975AB">
      <w:pPr>
        <w:pStyle w:val="APAPrrafo"/>
        <w:jc w:val="both"/>
        <w:rPr>
          <w:szCs w:val="24"/>
        </w:rPr>
      </w:pPr>
      <w:r w:rsidRPr="44E38DA2">
        <w:rPr>
          <w:lang w:val="es"/>
        </w:rPr>
        <w:t xml:space="preserve">En el año 2017 el PBI real presento un crecimiento de 2.26% un nivel menor al del 2015, </w:t>
      </w:r>
      <w:r>
        <w:t>el crecimiento mundial contribuyo a la recuperación de las exportaciones, las subidas en los precios del petróleo, aumento de las inversiones en el sector del petróleo y el gas</w:t>
      </w:r>
      <w:r w:rsidR="7F837570">
        <w:t>, el</w:t>
      </w:r>
      <w:r>
        <w:t xml:space="preserve"> transporte </w:t>
      </w:r>
      <w:r>
        <w:lastRenderedPageBreak/>
        <w:t>y otros equipos registraron un crecimiento positivo</w:t>
      </w:r>
      <w:r w:rsidR="7F837570">
        <w:t>.</w:t>
      </w:r>
      <w:r>
        <w:t xml:space="preserve"> El aumento de la demanda mundial y un sector minero en </w:t>
      </w:r>
      <w:r w:rsidR="25C20E2D">
        <w:t xml:space="preserve">recuperación </w:t>
      </w:r>
      <w:r>
        <w:t>provocó un repunte en la actividad manufacturera.</w:t>
      </w:r>
    </w:p>
    <w:p w14:paraId="070BB716" w14:textId="71013056" w:rsidR="1C04C611" w:rsidRPr="007766F3" w:rsidRDefault="50F9B7A2" w:rsidP="007766F3">
      <w:pPr>
        <w:pStyle w:val="APAPrrafo"/>
        <w:jc w:val="both"/>
      </w:pPr>
      <w:r w:rsidRPr="44E38DA2">
        <w:rPr>
          <w:lang w:val="es"/>
        </w:rPr>
        <w:t xml:space="preserve">En el año 2018 el PBI real presento un crecimiento de 2.92 % un nivel mayor al alcanzado en el 2015 de 2.70 %, este crecimiento se atribuye principalmente al impulso fiscal, </w:t>
      </w:r>
      <w:r>
        <w:t xml:space="preserve">exportaciones, la inversión y al incremento del gasto de los consumidores. </w:t>
      </w:r>
    </w:p>
    <w:p w14:paraId="62D94025" w14:textId="4B262365" w:rsidR="1C04C611" w:rsidRPr="007254E0" w:rsidRDefault="50F9B7A2" w:rsidP="007254E0">
      <w:pPr>
        <w:pStyle w:val="APAPrrafo"/>
        <w:jc w:val="both"/>
      </w:pPr>
      <w:r w:rsidRPr="44E38DA2">
        <w:rPr>
          <w:lang w:val="es"/>
        </w:rPr>
        <w:t xml:space="preserve">En el año 2019 el PBI real presento un crecimiento de 2.29 % </w:t>
      </w:r>
      <w:r w:rsidR="7F837570" w:rsidRPr="7F837570">
        <w:rPr>
          <w:lang w:val="es"/>
        </w:rPr>
        <w:t>donde e</w:t>
      </w:r>
      <w:r w:rsidR="7F837570">
        <w:t>l</w:t>
      </w:r>
      <w:r>
        <w:t xml:space="preserve"> consumo, los gastos públicos y la inversión en propiedad intelectual </w:t>
      </w:r>
      <w:r w:rsidR="7F837570">
        <w:t>proporcionaron</w:t>
      </w:r>
      <w:r>
        <w:t xml:space="preserve"> apoyo, contribuyendo con 1.9 %, 0.4 % y 0.3 %, respectivamente</w:t>
      </w:r>
      <w:r w:rsidR="413DFC5C">
        <w:t xml:space="preserve">. </w:t>
      </w:r>
    </w:p>
    <w:p w14:paraId="57473FD6" w14:textId="3E80D1F6" w:rsidR="005800A0" w:rsidRPr="00997CBA" w:rsidRDefault="005800A0" w:rsidP="00D975AB">
      <w:pPr>
        <w:pStyle w:val="TITULOTablasyFiguras"/>
        <w:jc w:val="both"/>
        <w:rPr>
          <w:rFonts w:cs="Times New Roman"/>
          <w:b/>
          <w:bCs/>
          <w:i w:val="0"/>
          <w:iCs w:val="0"/>
          <w:color w:val="auto"/>
        </w:rPr>
      </w:pPr>
      <w:r w:rsidRPr="00997CBA">
        <w:rPr>
          <w:rFonts w:cs="Times New Roman"/>
          <w:b/>
          <w:bCs/>
          <w:i w:val="0"/>
          <w:iCs w:val="0"/>
          <w:color w:val="auto"/>
        </w:rPr>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3</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2474ADC6" w14:textId="0A3D1966" w:rsidR="7F837570" w:rsidRPr="00997CBA" w:rsidRDefault="007254E0" w:rsidP="00D975AB">
      <w:pPr>
        <w:pStyle w:val="TITULOTablasyFiguras"/>
        <w:jc w:val="both"/>
        <w:rPr>
          <w:rFonts w:eastAsia="Calibri Light" w:cs="Times New Roman"/>
          <w:color w:val="auto"/>
          <w:szCs w:val="24"/>
        </w:rPr>
      </w:pPr>
      <w:r w:rsidRPr="00997CBA">
        <w:rPr>
          <w:rFonts w:cs="Times New Roman"/>
          <w:noProof/>
          <w:color w:val="auto"/>
        </w:rPr>
        <w:drawing>
          <wp:anchor distT="0" distB="0" distL="114300" distR="114300" simplePos="0" relativeHeight="251658245" behindDoc="0" locked="0" layoutInCell="1" allowOverlap="1" wp14:anchorId="6F94F5CB" wp14:editId="204DCB62">
            <wp:simplePos x="0" y="0"/>
            <wp:positionH relativeFrom="column">
              <wp:posOffset>398145</wp:posOffset>
            </wp:positionH>
            <wp:positionV relativeFrom="paragraph">
              <wp:posOffset>263525</wp:posOffset>
            </wp:positionV>
            <wp:extent cx="4680000" cy="2880000"/>
            <wp:effectExtent l="0" t="0" r="6350" b="15875"/>
            <wp:wrapSquare wrapText="bothSides"/>
            <wp:docPr id="14" name="Gráfico 14">
              <a:extLst xmlns:a="http://schemas.openxmlformats.org/drawingml/2006/main">
                <a:ext uri="{FF2B5EF4-FFF2-40B4-BE49-F238E27FC236}">
                  <a16:creationId xmlns:a16="http://schemas.microsoft.com/office/drawing/2014/main" id="{F40C8A71-8149-48C4-B373-BB07D4D55F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7F837570" w:rsidRPr="00997CBA">
        <w:rPr>
          <w:rFonts w:cs="Times New Roman"/>
          <w:color w:val="auto"/>
        </w:rPr>
        <w:t>Distribución del PBI por sectores económicos 2015 – 2019 (%)</w:t>
      </w:r>
    </w:p>
    <w:p w14:paraId="4ABDA648" w14:textId="713B47C4" w:rsidR="50F9B7A2" w:rsidRPr="00997CBA" w:rsidRDefault="50F9B7A2" w:rsidP="00D975AB">
      <w:pPr>
        <w:pStyle w:val="TITULOTablasyFiguras"/>
        <w:ind w:left="0"/>
        <w:jc w:val="both"/>
        <w:rPr>
          <w:rFonts w:cs="Times New Roman"/>
          <w:color w:val="auto"/>
        </w:rPr>
      </w:pPr>
    </w:p>
    <w:p w14:paraId="5DEC6FE0" w14:textId="77777777" w:rsidR="00997CBA" w:rsidRDefault="00997CBA" w:rsidP="00D975AB">
      <w:pPr>
        <w:pStyle w:val="NotasAPA"/>
        <w:jc w:val="both"/>
        <w:rPr>
          <w:rFonts w:cs="Times New Roman"/>
          <w:shd w:val="clear" w:color="auto" w:fill="FFFFFF"/>
        </w:rPr>
      </w:pPr>
    </w:p>
    <w:p w14:paraId="7CCEB11F" w14:textId="77777777" w:rsidR="00997CBA" w:rsidRDefault="00997CBA" w:rsidP="00D975AB">
      <w:pPr>
        <w:pStyle w:val="NotasAPA"/>
        <w:jc w:val="both"/>
        <w:rPr>
          <w:rFonts w:cs="Times New Roman"/>
          <w:shd w:val="clear" w:color="auto" w:fill="FFFFFF"/>
        </w:rPr>
      </w:pPr>
    </w:p>
    <w:p w14:paraId="364BE1C6" w14:textId="77777777" w:rsidR="00997CBA" w:rsidRDefault="00997CBA" w:rsidP="00D975AB">
      <w:pPr>
        <w:pStyle w:val="NotasAPA"/>
        <w:jc w:val="both"/>
        <w:rPr>
          <w:rFonts w:cs="Times New Roman"/>
          <w:shd w:val="clear" w:color="auto" w:fill="FFFFFF"/>
        </w:rPr>
      </w:pPr>
    </w:p>
    <w:p w14:paraId="4BB597A6" w14:textId="77777777" w:rsidR="00997CBA" w:rsidRDefault="00997CBA" w:rsidP="00D975AB">
      <w:pPr>
        <w:pStyle w:val="NotasAPA"/>
        <w:jc w:val="both"/>
        <w:rPr>
          <w:rFonts w:cs="Times New Roman"/>
          <w:shd w:val="clear" w:color="auto" w:fill="FFFFFF"/>
        </w:rPr>
      </w:pPr>
    </w:p>
    <w:p w14:paraId="3BD3653A" w14:textId="77777777" w:rsidR="00997CBA" w:rsidRDefault="00997CBA" w:rsidP="00D975AB">
      <w:pPr>
        <w:pStyle w:val="NotasAPA"/>
        <w:jc w:val="both"/>
        <w:rPr>
          <w:rFonts w:cs="Times New Roman"/>
          <w:shd w:val="clear" w:color="auto" w:fill="FFFFFF"/>
        </w:rPr>
      </w:pPr>
    </w:p>
    <w:p w14:paraId="0971D22D" w14:textId="77777777" w:rsidR="00997CBA" w:rsidRDefault="00997CBA" w:rsidP="00D975AB">
      <w:pPr>
        <w:pStyle w:val="NotasAPA"/>
        <w:jc w:val="both"/>
        <w:rPr>
          <w:rFonts w:cs="Times New Roman"/>
          <w:shd w:val="clear" w:color="auto" w:fill="FFFFFF"/>
        </w:rPr>
      </w:pPr>
    </w:p>
    <w:p w14:paraId="7295D467" w14:textId="77777777" w:rsidR="00997CBA" w:rsidRDefault="00997CBA" w:rsidP="00D975AB">
      <w:pPr>
        <w:pStyle w:val="NotasAPA"/>
        <w:jc w:val="both"/>
        <w:rPr>
          <w:rFonts w:cs="Times New Roman"/>
          <w:shd w:val="clear" w:color="auto" w:fill="FFFFFF"/>
        </w:rPr>
      </w:pPr>
    </w:p>
    <w:p w14:paraId="6B3A8D9D" w14:textId="77777777" w:rsidR="00997CBA" w:rsidRDefault="00997CBA" w:rsidP="00D975AB">
      <w:pPr>
        <w:pStyle w:val="NotasAPA"/>
        <w:jc w:val="both"/>
        <w:rPr>
          <w:rFonts w:cs="Times New Roman"/>
          <w:shd w:val="clear" w:color="auto" w:fill="FFFFFF"/>
        </w:rPr>
      </w:pPr>
    </w:p>
    <w:p w14:paraId="7F93CBA1" w14:textId="77777777" w:rsidR="00997CBA" w:rsidRDefault="00997CBA" w:rsidP="00D975AB">
      <w:pPr>
        <w:pStyle w:val="NotasAPA"/>
        <w:jc w:val="both"/>
        <w:rPr>
          <w:rFonts w:cs="Times New Roman"/>
          <w:shd w:val="clear" w:color="auto" w:fill="FFFFFF"/>
        </w:rPr>
      </w:pPr>
    </w:p>
    <w:p w14:paraId="1345ADDC" w14:textId="6D77E653" w:rsidR="005800A0" w:rsidRPr="00997CBA" w:rsidRDefault="00794DD1" w:rsidP="00D975AB">
      <w:pPr>
        <w:pStyle w:val="NotasAPA"/>
        <w:jc w:val="both"/>
        <w:rPr>
          <w:rFonts w:eastAsia="Roboto" w:cs="Times New Roman"/>
        </w:rPr>
      </w:pPr>
      <w:r w:rsidRPr="00674043">
        <w:rPr>
          <w:shd w:val="clear" w:color="auto" w:fill="FFFFFF"/>
        </w:rPr>
        <w:t>Nota. Statista, Elaboración propia</w:t>
      </w:r>
    </w:p>
    <w:p w14:paraId="1BA7D912" w14:textId="135959E3" w:rsidR="7F837570" w:rsidRDefault="7F837570" w:rsidP="00D975AB">
      <w:pPr>
        <w:pStyle w:val="APAPrrafo"/>
        <w:jc w:val="both"/>
        <w:rPr>
          <w:szCs w:val="24"/>
        </w:rPr>
      </w:pPr>
      <w:r>
        <w:t xml:space="preserve">En la figura 3, la serie de distribución del PBI por sectores económicos 2015 – 2019 presenta una apreciación de la distribución de la actividad económica por sectores económicos más influyentes en la economía, siendo los sectores más importantes el de servicios, industria y agricultura. En el año 2019 el sector económico que influyo más en el crecimiento económico </w:t>
      </w:r>
      <w:r>
        <w:lastRenderedPageBreak/>
        <w:t>es el sector servicios con un 76.89 %, industria un 18.64 % y finalmente la agricultura en un 0.86 %.</w:t>
      </w:r>
    </w:p>
    <w:p w14:paraId="714BBF07" w14:textId="75549DCB" w:rsidR="00E54827" w:rsidRPr="00997CBA" w:rsidRDefault="00E54827" w:rsidP="00D975AB">
      <w:pPr>
        <w:pStyle w:val="TITULOTablasyFiguras"/>
        <w:jc w:val="both"/>
        <w:rPr>
          <w:rFonts w:cs="Times New Roman"/>
          <w:b/>
          <w:bCs/>
          <w:i w:val="0"/>
          <w:iCs w:val="0"/>
          <w:color w:val="auto"/>
        </w:rPr>
      </w:pPr>
      <w:r w:rsidRPr="00997CBA">
        <w:rPr>
          <w:rFonts w:cs="Times New Roman"/>
          <w:b/>
          <w:bCs/>
          <w:i w:val="0"/>
          <w:iCs w:val="0"/>
          <w:color w:val="auto"/>
        </w:rPr>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4</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065E563E" w14:textId="2934FFF2" w:rsidR="00E54827" w:rsidRPr="00997CBA" w:rsidRDefault="00E54827" w:rsidP="00D975AB">
      <w:pPr>
        <w:pStyle w:val="TITULOTablasyFiguras"/>
        <w:jc w:val="both"/>
        <w:rPr>
          <w:rFonts w:cs="Times New Roman"/>
          <w:color w:val="auto"/>
        </w:rPr>
      </w:pPr>
      <w:r w:rsidRPr="00997CBA">
        <w:rPr>
          <w:rFonts w:cs="Times New Roman"/>
          <w:color w:val="auto"/>
        </w:rPr>
        <w:t>Producto Bruto Interno per cápita 2015 – 2019 (UMN USD)</w:t>
      </w:r>
    </w:p>
    <w:p w14:paraId="13DEBA61" w14:textId="0AE59D8A" w:rsidR="00DE625C" w:rsidRDefault="000B5349" w:rsidP="00D975AB">
      <w:pPr>
        <w:pStyle w:val="APAPrrafo"/>
        <w:jc w:val="both"/>
        <w:rPr>
          <w:szCs w:val="24"/>
        </w:rPr>
      </w:pPr>
      <w:r>
        <w:rPr>
          <w:noProof/>
        </w:rPr>
        <w:drawing>
          <wp:inline distT="0" distB="0" distL="0" distR="0" wp14:anchorId="25D96477" wp14:editId="3DCD27CF">
            <wp:extent cx="4680000" cy="2880000"/>
            <wp:effectExtent l="0" t="0" r="6350" b="15875"/>
            <wp:docPr id="15" name="Gráfico 15">
              <a:extLst xmlns:a="http://schemas.openxmlformats.org/drawingml/2006/main">
                <a:ext uri="{FF2B5EF4-FFF2-40B4-BE49-F238E27FC236}">
                  <a16:creationId xmlns:a16="http://schemas.microsoft.com/office/drawing/2014/main" id="{433BD70B-1F18-4999-9BA7-E89C43F74A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6BAEC2C" w14:textId="4CB9D0F0" w:rsidR="00984A60" w:rsidRPr="00997CBA" w:rsidRDefault="00984A60" w:rsidP="00D975AB">
      <w:pPr>
        <w:pStyle w:val="NotasAPA"/>
        <w:jc w:val="both"/>
        <w:rPr>
          <w:rFonts w:eastAsia="Roboto" w:cs="Times New Roman"/>
        </w:rPr>
      </w:pPr>
      <w:r>
        <w:t xml:space="preserve">Nota. </w:t>
      </w:r>
      <w:r w:rsidR="7F837570">
        <w:t>Statista, Elaboración propia</w:t>
      </w:r>
    </w:p>
    <w:p w14:paraId="4E9FB01E" w14:textId="43DA0065" w:rsidR="7F837570" w:rsidRDefault="7F837570" w:rsidP="00D975AB">
      <w:pPr>
        <w:pStyle w:val="APAPrrafo"/>
        <w:jc w:val="both"/>
        <w:rPr>
          <w:szCs w:val="24"/>
          <w:lang w:val="es"/>
        </w:rPr>
      </w:pPr>
      <w:r>
        <w:t xml:space="preserve">En la figura 4, la serie del PBI per cápita del año 2015 al 2019 presento una tendencia creciente, lo cual refleja que al pasar los años el nivel de vida y el poder adquisitivo de los ciudadanos es bastante alto y se percibe mayores ingresos por la mayor productividad y especialización de la economía en los sectores de servicios, industria y agricultura. </w:t>
      </w:r>
      <w:r w:rsidRPr="7F837570">
        <w:rPr>
          <w:lang w:val="es"/>
        </w:rPr>
        <w:t xml:space="preserve">En el año 2019 el PBI per cápita fue de $ 65,052 mayor al año 2018 de 62,770 dólares. </w:t>
      </w:r>
    </w:p>
    <w:p w14:paraId="065C4990" w14:textId="1DDDBD58" w:rsidR="00946D38" w:rsidRPr="00103100" w:rsidRDefault="00946D38" w:rsidP="00D975AB">
      <w:pPr>
        <w:pStyle w:val="Ttulo3"/>
        <w:jc w:val="both"/>
      </w:pPr>
      <w:bookmarkStart w:id="4" w:name="_Toc91548294"/>
      <w:r w:rsidRPr="00103100">
        <w:t>Fuerza Laboral</w:t>
      </w:r>
      <w:bookmarkEnd w:id="4"/>
    </w:p>
    <w:p w14:paraId="2CF83D18" w14:textId="5D473B40" w:rsidR="298A5A68" w:rsidRPr="007254E0" w:rsidRDefault="7F837570" w:rsidP="007254E0">
      <w:pPr>
        <w:pStyle w:val="APAPrrafo"/>
        <w:jc w:val="both"/>
        <w:rPr>
          <w:lang w:val="es"/>
        </w:rPr>
      </w:pPr>
      <w:r w:rsidRPr="7F837570">
        <w:rPr>
          <w:lang w:val="es"/>
        </w:rPr>
        <w:t xml:space="preserve">La economía estadounidense se basa esencialmente en servicios. El sector terciario contribuye con más de tres cuartos del PBI (77,4%) y emplea a más de 79% de la fuerza laboral del país. Una gran parte del PBI se compone del sector de finanzas, seguros, bienes raíces, renta </w:t>
      </w:r>
      <w:r w:rsidRPr="7F837570">
        <w:rPr>
          <w:lang w:val="es"/>
        </w:rPr>
        <w:lastRenderedPageBreak/>
        <w:t xml:space="preserve">y arrendamiento (21% en 2019); al igual que de los servicios profesionales y comerciales (12,8%). </w:t>
      </w:r>
    </w:p>
    <w:p w14:paraId="1DB15510" w14:textId="7A116808" w:rsidR="001107FF" w:rsidRPr="00997CBA" w:rsidRDefault="001107FF" w:rsidP="00D975AB">
      <w:pPr>
        <w:pStyle w:val="TITULOTablasyFiguras"/>
        <w:jc w:val="both"/>
        <w:rPr>
          <w:rFonts w:cs="Times New Roman"/>
          <w:b/>
          <w:bCs/>
          <w:i w:val="0"/>
          <w:iCs w:val="0"/>
          <w:color w:val="auto"/>
        </w:rPr>
      </w:pPr>
      <w:r w:rsidRPr="00997CBA">
        <w:rPr>
          <w:rFonts w:cs="Times New Roman"/>
          <w:b/>
          <w:bCs/>
          <w:i w:val="0"/>
          <w:iCs w:val="0"/>
          <w:color w:val="auto"/>
        </w:rPr>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5</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74DBFB71" w14:textId="493FF6F8" w:rsidR="001107FF" w:rsidRPr="00997CBA" w:rsidRDefault="001107FF" w:rsidP="00D975AB">
      <w:pPr>
        <w:pStyle w:val="TITULOTablasyFiguras"/>
        <w:jc w:val="both"/>
        <w:rPr>
          <w:rFonts w:cs="Times New Roman"/>
          <w:color w:val="auto"/>
        </w:rPr>
      </w:pPr>
      <w:r w:rsidRPr="00997CBA">
        <w:rPr>
          <w:rFonts w:cs="Times New Roman"/>
          <w:color w:val="auto"/>
        </w:rPr>
        <w:t xml:space="preserve">Distribución de la mano de obra por sectores económicos 2015 </w:t>
      </w:r>
      <w:r w:rsidR="7F837570" w:rsidRPr="00997CBA">
        <w:rPr>
          <w:rFonts w:cs="Times New Roman"/>
          <w:color w:val="auto"/>
        </w:rPr>
        <w:t>–</w:t>
      </w:r>
      <w:r w:rsidRPr="00997CBA">
        <w:rPr>
          <w:rFonts w:cs="Times New Roman"/>
          <w:color w:val="auto"/>
        </w:rPr>
        <w:t xml:space="preserve"> 2019</w:t>
      </w:r>
      <w:r w:rsidR="7F837570" w:rsidRPr="00997CBA">
        <w:rPr>
          <w:rFonts w:cs="Times New Roman"/>
          <w:color w:val="auto"/>
        </w:rPr>
        <w:t xml:space="preserve"> (%)</w:t>
      </w:r>
    </w:p>
    <w:p w14:paraId="2AFBF91D" w14:textId="1F90AA60" w:rsidR="000C48AC" w:rsidRDefault="000C48AC" w:rsidP="00D975AB">
      <w:pPr>
        <w:pStyle w:val="APAPrrafo"/>
        <w:jc w:val="both"/>
        <w:rPr>
          <w:lang w:val="es"/>
        </w:rPr>
      </w:pPr>
      <w:r>
        <w:rPr>
          <w:noProof/>
        </w:rPr>
        <w:drawing>
          <wp:inline distT="0" distB="0" distL="0" distR="0" wp14:anchorId="0BE4DA61" wp14:editId="5ED89161">
            <wp:extent cx="4680000" cy="2880000"/>
            <wp:effectExtent l="0" t="0" r="6350" b="15875"/>
            <wp:docPr id="16" name="Gráfico 16">
              <a:extLst xmlns:a="http://schemas.openxmlformats.org/drawingml/2006/main">
                <a:ext uri="{FF2B5EF4-FFF2-40B4-BE49-F238E27FC236}">
                  <a16:creationId xmlns:a16="http://schemas.microsoft.com/office/drawing/2014/main" id="{36FB5325-B428-4EE8-A294-4BA783B26C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E6FAA50" w14:textId="77777777" w:rsidR="41041148" w:rsidRDefault="41041148" w:rsidP="00D975AB">
      <w:pPr>
        <w:pStyle w:val="NotasAPA"/>
        <w:jc w:val="both"/>
        <w:rPr>
          <w:i/>
          <w:lang w:val="es"/>
        </w:rPr>
      </w:pPr>
      <w:r w:rsidRPr="41041148">
        <w:rPr>
          <w:lang w:val="es"/>
        </w:rPr>
        <w:t xml:space="preserve"> </w:t>
      </w:r>
      <w:r w:rsidR="00BA7A86" w:rsidRPr="00674043">
        <w:rPr>
          <w:shd w:val="clear" w:color="auto" w:fill="FFFFFF"/>
        </w:rPr>
        <w:t>Nota. Statista, Elaboración propia</w:t>
      </w:r>
    </w:p>
    <w:p w14:paraId="532D7848" w14:textId="0D646425" w:rsidR="7AC99056" w:rsidRDefault="7323C0FA" w:rsidP="00D975AB">
      <w:pPr>
        <w:pStyle w:val="APAPrrafo"/>
        <w:jc w:val="both"/>
        <w:rPr>
          <w:szCs w:val="24"/>
          <w:lang w:val="es"/>
        </w:rPr>
      </w:pPr>
      <w:r w:rsidRPr="7323C0FA">
        <w:rPr>
          <w:lang w:val="es"/>
        </w:rPr>
        <w:t>En la figura 5,</w:t>
      </w:r>
      <w:r w:rsidR="1191F456" w:rsidRPr="1191F456">
        <w:rPr>
          <w:lang w:val="es"/>
        </w:rPr>
        <w:t xml:space="preserve"> </w:t>
      </w:r>
      <w:r w:rsidR="26F53869" w:rsidRPr="26F53869">
        <w:rPr>
          <w:lang w:val="es"/>
        </w:rPr>
        <w:t xml:space="preserve">la distribución de la mano </w:t>
      </w:r>
      <w:r w:rsidR="6AF0A8C6" w:rsidRPr="6AF0A8C6">
        <w:rPr>
          <w:lang w:val="es"/>
        </w:rPr>
        <w:t xml:space="preserve">de obra </w:t>
      </w:r>
      <w:r w:rsidR="516AEAA3" w:rsidRPr="516AEAA3">
        <w:rPr>
          <w:lang w:val="es"/>
        </w:rPr>
        <w:t xml:space="preserve">por sectores </w:t>
      </w:r>
      <w:r w:rsidR="0B611DFC" w:rsidRPr="0B611DFC">
        <w:rPr>
          <w:lang w:val="es"/>
        </w:rPr>
        <w:t>económicos</w:t>
      </w:r>
      <w:r w:rsidR="516AEAA3" w:rsidRPr="516AEAA3">
        <w:rPr>
          <w:lang w:val="es"/>
        </w:rPr>
        <w:t xml:space="preserve"> 2015 –2019 </w:t>
      </w:r>
      <w:r w:rsidR="0B611DFC" w:rsidRPr="0B611DFC">
        <w:rPr>
          <w:lang w:val="es"/>
        </w:rPr>
        <w:t xml:space="preserve">muestra </w:t>
      </w:r>
      <w:r w:rsidR="23D30063" w:rsidRPr="23D30063">
        <w:rPr>
          <w:lang w:val="es"/>
        </w:rPr>
        <w:t xml:space="preserve">que </w:t>
      </w:r>
      <w:r w:rsidR="2928D780" w:rsidRPr="2928D780">
        <w:rPr>
          <w:lang w:val="es"/>
        </w:rPr>
        <w:t xml:space="preserve">en </w:t>
      </w:r>
      <w:r w:rsidR="23D30063" w:rsidRPr="23D30063">
        <w:rPr>
          <w:lang w:val="es"/>
        </w:rPr>
        <w:t>el</w:t>
      </w:r>
      <w:r w:rsidR="41041148" w:rsidRPr="41041148">
        <w:rPr>
          <w:lang w:val="es"/>
        </w:rPr>
        <w:t xml:space="preserve"> </w:t>
      </w:r>
      <w:r w:rsidR="48FEED4E" w:rsidRPr="48FEED4E">
        <w:rPr>
          <w:lang w:val="es"/>
        </w:rPr>
        <w:t xml:space="preserve">2019 el </w:t>
      </w:r>
      <w:r w:rsidR="41041148" w:rsidRPr="41041148">
        <w:rPr>
          <w:lang w:val="es"/>
        </w:rPr>
        <w:t xml:space="preserve">sector industrial aporta sobre 18,2% del PIB y emplea a un 20% de la fuerza laboral. </w:t>
      </w:r>
      <w:r w:rsidR="1B653CA6" w:rsidRPr="1B653CA6">
        <w:rPr>
          <w:lang w:val="es"/>
        </w:rPr>
        <w:t>El</w:t>
      </w:r>
      <w:r w:rsidR="41041148" w:rsidRPr="41041148">
        <w:rPr>
          <w:lang w:val="es"/>
        </w:rPr>
        <w:t xml:space="preserve"> país es líder mundial en las industrias aeroespacial y farmacéutica. Gracias a sus abundantes recursos naturales, Estados Unidos se ha convertido en un líder en la producción de una cantidad de minerales</w:t>
      </w:r>
      <w:r w:rsidR="2A3EB612" w:rsidRPr="2A3EB612">
        <w:rPr>
          <w:lang w:val="es"/>
        </w:rPr>
        <w:t>.</w:t>
      </w:r>
    </w:p>
    <w:p w14:paraId="7F9AE0A5" w14:textId="263739E5" w:rsidR="20A4ADED" w:rsidRDefault="41041148" w:rsidP="00997CBA">
      <w:pPr>
        <w:pStyle w:val="APAPrrafo"/>
        <w:jc w:val="both"/>
        <w:rPr>
          <w:szCs w:val="24"/>
          <w:lang w:val="es"/>
        </w:rPr>
      </w:pPr>
      <w:r w:rsidRPr="41041148">
        <w:rPr>
          <w:lang w:val="es"/>
        </w:rPr>
        <w:t xml:space="preserve">El sector Agrícola </w:t>
      </w:r>
      <w:r w:rsidR="2FEAF0CB" w:rsidRPr="2FEAF0CB">
        <w:rPr>
          <w:lang w:val="es"/>
        </w:rPr>
        <w:t>es</w:t>
      </w:r>
      <w:r w:rsidRPr="41041148">
        <w:rPr>
          <w:lang w:val="es"/>
        </w:rPr>
        <w:t xml:space="preserve"> uno de los más grandes del mundo que representa 0,9% del </w:t>
      </w:r>
      <w:r w:rsidR="557603B9" w:rsidRPr="557603B9">
        <w:rPr>
          <w:lang w:val="es"/>
        </w:rPr>
        <w:t>PBI</w:t>
      </w:r>
      <w:r w:rsidRPr="41041148">
        <w:rPr>
          <w:lang w:val="es"/>
        </w:rPr>
        <w:t xml:space="preserve"> y da empleo a 1% de la fuerza laboral (Banco Mundial, 2019). Según datos del Departamento de Agricultura de Estados Unidos, considerando también a las industrias de alimentos y relacionados, el sector primario contribuyó en 1,109 billones USD al </w:t>
      </w:r>
      <w:r w:rsidR="7F837570" w:rsidRPr="7F837570">
        <w:rPr>
          <w:lang w:val="es"/>
        </w:rPr>
        <w:t>PBI</w:t>
      </w:r>
      <w:r w:rsidRPr="41041148">
        <w:rPr>
          <w:lang w:val="es"/>
        </w:rPr>
        <w:t xml:space="preserve"> del país en 2019, con </w:t>
      </w:r>
      <w:r w:rsidRPr="41041148">
        <w:rPr>
          <w:lang w:val="es"/>
        </w:rPr>
        <w:lastRenderedPageBreak/>
        <w:t xml:space="preserve">una parte de 5,2%, en el mismo año, 22,2 millones de trabajos a tiempo completo o parcial estuvieron relacionados a los sectores de la agricultura y alimentos. </w:t>
      </w:r>
    </w:p>
    <w:p w14:paraId="16009C4A" w14:textId="088B9AA7" w:rsidR="00B15B80" w:rsidRPr="00997CBA" w:rsidRDefault="00B15B80" w:rsidP="00D975AB">
      <w:pPr>
        <w:pStyle w:val="TITULOTablasyFiguras"/>
        <w:jc w:val="both"/>
        <w:rPr>
          <w:rFonts w:cs="Times New Roman"/>
          <w:b/>
          <w:bCs/>
          <w:i w:val="0"/>
          <w:iCs w:val="0"/>
          <w:color w:val="auto"/>
        </w:rPr>
      </w:pPr>
      <w:r w:rsidRPr="00997CBA">
        <w:rPr>
          <w:rFonts w:cs="Times New Roman"/>
          <w:b/>
          <w:bCs/>
          <w:i w:val="0"/>
          <w:iCs w:val="0"/>
          <w:color w:val="auto"/>
        </w:rPr>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6</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5B9E4763" w14:textId="17C7B1B8" w:rsidR="41041148" w:rsidRPr="00997CBA" w:rsidRDefault="6480394D" w:rsidP="007254E0">
      <w:pPr>
        <w:pStyle w:val="TITULOTablasyFiguras"/>
        <w:jc w:val="both"/>
        <w:rPr>
          <w:rFonts w:cs="Times New Roman"/>
          <w:color w:val="auto"/>
        </w:rPr>
      </w:pPr>
      <w:r w:rsidRPr="00997CBA">
        <w:rPr>
          <w:rFonts w:cs="Times New Roman"/>
          <w:color w:val="auto"/>
        </w:rPr>
        <w:t>Nivel de Empleo del 2015 al 2019 (en millones)</w:t>
      </w:r>
      <w:r w:rsidR="008121E5" w:rsidRPr="00997CBA">
        <w:rPr>
          <w:rFonts w:cs="Times New Roman"/>
          <w:noProof/>
          <w:color w:val="auto"/>
        </w:rPr>
        <w:drawing>
          <wp:anchor distT="0" distB="0" distL="114300" distR="114300" simplePos="0" relativeHeight="251658246" behindDoc="0" locked="0" layoutInCell="1" allowOverlap="1" wp14:anchorId="68C45951" wp14:editId="4529CEA5">
            <wp:simplePos x="0" y="0"/>
            <wp:positionH relativeFrom="column">
              <wp:posOffset>375285</wp:posOffset>
            </wp:positionH>
            <wp:positionV relativeFrom="paragraph">
              <wp:posOffset>349885</wp:posOffset>
            </wp:positionV>
            <wp:extent cx="4680000" cy="2880000"/>
            <wp:effectExtent l="0" t="0" r="6350" b="15875"/>
            <wp:wrapSquare wrapText="bothSides"/>
            <wp:docPr id="17" name="Gráfico 17">
              <a:extLst xmlns:a="http://schemas.openxmlformats.org/drawingml/2006/main">
                <a:ext uri="{FF2B5EF4-FFF2-40B4-BE49-F238E27FC236}">
                  <a16:creationId xmlns:a16="http://schemas.microsoft.com/office/drawing/2014/main" id="{C22437E9-8575-4EA9-97C1-879254B336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512280D0" w14:textId="77777777" w:rsidR="00997CBA" w:rsidRDefault="00997CBA" w:rsidP="00D975AB">
      <w:pPr>
        <w:pStyle w:val="NotasAPA"/>
        <w:jc w:val="both"/>
        <w:rPr>
          <w:rFonts w:cs="Times New Roman"/>
          <w:shd w:val="clear" w:color="auto" w:fill="FFFFFF"/>
        </w:rPr>
      </w:pPr>
    </w:p>
    <w:p w14:paraId="3320478B" w14:textId="77777777" w:rsidR="00997CBA" w:rsidRDefault="00997CBA" w:rsidP="00D975AB">
      <w:pPr>
        <w:pStyle w:val="NotasAPA"/>
        <w:jc w:val="both"/>
        <w:rPr>
          <w:rFonts w:cs="Times New Roman"/>
          <w:shd w:val="clear" w:color="auto" w:fill="FFFFFF"/>
        </w:rPr>
      </w:pPr>
    </w:p>
    <w:p w14:paraId="65E46152" w14:textId="77777777" w:rsidR="00997CBA" w:rsidRDefault="00997CBA" w:rsidP="00D975AB">
      <w:pPr>
        <w:pStyle w:val="NotasAPA"/>
        <w:jc w:val="both"/>
        <w:rPr>
          <w:rFonts w:cs="Times New Roman"/>
          <w:shd w:val="clear" w:color="auto" w:fill="FFFFFF"/>
        </w:rPr>
      </w:pPr>
    </w:p>
    <w:p w14:paraId="2BE3F574" w14:textId="77777777" w:rsidR="00997CBA" w:rsidRDefault="00997CBA" w:rsidP="00D975AB">
      <w:pPr>
        <w:pStyle w:val="NotasAPA"/>
        <w:jc w:val="both"/>
        <w:rPr>
          <w:rFonts w:cs="Times New Roman"/>
          <w:shd w:val="clear" w:color="auto" w:fill="FFFFFF"/>
        </w:rPr>
      </w:pPr>
    </w:p>
    <w:p w14:paraId="79DB73C1" w14:textId="77777777" w:rsidR="00997CBA" w:rsidRDefault="00997CBA" w:rsidP="00D975AB">
      <w:pPr>
        <w:pStyle w:val="NotasAPA"/>
        <w:jc w:val="both"/>
        <w:rPr>
          <w:rFonts w:cs="Times New Roman"/>
          <w:shd w:val="clear" w:color="auto" w:fill="FFFFFF"/>
        </w:rPr>
      </w:pPr>
    </w:p>
    <w:p w14:paraId="3205AB5D" w14:textId="77777777" w:rsidR="00997CBA" w:rsidRDefault="00997CBA" w:rsidP="00D975AB">
      <w:pPr>
        <w:pStyle w:val="NotasAPA"/>
        <w:jc w:val="both"/>
        <w:rPr>
          <w:rFonts w:cs="Times New Roman"/>
          <w:shd w:val="clear" w:color="auto" w:fill="FFFFFF"/>
        </w:rPr>
      </w:pPr>
    </w:p>
    <w:p w14:paraId="73D9084D" w14:textId="77777777" w:rsidR="00997CBA" w:rsidRDefault="00997CBA" w:rsidP="00D975AB">
      <w:pPr>
        <w:pStyle w:val="NotasAPA"/>
        <w:jc w:val="both"/>
        <w:rPr>
          <w:rFonts w:cs="Times New Roman"/>
          <w:shd w:val="clear" w:color="auto" w:fill="FFFFFF"/>
        </w:rPr>
      </w:pPr>
    </w:p>
    <w:p w14:paraId="3D7E947A" w14:textId="77777777" w:rsidR="00997CBA" w:rsidRDefault="00997CBA" w:rsidP="00D975AB">
      <w:pPr>
        <w:pStyle w:val="NotasAPA"/>
        <w:jc w:val="both"/>
        <w:rPr>
          <w:rFonts w:cs="Times New Roman"/>
          <w:shd w:val="clear" w:color="auto" w:fill="FFFFFF"/>
        </w:rPr>
      </w:pPr>
    </w:p>
    <w:p w14:paraId="3C901F02" w14:textId="77777777" w:rsidR="00997CBA" w:rsidRDefault="00997CBA" w:rsidP="00D975AB">
      <w:pPr>
        <w:pStyle w:val="NotasAPA"/>
        <w:jc w:val="both"/>
        <w:rPr>
          <w:rFonts w:cs="Times New Roman"/>
          <w:shd w:val="clear" w:color="auto" w:fill="FFFFFF"/>
        </w:rPr>
      </w:pPr>
    </w:p>
    <w:p w14:paraId="73F83B1E" w14:textId="77777777" w:rsidR="00997CBA" w:rsidRDefault="00997CBA" w:rsidP="00D975AB">
      <w:pPr>
        <w:pStyle w:val="NotasAPA"/>
        <w:jc w:val="both"/>
        <w:rPr>
          <w:rFonts w:cs="Times New Roman"/>
          <w:shd w:val="clear" w:color="auto" w:fill="FFFFFF"/>
        </w:rPr>
      </w:pPr>
    </w:p>
    <w:p w14:paraId="1EEC49EA" w14:textId="5DCE9C73" w:rsidR="008121E5" w:rsidRDefault="00A81606" w:rsidP="00D975AB">
      <w:pPr>
        <w:pStyle w:val="NotasAPA"/>
        <w:jc w:val="both"/>
      </w:pPr>
      <w:r w:rsidRPr="00674043">
        <w:rPr>
          <w:shd w:val="clear" w:color="auto" w:fill="FFFFFF"/>
        </w:rPr>
        <w:t>Nota. Statista, Elaboración propia</w:t>
      </w:r>
    </w:p>
    <w:p w14:paraId="35156489" w14:textId="21AF09A7" w:rsidR="41041148" w:rsidRPr="00997CBA" w:rsidRDefault="711531DF" w:rsidP="00D975AB">
      <w:pPr>
        <w:pStyle w:val="APAPrrafo"/>
        <w:jc w:val="both"/>
        <w:rPr>
          <w:rFonts w:cs="Times New Roman"/>
          <w:szCs w:val="24"/>
        </w:rPr>
      </w:pPr>
      <w:r>
        <w:t xml:space="preserve">En la figura </w:t>
      </w:r>
      <w:r w:rsidR="0829E1E1">
        <w:t xml:space="preserve">6, </w:t>
      </w:r>
      <w:r w:rsidR="0829E1E1" w:rsidRPr="00997CBA">
        <w:rPr>
          <w:rFonts w:eastAsia="Roboto" w:cs="Times New Roman"/>
          <w:szCs w:val="24"/>
        </w:rPr>
        <w:t xml:space="preserve">la serie </w:t>
      </w:r>
      <w:r w:rsidR="18FEABC0" w:rsidRPr="00997CBA">
        <w:rPr>
          <w:rFonts w:eastAsia="Roboto" w:cs="Times New Roman"/>
          <w:szCs w:val="24"/>
        </w:rPr>
        <w:t xml:space="preserve">Nivel de empleo </w:t>
      </w:r>
      <w:r w:rsidR="0829E1E1" w:rsidRPr="00997CBA">
        <w:rPr>
          <w:rFonts w:eastAsia="Roboto" w:cs="Times New Roman"/>
          <w:szCs w:val="24"/>
        </w:rPr>
        <w:t xml:space="preserve">del 2015 al 2019 </w:t>
      </w:r>
      <w:r w:rsidR="18FEABC0" w:rsidRPr="00997CBA">
        <w:rPr>
          <w:rFonts w:eastAsia="Roboto" w:cs="Times New Roman"/>
          <w:szCs w:val="24"/>
        </w:rPr>
        <w:t>presentó</w:t>
      </w:r>
      <w:r w:rsidR="0829E1E1" w:rsidRPr="00997CBA">
        <w:rPr>
          <w:rFonts w:eastAsia="Roboto" w:cs="Times New Roman"/>
          <w:szCs w:val="24"/>
        </w:rPr>
        <w:t xml:space="preserve"> una tendencia creciente</w:t>
      </w:r>
      <w:r w:rsidR="18FEABC0" w:rsidRPr="00997CBA">
        <w:rPr>
          <w:rFonts w:eastAsia="Roboto" w:cs="Times New Roman"/>
          <w:szCs w:val="24"/>
        </w:rPr>
        <w:t xml:space="preserve"> donde</w:t>
      </w:r>
      <w:r w:rsidR="41041148" w:rsidRPr="00997CBA">
        <w:rPr>
          <w:rFonts w:eastAsia="Roboto" w:cs="Times New Roman"/>
          <w:szCs w:val="24"/>
        </w:rPr>
        <w:t xml:space="preserve"> e</w:t>
      </w:r>
      <w:r w:rsidR="41041148" w:rsidRPr="41041148">
        <w:t xml:space="preserve">l </w:t>
      </w:r>
      <w:r w:rsidR="71A6A7A1">
        <w:t>mercado de trabajo en el 2015</w:t>
      </w:r>
      <w:r w:rsidR="41041148" w:rsidRPr="41041148">
        <w:t xml:space="preserve"> </w:t>
      </w:r>
      <w:r w:rsidR="62D0F773">
        <w:t>generó</w:t>
      </w:r>
      <w:r w:rsidR="41041148" w:rsidRPr="41041148">
        <w:t xml:space="preserve"> 148.85 millones de empleo</w:t>
      </w:r>
      <w:r w:rsidR="2D82997D">
        <w:t>.</w:t>
      </w:r>
      <w:r w:rsidR="41041148" w:rsidRPr="41041148">
        <w:t xml:space="preserve"> La tasa de desempleo se está aproximando rápidamente al nivel natural a largo plazo</w:t>
      </w:r>
      <w:r w:rsidR="53A906F6">
        <w:t>.</w:t>
      </w:r>
      <w:r w:rsidR="41041148" w:rsidRPr="41041148">
        <w:t xml:space="preserve"> </w:t>
      </w:r>
      <w:r w:rsidR="09721032">
        <w:t>Se</w:t>
      </w:r>
      <w:r w:rsidR="41041148" w:rsidRPr="41041148">
        <w:t xml:space="preserve"> prevé que la contratación se mantendrá en un ritmo saludable por encima de 200 mil empleos al mes, junto con caídas continuadas en el desempleo.</w:t>
      </w:r>
    </w:p>
    <w:p w14:paraId="32CB6EEF" w14:textId="75E6DE0F" w:rsidR="41041148" w:rsidRDefault="41041148" w:rsidP="00D975AB">
      <w:pPr>
        <w:pStyle w:val="APAPrrafo"/>
        <w:jc w:val="both"/>
      </w:pPr>
      <w:r w:rsidRPr="41041148">
        <w:t xml:space="preserve">En el 2017 el mercado de trabajo tubo un buen crecimiento donde el desempleo disminuyó </w:t>
      </w:r>
      <w:r w:rsidR="00281AE2" w:rsidRPr="41041148">
        <w:t>en 4.4</w:t>
      </w:r>
      <w:r w:rsidRPr="41041148">
        <w:t xml:space="preserve"> % y se generó 153.34 millones de empleo, lo que representa el nivel más bajo desde 2007.</w:t>
      </w:r>
    </w:p>
    <w:p w14:paraId="5E6C9074" w14:textId="6B0FE89F" w:rsidR="41041148" w:rsidRPr="007254E0" w:rsidRDefault="41041148" w:rsidP="007254E0">
      <w:pPr>
        <w:pStyle w:val="APAPrrafo"/>
        <w:jc w:val="both"/>
      </w:pPr>
      <w:r w:rsidRPr="41041148">
        <w:t xml:space="preserve">En el 2018 </w:t>
      </w:r>
      <w:r w:rsidR="056CE1CC">
        <w:t>las</w:t>
      </w:r>
      <w:r w:rsidRPr="41041148">
        <w:t xml:space="preserve"> principales ganancias por sector donde se tiene un mayor número de empleados son: servicios profesionales a las empresas 32,000, atención sanitaria 32,000, </w:t>
      </w:r>
      <w:r w:rsidRPr="41041148">
        <w:lastRenderedPageBreak/>
        <w:t xml:space="preserve">fabricación 27,000 y transporte y almacenes 25,000.  Tanto la tasa de participación de los trabajadores como la ratio de empleo con respecto a la población permanecieron sin cambios en el 62.9 % y el 60.6 % respectivamente. </w:t>
      </w:r>
      <w:r w:rsidR="00281AE2" w:rsidRPr="41041148">
        <w:t>Finalmente,</w:t>
      </w:r>
      <w:r w:rsidRPr="41041148">
        <w:t xml:space="preserve"> la tasa de desempleo se mantuvo a su nivel actual del 3.7%.</w:t>
      </w:r>
    </w:p>
    <w:p w14:paraId="4F0B0DB8" w14:textId="2B77CF69" w:rsidR="056CE1CC" w:rsidRPr="007254E0" w:rsidRDefault="056CE1CC" w:rsidP="007254E0">
      <w:pPr>
        <w:pStyle w:val="APAPrrafo"/>
        <w:jc w:val="both"/>
      </w:pPr>
      <w:r>
        <w:t xml:space="preserve">En 2019 a pesar de las fricciones sectoriales producidas por la desaceleración mundial y las tensiones comerciales, el crecimiento del empleo ha permanecido sólido generando un crecimiento de 157,54 millones de empleo, el crecimiento del empleo se mantiene firme en los servicios de educación y salud, construcción, ocio y hostelería y servicios empresariales profesionales. </w:t>
      </w:r>
    </w:p>
    <w:p w14:paraId="4324AC4B" w14:textId="73D948BA" w:rsidR="00E84ADD" w:rsidRPr="00997CBA" w:rsidRDefault="00E84ADD" w:rsidP="00D975AB">
      <w:pPr>
        <w:pStyle w:val="TITULOTablasyFiguras"/>
        <w:jc w:val="both"/>
        <w:rPr>
          <w:rFonts w:cs="Times New Roman"/>
          <w:b/>
          <w:bCs/>
          <w:i w:val="0"/>
          <w:iCs w:val="0"/>
          <w:color w:val="auto"/>
        </w:rPr>
      </w:pPr>
      <w:r w:rsidRPr="00997CBA">
        <w:rPr>
          <w:rFonts w:cs="Times New Roman"/>
          <w:b/>
          <w:bCs/>
          <w:i w:val="0"/>
          <w:iCs w:val="0"/>
          <w:color w:val="auto"/>
        </w:rPr>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7</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6EA22156" w14:textId="0954CF75" w:rsidR="41041148" w:rsidRPr="00997CBA" w:rsidRDefault="00E84ADD" w:rsidP="007254E0">
      <w:pPr>
        <w:pStyle w:val="TITULOTablasyFiguras"/>
        <w:jc w:val="both"/>
        <w:rPr>
          <w:rFonts w:eastAsia="Calibri Light" w:cs="Times New Roman"/>
          <w:color w:val="auto"/>
          <w:szCs w:val="24"/>
        </w:rPr>
      </w:pPr>
      <w:r w:rsidRPr="00997CBA">
        <w:rPr>
          <w:rFonts w:cs="Times New Roman"/>
          <w:color w:val="auto"/>
        </w:rPr>
        <w:t>Tasa de desempleo 2007 - 2019</w:t>
      </w:r>
      <w:r w:rsidRPr="00997CBA">
        <w:rPr>
          <w:rFonts w:cs="Times New Roman"/>
          <w:noProof/>
          <w:color w:val="auto"/>
        </w:rPr>
        <w:drawing>
          <wp:anchor distT="0" distB="0" distL="114300" distR="114300" simplePos="0" relativeHeight="251658247" behindDoc="0" locked="0" layoutInCell="1" allowOverlap="1" wp14:anchorId="5C7F80B9" wp14:editId="21AEF163">
            <wp:simplePos x="0" y="0"/>
            <wp:positionH relativeFrom="column">
              <wp:posOffset>390525</wp:posOffset>
            </wp:positionH>
            <wp:positionV relativeFrom="paragraph">
              <wp:posOffset>349885</wp:posOffset>
            </wp:positionV>
            <wp:extent cx="4680000" cy="2880000"/>
            <wp:effectExtent l="0" t="0" r="6350" b="15875"/>
            <wp:wrapSquare wrapText="bothSides"/>
            <wp:docPr id="18" name="Gráfico 18">
              <a:extLst xmlns:a="http://schemas.openxmlformats.org/drawingml/2006/main">
                <a:ext uri="{FF2B5EF4-FFF2-40B4-BE49-F238E27FC236}">
                  <a16:creationId xmlns:a16="http://schemas.microsoft.com/office/drawing/2014/main" id="{46FDCA69-D571-4F58-9F2F-2082D1AC5D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72504CAD" w14:textId="77777777" w:rsidR="00997CBA" w:rsidRDefault="00997CBA" w:rsidP="007254E0">
      <w:pPr>
        <w:pStyle w:val="NotasAPA"/>
        <w:jc w:val="both"/>
        <w:rPr>
          <w:rFonts w:cs="Times New Roman"/>
          <w:shd w:val="clear" w:color="auto" w:fill="FFFFFF"/>
        </w:rPr>
      </w:pPr>
    </w:p>
    <w:p w14:paraId="7A77A143" w14:textId="77777777" w:rsidR="00997CBA" w:rsidRDefault="00997CBA" w:rsidP="007254E0">
      <w:pPr>
        <w:pStyle w:val="NotasAPA"/>
        <w:jc w:val="both"/>
        <w:rPr>
          <w:rFonts w:cs="Times New Roman"/>
          <w:shd w:val="clear" w:color="auto" w:fill="FFFFFF"/>
        </w:rPr>
      </w:pPr>
    </w:p>
    <w:p w14:paraId="7667D595" w14:textId="77777777" w:rsidR="00997CBA" w:rsidRDefault="00997CBA" w:rsidP="007254E0">
      <w:pPr>
        <w:pStyle w:val="NotasAPA"/>
        <w:jc w:val="both"/>
        <w:rPr>
          <w:rFonts w:cs="Times New Roman"/>
          <w:shd w:val="clear" w:color="auto" w:fill="FFFFFF"/>
        </w:rPr>
      </w:pPr>
    </w:p>
    <w:p w14:paraId="3F95F68E" w14:textId="77777777" w:rsidR="00997CBA" w:rsidRDefault="00997CBA" w:rsidP="007254E0">
      <w:pPr>
        <w:pStyle w:val="NotasAPA"/>
        <w:jc w:val="both"/>
        <w:rPr>
          <w:rFonts w:cs="Times New Roman"/>
          <w:shd w:val="clear" w:color="auto" w:fill="FFFFFF"/>
        </w:rPr>
      </w:pPr>
    </w:p>
    <w:p w14:paraId="3507674C" w14:textId="77777777" w:rsidR="00997CBA" w:rsidRDefault="00997CBA" w:rsidP="007254E0">
      <w:pPr>
        <w:pStyle w:val="NotasAPA"/>
        <w:jc w:val="both"/>
        <w:rPr>
          <w:rFonts w:cs="Times New Roman"/>
          <w:shd w:val="clear" w:color="auto" w:fill="FFFFFF"/>
        </w:rPr>
      </w:pPr>
    </w:p>
    <w:p w14:paraId="7C11F543" w14:textId="77777777" w:rsidR="00997CBA" w:rsidRDefault="00997CBA" w:rsidP="007254E0">
      <w:pPr>
        <w:pStyle w:val="NotasAPA"/>
        <w:jc w:val="both"/>
        <w:rPr>
          <w:rFonts w:cs="Times New Roman"/>
          <w:shd w:val="clear" w:color="auto" w:fill="FFFFFF"/>
        </w:rPr>
      </w:pPr>
    </w:p>
    <w:p w14:paraId="51984C0A" w14:textId="77777777" w:rsidR="00997CBA" w:rsidRDefault="00997CBA" w:rsidP="007254E0">
      <w:pPr>
        <w:pStyle w:val="NotasAPA"/>
        <w:jc w:val="both"/>
        <w:rPr>
          <w:rFonts w:cs="Times New Roman"/>
          <w:shd w:val="clear" w:color="auto" w:fill="FFFFFF"/>
        </w:rPr>
      </w:pPr>
    </w:p>
    <w:p w14:paraId="47827A60" w14:textId="77777777" w:rsidR="00997CBA" w:rsidRDefault="00997CBA" w:rsidP="007254E0">
      <w:pPr>
        <w:pStyle w:val="NotasAPA"/>
        <w:jc w:val="both"/>
        <w:rPr>
          <w:rFonts w:cs="Times New Roman"/>
          <w:shd w:val="clear" w:color="auto" w:fill="FFFFFF"/>
        </w:rPr>
      </w:pPr>
    </w:p>
    <w:p w14:paraId="7F84281F" w14:textId="77777777" w:rsidR="00997CBA" w:rsidRDefault="00997CBA" w:rsidP="007254E0">
      <w:pPr>
        <w:pStyle w:val="NotasAPA"/>
        <w:jc w:val="both"/>
        <w:rPr>
          <w:rFonts w:cs="Times New Roman"/>
          <w:shd w:val="clear" w:color="auto" w:fill="FFFFFF"/>
        </w:rPr>
      </w:pPr>
    </w:p>
    <w:p w14:paraId="1750FFFB" w14:textId="77777777" w:rsidR="00997CBA" w:rsidRDefault="00997CBA" w:rsidP="007254E0">
      <w:pPr>
        <w:pStyle w:val="NotasAPA"/>
        <w:jc w:val="both"/>
        <w:rPr>
          <w:rFonts w:cs="Times New Roman"/>
          <w:shd w:val="clear" w:color="auto" w:fill="FFFFFF"/>
        </w:rPr>
      </w:pPr>
    </w:p>
    <w:p w14:paraId="60B48F77" w14:textId="33A7F7D5" w:rsidR="056CE1CC" w:rsidRPr="007254E0" w:rsidRDefault="00F73434" w:rsidP="007254E0">
      <w:pPr>
        <w:pStyle w:val="NotasAPA"/>
        <w:jc w:val="both"/>
        <w:rPr>
          <w:i/>
          <w:shd w:val="clear" w:color="auto" w:fill="FFFFFF"/>
        </w:rPr>
      </w:pPr>
      <w:r w:rsidRPr="00674043">
        <w:rPr>
          <w:shd w:val="clear" w:color="auto" w:fill="FFFFFF"/>
        </w:rPr>
        <w:t>Nota. Statista, Elaboración propia</w:t>
      </w:r>
    </w:p>
    <w:p w14:paraId="2F4DAB2D" w14:textId="19EEBCC2" w:rsidR="2B63F5A2" w:rsidRDefault="41CA0C70" w:rsidP="00D975AB">
      <w:pPr>
        <w:pStyle w:val="APAPrrafo"/>
        <w:jc w:val="both"/>
      </w:pPr>
      <w:r w:rsidRPr="41CA0C70">
        <w:t>La figura</w:t>
      </w:r>
      <w:r w:rsidR="056CE1CC">
        <w:t xml:space="preserve"> 7</w:t>
      </w:r>
      <w:r w:rsidRPr="41CA0C70">
        <w:t xml:space="preserve"> representa la tasa de desempleo de Estados unidos desde el periodo 2007 hasta 2019, la serie presenta una tendencia decreciente desde el año 2010 llegando a su nivel más bajo en el 2019 de 3.67%.</w:t>
      </w:r>
    </w:p>
    <w:p w14:paraId="01007B88" w14:textId="290A59F8" w:rsidR="41041148" w:rsidRDefault="4BC490C6" w:rsidP="00D975AB">
      <w:pPr>
        <w:pStyle w:val="APAPrrafo"/>
        <w:jc w:val="both"/>
      </w:pPr>
      <w:r>
        <w:lastRenderedPageBreak/>
        <w:t xml:space="preserve">Estados Unidos fue uno de los países más afectados por la crisis financiera mundial llegando a la tasa más </w:t>
      </w:r>
      <w:r w:rsidR="00281AE2">
        <w:t>alta de</w:t>
      </w:r>
      <w:r>
        <w:t xml:space="preserve"> 9.63% en el 2010, este acontecimiento influyó considerablemente en los hogares estadounidenses y de manera más prominente en el mercado laboral. En el 2019 la tasa de desempleo se encuentra en su punto más bajo de 3.67% por lo tanto la reducción del desempleo genera un incremento sostenido del empleo y por ende mayores puestos de trabajo y mejora el nivel de vida de las personas.</w:t>
      </w:r>
    </w:p>
    <w:p w14:paraId="46338C0C" w14:textId="0E9F9662" w:rsidR="00946D38" w:rsidRPr="00103100" w:rsidRDefault="00946D38" w:rsidP="00D975AB">
      <w:pPr>
        <w:pStyle w:val="Ttulo3"/>
        <w:jc w:val="both"/>
      </w:pPr>
      <w:bookmarkStart w:id="5" w:name="_Toc91548295"/>
      <w:r w:rsidRPr="00103100">
        <w:t>Entorno Empresarial</w:t>
      </w:r>
      <w:bookmarkEnd w:id="5"/>
    </w:p>
    <w:p w14:paraId="1E4EBBAB" w14:textId="64DCDF6A" w:rsidR="4BC490C6" w:rsidRDefault="4BC490C6" w:rsidP="00D975AB">
      <w:pPr>
        <w:pStyle w:val="APAPrrafo"/>
        <w:tabs>
          <w:tab w:val="left" w:pos="1995"/>
        </w:tabs>
        <w:jc w:val="both"/>
        <w:rPr>
          <w:szCs w:val="24"/>
        </w:rPr>
      </w:pPr>
      <w:r w:rsidRPr="4BC490C6">
        <w:t xml:space="preserve">Estados unidos es la principal economía en el mundo y domina los mercados mundiales, disfruta de su posición de superioridad tecnológica, militar y económica. Estados Unidos es la primera potencia económica y militar del mundo. Su PIB del año 2019 representó el 25% del PBI mundial. </w:t>
      </w:r>
    </w:p>
    <w:p w14:paraId="2F1CCC01" w14:textId="47A2957F" w:rsidR="00AC7BC1" w:rsidRPr="007254E0" w:rsidRDefault="4BC490C6" w:rsidP="007254E0">
      <w:pPr>
        <w:pStyle w:val="APAPrrafo"/>
        <w:tabs>
          <w:tab w:val="left" w:pos="1995"/>
        </w:tabs>
        <w:jc w:val="both"/>
      </w:pPr>
      <w:r w:rsidRPr="4BC490C6">
        <w:t>En el entorno empresarial se tarda 4,2 días en crear una empresa es un nivel bajo frente a la media regional de 4,7 días.</w:t>
      </w:r>
    </w:p>
    <w:p w14:paraId="4290734A" w14:textId="6332CC86" w:rsidR="00946D38" w:rsidRDefault="00946D38" w:rsidP="00D975AB">
      <w:pPr>
        <w:pStyle w:val="Ttulo2"/>
        <w:jc w:val="both"/>
      </w:pPr>
      <w:bookmarkStart w:id="6" w:name="_Toc91548296"/>
      <w:r w:rsidRPr="00103100">
        <w:t>Población</w:t>
      </w:r>
      <w:bookmarkEnd w:id="6"/>
      <w:r w:rsidRPr="00103100">
        <w:t xml:space="preserve"> </w:t>
      </w:r>
    </w:p>
    <w:p w14:paraId="6A96B923" w14:textId="77777777" w:rsidR="00DC655A" w:rsidRDefault="00365DAE" w:rsidP="00D975AB">
      <w:pPr>
        <w:pStyle w:val="APAPrrafo"/>
        <w:jc w:val="both"/>
      </w:pPr>
      <w:r w:rsidRPr="00365DAE">
        <w:t xml:space="preserve">Estados unidos, es uno de los países más poblados del mundo y este solamente está por detrás de China e India en el ranking de los países más poblados por millón de habitantes. </w:t>
      </w:r>
    </w:p>
    <w:p w14:paraId="2432FAEF" w14:textId="1DBF4B5C" w:rsidR="00DC655A" w:rsidRDefault="00C91C67" w:rsidP="00D975AB">
      <w:pPr>
        <w:pStyle w:val="Ttulo3"/>
        <w:jc w:val="both"/>
      </w:pPr>
      <w:bookmarkStart w:id="7" w:name="_Toc91548297"/>
      <w:r>
        <w:t>Población total de EE. UU.</w:t>
      </w:r>
      <w:bookmarkEnd w:id="7"/>
    </w:p>
    <w:p w14:paraId="7B2994EF" w14:textId="1CF72379" w:rsidR="00365DAE" w:rsidRDefault="00365DAE" w:rsidP="00D975AB">
      <w:pPr>
        <w:pStyle w:val="APAPrrafo"/>
        <w:jc w:val="both"/>
      </w:pPr>
      <w:r w:rsidRPr="00365DAE">
        <w:t xml:space="preserve">En la siguiente figura </w:t>
      </w:r>
      <w:r w:rsidR="0DF30A18">
        <w:t>8</w:t>
      </w:r>
      <w:r w:rsidRPr="00365DAE">
        <w:t xml:space="preserve"> se aprecia la representación gráfica de la población total de los Estados Unidos en el periodo 2015-2019; donde</w:t>
      </w:r>
      <w:r w:rsidR="03A44C3A">
        <w:t>, los habitantes</w:t>
      </w:r>
      <w:r w:rsidRPr="00365DAE">
        <w:t xml:space="preserve"> en el 2015 fueron aproximadamente de 320 millones y en el 2019 de 328 millones de habitantes. Asimismo, podemos notar que el crecimiento poblacional en el periodo analizado para los estados unidos tiene una tendencia positiva.</w:t>
      </w:r>
    </w:p>
    <w:p w14:paraId="11DB4133" w14:textId="1CCDFFCF" w:rsidR="004C1F73" w:rsidRPr="00997CBA" w:rsidRDefault="004C1F73" w:rsidP="00D975AB">
      <w:pPr>
        <w:pStyle w:val="TITULOTablasyFiguras"/>
        <w:jc w:val="both"/>
        <w:rPr>
          <w:rFonts w:cs="Times New Roman"/>
          <w:b/>
          <w:bCs/>
          <w:i w:val="0"/>
          <w:iCs w:val="0"/>
          <w:color w:val="auto"/>
        </w:rPr>
      </w:pPr>
      <w:r w:rsidRPr="00997CBA">
        <w:rPr>
          <w:rFonts w:cs="Times New Roman"/>
          <w:b/>
          <w:bCs/>
          <w:i w:val="0"/>
          <w:iCs w:val="0"/>
          <w:color w:val="auto"/>
        </w:rPr>
        <w:lastRenderedPageBreak/>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8</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0B48B162" w14:textId="48566D34" w:rsidR="00284B84" w:rsidRPr="00997CBA" w:rsidRDefault="004C1F73" w:rsidP="00D975AB">
      <w:pPr>
        <w:pStyle w:val="TITULOTablasyFiguras"/>
        <w:jc w:val="both"/>
        <w:rPr>
          <w:rFonts w:cs="Times New Roman"/>
          <w:color w:val="auto"/>
        </w:rPr>
      </w:pPr>
      <w:r w:rsidRPr="00997CBA">
        <w:rPr>
          <w:rFonts w:cs="Times New Roman"/>
          <w:color w:val="auto"/>
        </w:rPr>
        <w:t xml:space="preserve">Población total de </w:t>
      </w:r>
      <w:r w:rsidR="00281AE2" w:rsidRPr="00997CBA">
        <w:rPr>
          <w:rFonts w:cs="Times New Roman"/>
          <w:color w:val="auto"/>
        </w:rPr>
        <w:t>EE. UU.</w:t>
      </w:r>
      <w:r w:rsidRPr="00997CBA">
        <w:rPr>
          <w:rFonts w:cs="Times New Roman"/>
          <w:color w:val="auto"/>
        </w:rPr>
        <w:t xml:space="preserve"> (en millones)</w:t>
      </w:r>
    </w:p>
    <w:p w14:paraId="41A50946" w14:textId="3775F2ED" w:rsidR="00365DAE" w:rsidRDefault="000B0C34" w:rsidP="00D975AB">
      <w:pPr>
        <w:pStyle w:val="APAPrrafo"/>
        <w:jc w:val="both"/>
      </w:pPr>
      <w:r>
        <w:rPr>
          <w:noProof/>
        </w:rPr>
        <w:drawing>
          <wp:inline distT="0" distB="0" distL="0" distR="0" wp14:anchorId="2020318C" wp14:editId="0EB83799">
            <wp:extent cx="4680000" cy="2880000"/>
            <wp:effectExtent l="0" t="0" r="6350" b="15875"/>
            <wp:docPr id="7" name="Gráfico 7">
              <a:extLst xmlns:a="http://schemas.openxmlformats.org/drawingml/2006/main">
                <a:ext uri="{FF2B5EF4-FFF2-40B4-BE49-F238E27FC236}">
                  <a16:creationId xmlns:a16="http://schemas.microsoft.com/office/drawing/2014/main" id="{3A34D57D-1F08-423C-A682-A6C09205A3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874FFA" w14:textId="77777777" w:rsidR="00284B84" w:rsidRDefault="00284B84" w:rsidP="00D975AB">
      <w:pPr>
        <w:pStyle w:val="NotasAPA"/>
        <w:jc w:val="both"/>
        <w:rPr>
          <w:lang w:val="es-MX"/>
        </w:rPr>
      </w:pPr>
      <w:r>
        <w:rPr>
          <w:lang w:val="es-MX"/>
        </w:rPr>
        <w:t>Nota. Elaboración propia con data del Banco Mundial</w:t>
      </w:r>
    </w:p>
    <w:p w14:paraId="67E3AF05" w14:textId="63F0A51D" w:rsidR="000069FC" w:rsidRDefault="00945DB3" w:rsidP="00D975AB">
      <w:pPr>
        <w:pStyle w:val="Ttulo3"/>
        <w:jc w:val="both"/>
        <w:rPr>
          <w:lang w:val="es-MX"/>
        </w:rPr>
      </w:pPr>
      <w:bookmarkStart w:id="8" w:name="_Toc91548298"/>
      <w:r>
        <w:rPr>
          <w:lang w:val="es-MX"/>
        </w:rPr>
        <w:t>Tasa de crecimiento</w:t>
      </w:r>
      <w:bookmarkEnd w:id="8"/>
    </w:p>
    <w:p w14:paraId="3F45B343" w14:textId="4911BF13" w:rsidR="000069FC" w:rsidRDefault="000069FC" w:rsidP="00D975AB">
      <w:pPr>
        <w:pStyle w:val="APAPrrafo"/>
        <w:jc w:val="both"/>
        <w:rPr>
          <w:lang w:val="es-MX"/>
        </w:rPr>
      </w:pPr>
      <w:r>
        <w:rPr>
          <w:lang w:val="es-MX"/>
        </w:rPr>
        <w:t xml:space="preserve">Sin embargo, como se puede visualizar a continuación en la figura </w:t>
      </w:r>
      <w:r w:rsidR="03A44C3A" w:rsidRPr="03A44C3A">
        <w:rPr>
          <w:lang w:val="es-MX"/>
        </w:rPr>
        <w:t>9</w:t>
      </w:r>
      <w:r>
        <w:rPr>
          <w:lang w:val="es-MX"/>
        </w:rPr>
        <w:t xml:space="preserve"> la tasa de crecimiento de la población presenta una tendencia positiva decreciente para los Estados Unidos en el periodo 2015-2019; es decir, el crecimiento de la población comparado con el año anterior es cada vez menor. </w:t>
      </w:r>
    </w:p>
    <w:p w14:paraId="0FDC02E0" w14:textId="65FAA29F" w:rsidR="001E0DB2" w:rsidRPr="00997CBA" w:rsidRDefault="001E0DB2" w:rsidP="00D975AB">
      <w:pPr>
        <w:pStyle w:val="TITULOTablasyFiguras"/>
        <w:jc w:val="both"/>
        <w:rPr>
          <w:rFonts w:cs="Times New Roman"/>
          <w:b/>
          <w:bCs/>
          <w:i w:val="0"/>
          <w:iCs w:val="0"/>
          <w:color w:val="auto"/>
        </w:rPr>
      </w:pPr>
      <w:r w:rsidRPr="00997CBA">
        <w:rPr>
          <w:rFonts w:cs="Times New Roman"/>
          <w:b/>
          <w:bCs/>
          <w:i w:val="0"/>
          <w:iCs w:val="0"/>
          <w:color w:val="auto"/>
        </w:rPr>
        <w:lastRenderedPageBreak/>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9</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18464F62" w14:textId="26B8853B" w:rsidR="001E0DB2" w:rsidRPr="00997CBA" w:rsidRDefault="001E0DB2" w:rsidP="00D975AB">
      <w:pPr>
        <w:pStyle w:val="TITULOTablasyFiguras"/>
        <w:jc w:val="both"/>
        <w:rPr>
          <w:rFonts w:cs="Times New Roman"/>
          <w:color w:val="auto"/>
        </w:rPr>
      </w:pPr>
      <w:r w:rsidRPr="00997CBA">
        <w:rPr>
          <w:rFonts w:cs="Times New Roman"/>
          <w:color w:val="auto"/>
        </w:rPr>
        <w:t>Tasa de crecimiento poblacional 2015-2019</w:t>
      </w:r>
    </w:p>
    <w:p w14:paraId="11B6EA92" w14:textId="31519B9C" w:rsidR="00CC06D6" w:rsidRDefault="00CC06D6" w:rsidP="00D975AB">
      <w:pPr>
        <w:pStyle w:val="APAPrrafo"/>
        <w:jc w:val="both"/>
        <w:rPr>
          <w:lang w:val="es-MX"/>
        </w:rPr>
      </w:pPr>
      <w:r>
        <w:rPr>
          <w:noProof/>
        </w:rPr>
        <w:drawing>
          <wp:inline distT="0" distB="0" distL="0" distR="0" wp14:anchorId="22CB8ED5" wp14:editId="0479989F">
            <wp:extent cx="4680000" cy="2880000"/>
            <wp:effectExtent l="0" t="0" r="6350" b="15875"/>
            <wp:docPr id="9" name="Gráfico 9">
              <a:extLst xmlns:a="http://schemas.openxmlformats.org/drawingml/2006/main">
                <a:ext uri="{FF2B5EF4-FFF2-40B4-BE49-F238E27FC236}">
                  <a16:creationId xmlns:a16="http://schemas.microsoft.com/office/drawing/2014/main" id="{456A3671-5AEA-4111-A2DA-AFC42EFA2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F7D4D1C" w14:textId="1C6291DC" w:rsidR="00886866" w:rsidRDefault="004E7634" w:rsidP="00997CBA">
      <w:pPr>
        <w:pStyle w:val="NotasAPA"/>
        <w:jc w:val="both"/>
        <w:rPr>
          <w:lang w:val="es-MX"/>
        </w:rPr>
      </w:pPr>
      <w:r>
        <w:rPr>
          <w:lang w:val="es-MX"/>
        </w:rPr>
        <w:t>Nota. Elaboración propia con data del Banco Mundial</w:t>
      </w:r>
    </w:p>
    <w:p w14:paraId="7C5CCF7B" w14:textId="4CE37407" w:rsidR="00886866" w:rsidRDefault="00967B8D" w:rsidP="00D975AB">
      <w:pPr>
        <w:pStyle w:val="Ttulo3"/>
        <w:jc w:val="both"/>
        <w:rPr>
          <w:lang w:val="es-MX"/>
        </w:rPr>
      </w:pPr>
      <w:bookmarkStart w:id="9" w:name="_Toc91548299"/>
      <w:r>
        <w:rPr>
          <w:lang w:val="es-MX"/>
        </w:rPr>
        <w:t>Tasa de fertilidad</w:t>
      </w:r>
      <w:bookmarkEnd w:id="9"/>
    </w:p>
    <w:p w14:paraId="685ACB45" w14:textId="7E1E655A" w:rsidR="00886866" w:rsidRDefault="00886866" w:rsidP="00D975AB">
      <w:pPr>
        <w:pStyle w:val="APAPrrafo"/>
        <w:jc w:val="both"/>
        <w:rPr>
          <w:lang w:val="es-MX"/>
        </w:rPr>
      </w:pPr>
      <w:r>
        <w:rPr>
          <w:lang w:val="es-MX"/>
        </w:rPr>
        <w:t xml:space="preserve">Además, otro de los indicadores relevantes a considerar es la tasa de fertilidad (medido por el número de hijos nacidos por mujer) que a continuación se muestra en la siguiente figura </w:t>
      </w:r>
      <w:r w:rsidR="03A44C3A" w:rsidRPr="03A44C3A">
        <w:rPr>
          <w:lang w:val="es-MX"/>
        </w:rPr>
        <w:t>10</w:t>
      </w:r>
      <w:r>
        <w:rPr>
          <w:lang w:val="es-MX"/>
        </w:rPr>
        <w:t xml:space="preserve"> para el periodo 2015-2019. El número de hijos nacidos por mujer para los Estados Unidos en el 2015 es de 1.84 y el 2019 es de 1.71 hijos nacidos por mujer.    </w:t>
      </w:r>
    </w:p>
    <w:p w14:paraId="5813DA52" w14:textId="464B41E7" w:rsidR="00EB442A" w:rsidRPr="00997CBA" w:rsidRDefault="00EB442A" w:rsidP="00D975AB">
      <w:pPr>
        <w:pStyle w:val="TITULOTablasyFiguras"/>
        <w:jc w:val="both"/>
        <w:rPr>
          <w:rFonts w:cs="Times New Roman"/>
          <w:b/>
          <w:bCs/>
          <w:i w:val="0"/>
          <w:iCs w:val="0"/>
          <w:color w:val="auto"/>
        </w:rPr>
      </w:pPr>
      <w:r w:rsidRPr="00997CBA">
        <w:rPr>
          <w:rFonts w:cs="Times New Roman"/>
          <w:b/>
          <w:bCs/>
          <w:i w:val="0"/>
          <w:iCs w:val="0"/>
          <w:color w:val="auto"/>
        </w:rPr>
        <w:lastRenderedPageBreak/>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10</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660D88D9" w14:textId="7E0D1CB9" w:rsidR="00EB442A" w:rsidRPr="00997CBA" w:rsidRDefault="00EB442A" w:rsidP="00D975AB">
      <w:pPr>
        <w:pStyle w:val="TITULOTablasyFiguras"/>
        <w:jc w:val="both"/>
        <w:rPr>
          <w:rFonts w:cs="Times New Roman"/>
          <w:color w:val="auto"/>
        </w:rPr>
      </w:pPr>
      <w:r w:rsidRPr="00997CBA">
        <w:rPr>
          <w:rFonts w:cs="Times New Roman"/>
          <w:color w:val="auto"/>
        </w:rPr>
        <w:t>Tasa de fertilidad de 2015-2019</w:t>
      </w:r>
    </w:p>
    <w:p w14:paraId="67FD59BE" w14:textId="75A5354F" w:rsidR="00284B84" w:rsidRPr="00284B84" w:rsidRDefault="005B48B5" w:rsidP="00D975AB">
      <w:pPr>
        <w:pStyle w:val="APAPrrafo"/>
        <w:jc w:val="both"/>
        <w:rPr>
          <w:lang w:val="es-MX"/>
        </w:rPr>
      </w:pPr>
      <w:r>
        <w:rPr>
          <w:noProof/>
        </w:rPr>
        <w:drawing>
          <wp:inline distT="0" distB="0" distL="0" distR="0" wp14:anchorId="5DFB1128" wp14:editId="5F5B6C9F">
            <wp:extent cx="4680000" cy="2880000"/>
            <wp:effectExtent l="0" t="0" r="6350" b="15875"/>
            <wp:docPr id="10" name="Gráfico 10">
              <a:extLst xmlns:a="http://schemas.openxmlformats.org/drawingml/2006/main">
                <a:ext uri="{FF2B5EF4-FFF2-40B4-BE49-F238E27FC236}">
                  <a16:creationId xmlns:a16="http://schemas.microsoft.com/office/drawing/2014/main" id="{8A67BEDF-347E-4B8B-B574-F211B862E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76B1653" w14:textId="0E6A0EA0" w:rsidR="00284B84" w:rsidRDefault="009A404F" w:rsidP="00D975AB">
      <w:pPr>
        <w:pStyle w:val="NotasAPA"/>
        <w:jc w:val="both"/>
        <w:rPr>
          <w:lang w:val="es-MX"/>
        </w:rPr>
      </w:pPr>
      <w:r>
        <w:rPr>
          <w:lang w:val="es-MX"/>
        </w:rPr>
        <w:t>Nota. Elaboración propia con data del Banco Mundial</w:t>
      </w:r>
    </w:p>
    <w:p w14:paraId="79F62EA6" w14:textId="77777777" w:rsidR="00F0381E" w:rsidRPr="00F0381E" w:rsidRDefault="00F0381E" w:rsidP="00D975AB">
      <w:pPr>
        <w:pStyle w:val="NotasAPA"/>
        <w:jc w:val="both"/>
        <w:rPr>
          <w:lang w:val="es-MX"/>
        </w:rPr>
      </w:pPr>
    </w:p>
    <w:p w14:paraId="33BB1DAD" w14:textId="229B9350" w:rsidR="00946D38" w:rsidRPr="00997CBA" w:rsidRDefault="00946D38" w:rsidP="00D975AB">
      <w:pPr>
        <w:pStyle w:val="Ttulo2"/>
        <w:jc w:val="both"/>
        <w:rPr>
          <w:rFonts w:eastAsia="Time new roman" w:cs="Times New Roman"/>
        </w:rPr>
      </w:pPr>
      <w:bookmarkStart w:id="10" w:name="_Toc91548300"/>
      <w:r w:rsidRPr="00997CBA">
        <w:rPr>
          <w:rFonts w:eastAsia="Time new roman" w:cs="Times New Roman"/>
        </w:rPr>
        <w:t xml:space="preserve">Índice de </w:t>
      </w:r>
      <w:r w:rsidR="04525B47" w:rsidRPr="00997CBA">
        <w:rPr>
          <w:rFonts w:eastAsia="Time new roman" w:cs="Times New Roman"/>
          <w:bCs/>
        </w:rPr>
        <w:t>Desarrollo</w:t>
      </w:r>
      <w:r w:rsidRPr="00997CBA">
        <w:rPr>
          <w:rFonts w:eastAsia="Time new roman" w:cs="Times New Roman"/>
        </w:rPr>
        <w:t xml:space="preserve"> Humano</w:t>
      </w:r>
      <w:bookmarkEnd w:id="10"/>
    </w:p>
    <w:p w14:paraId="06253DC5" w14:textId="1CA7A612" w:rsidR="001663DE" w:rsidRPr="00997CBA" w:rsidRDefault="3B388138" w:rsidP="00D975AB">
      <w:pPr>
        <w:pStyle w:val="APAPrrafo"/>
        <w:jc w:val="both"/>
        <w:rPr>
          <w:rFonts w:eastAsia="Time new roman" w:cs="Times New Roman"/>
        </w:rPr>
      </w:pPr>
      <w:r w:rsidRPr="00997CBA">
        <w:rPr>
          <w:rFonts w:eastAsia="Time new roman" w:cs="Times New Roman"/>
        </w:rPr>
        <w:t>El</w:t>
      </w:r>
      <w:r w:rsidR="003A63E1" w:rsidRPr="00997CBA">
        <w:rPr>
          <w:rFonts w:eastAsia="Time new roman" w:cs="Times New Roman"/>
        </w:rPr>
        <w:t xml:space="preserve"> Índice de Desarrollo Humano combina indicadores de Producto Bruto Interno per cápita, esperanza de vida, mortalidad infantil, alfabetismo y escolaridad.</w:t>
      </w:r>
    </w:p>
    <w:p w14:paraId="411F306C" w14:textId="0D3BD1DE" w:rsidR="003A63E1" w:rsidRDefault="00E72853" w:rsidP="00D975AB">
      <w:pPr>
        <w:pStyle w:val="Ttulo3"/>
        <w:jc w:val="both"/>
      </w:pPr>
      <w:bookmarkStart w:id="11" w:name="_Toc91548301"/>
      <w:r>
        <w:t>Producto Bruto Interno Per Cápita</w:t>
      </w:r>
      <w:bookmarkEnd w:id="11"/>
    </w:p>
    <w:p w14:paraId="50AC2F10" w14:textId="07420666" w:rsidR="009B7FA1" w:rsidRDefault="009B7FA1" w:rsidP="00D975AB">
      <w:pPr>
        <w:pStyle w:val="APAPrrafo"/>
        <w:jc w:val="both"/>
      </w:pPr>
      <w:r>
        <w:t xml:space="preserve">El primer indicador relevante para analizar es el Producto Bruto Interno per cápita. Donde, para los Estados Unidos en el 2015 el ingreso per cápita fue de US$ 56,848.51 y además si uno ve la figura </w:t>
      </w:r>
      <w:r w:rsidR="79CAAAF5">
        <w:t>11</w:t>
      </w:r>
      <w:r>
        <w:t xml:space="preserve"> en el año 2019 tan solamente cuatro años después, dicho país presentó un Producto Bruto Interno de US$ 65,051.88 que representa alrededor de US$ 10, 000 más con respecto al año 2015.</w:t>
      </w:r>
    </w:p>
    <w:p w14:paraId="78964D67" w14:textId="3D74EAFA" w:rsidR="009B7FA1" w:rsidRDefault="009B7FA1" w:rsidP="00D975AB">
      <w:pPr>
        <w:pStyle w:val="APAPrrafo"/>
        <w:jc w:val="both"/>
      </w:pPr>
      <w:r>
        <w:lastRenderedPageBreak/>
        <w:t xml:space="preserve"> Entonces, si </w:t>
      </w:r>
      <w:r w:rsidR="2742E114">
        <w:t>uno</w:t>
      </w:r>
      <w:r>
        <w:t xml:space="preserve"> revisa el ingreso per cápita promedio de un país en desarrollo se da con la sorpresa que estos no logran tener un crecimiento tan rápido como el que tiene Estados Unidos u otros países desarrollados en el nivel ingreso per cápita.   </w:t>
      </w:r>
    </w:p>
    <w:p w14:paraId="0260DB1F" w14:textId="66145096" w:rsidR="00776D0D" w:rsidRPr="00997CBA" w:rsidRDefault="00776D0D" w:rsidP="00D975AB">
      <w:pPr>
        <w:pStyle w:val="TITULOTablasyFiguras"/>
        <w:jc w:val="both"/>
        <w:rPr>
          <w:rFonts w:cs="Times New Roman"/>
          <w:b/>
          <w:bCs/>
          <w:i w:val="0"/>
          <w:iCs w:val="0"/>
          <w:color w:val="auto"/>
        </w:rPr>
      </w:pPr>
      <w:r w:rsidRPr="00997CBA">
        <w:rPr>
          <w:rFonts w:cs="Times New Roman"/>
          <w:b/>
          <w:bCs/>
          <w:i w:val="0"/>
          <w:iCs w:val="0"/>
          <w:color w:val="auto"/>
        </w:rPr>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11</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1F12B2AA" w14:textId="2D494F16" w:rsidR="00776D0D" w:rsidRPr="00997CBA" w:rsidRDefault="00776D0D" w:rsidP="00D975AB">
      <w:pPr>
        <w:pStyle w:val="TITULOTablasyFiguras"/>
        <w:jc w:val="both"/>
        <w:rPr>
          <w:rFonts w:cs="Times New Roman"/>
          <w:color w:val="auto"/>
        </w:rPr>
      </w:pPr>
      <w:r w:rsidRPr="00997CBA">
        <w:rPr>
          <w:rFonts w:cs="Times New Roman"/>
          <w:color w:val="auto"/>
        </w:rPr>
        <w:t xml:space="preserve">Producto Bruto Interno per cápita de </w:t>
      </w:r>
      <w:r w:rsidR="00281AE2" w:rsidRPr="00997CBA">
        <w:rPr>
          <w:rFonts w:cs="Times New Roman"/>
          <w:color w:val="auto"/>
        </w:rPr>
        <w:t>EE. UU.</w:t>
      </w:r>
      <w:r w:rsidRPr="00997CBA">
        <w:rPr>
          <w:rFonts w:cs="Times New Roman"/>
          <w:color w:val="auto"/>
        </w:rPr>
        <w:t xml:space="preserve"> a precios corrientes 2015-2019.</w:t>
      </w:r>
    </w:p>
    <w:p w14:paraId="2E7662AB" w14:textId="2BBA25D1" w:rsidR="009B7FA1" w:rsidRDefault="00776D0D" w:rsidP="00D975AB">
      <w:pPr>
        <w:pStyle w:val="APAPrrafo"/>
        <w:jc w:val="both"/>
      </w:pPr>
      <w:r>
        <w:rPr>
          <w:noProof/>
        </w:rPr>
        <w:drawing>
          <wp:inline distT="0" distB="0" distL="0" distR="0" wp14:anchorId="5050A057" wp14:editId="2AF65FAC">
            <wp:extent cx="4680000" cy="2880000"/>
            <wp:effectExtent l="0" t="0" r="6350" b="15875"/>
            <wp:docPr id="4" name="Gráfico 4">
              <a:extLst xmlns:a="http://schemas.openxmlformats.org/drawingml/2006/main">
                <a:ext uri="{FF2B5EF4-FFF2-40B4-BE49-F238E27FC236}">
                  <a16:creationId xmlns:a16="http://schemas.microsoft.com/office/drawing/2014/main" id="{EEC49F3A-F671-42B9-9A2A-3A438AB871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4337D7E" w14:textId="46BE6BC1" w:rsidR="00776D0D" w:rsidRDefault="009B7FA1" w:rsidP="00D975AB">
      <w:pPr>
        <w:pStyle w:val="NotasAPA"/>
        <w:jc w:val="both"/>
      </w:pPr>
      <w:r>
        <w:t>Nota. Elaboración propia con dada del Fondo Monetario Internacional</w:t>
      </w:r>
    </w:p>
    <w:p w14:paraId="59A2A63B" w14:textId="77777777" w:rsidR="00F0381E" w:rsidRPr="001663DE" w:rsidRDefault="00F0381E" w:rsidP="00D975AB">
      <w:pPr>
        <w:pStyle w:val="NotasAPA"/>
        <w:jc w:val="both"/>
      </w:pPr>
    </w:p>
    <w:p w14:paraId="2C6E463F" w14:textId="0CB9565B" w:rsidR="00946D38" w:rsidRDefault="00212E3A" w:rsidP="00D975AB">
      <w:pPr>
        <w:pStyle w:val="Ttulo3"/>
        <w:jc w:val="both"/>
      </w:pPr>
      <w:bookmarkStart w:id="12" w:name="_Toc91548302"/>
      <w:r>
        <w:t>Esperanza de vida al nacer</w:t>
      </w:r>
      <w:bookmarkEnd w:id="12"/>
    </w:p>
    <w:p w14:paraId="0C36D471" w14:textId="082FF055" w:rsidR="00212E3A" w:rsidRDefault="004E17EF" w:rsidP="00D975AB">
      <w:pPr>
        <w:pStyle w:val="APAPrrafo"/>
        <w:jc w:val="both"/>
      </w:pPr>
      <w:r w:rsidRPr="004E17EF">
        <w:t xml:space="preserve">El segundo indicador que también es muy importante para analizar es la esperanza de vida de los habitantes. A continuación, se muestra en la siguiente figura </w:t>
      </w:r>
      <w:r w:rsidR="21738DA2">
        <w:t>12</w:t>
      </w:r>
      <w:r w:rsidRPr="004E17EF">
        <w:t>, donde podemos notar que en el 2015 la esperanza de vida fue levemente mayor a los años 2016 y 2017 hasta el 2019 dicha esperanza de vida siguió aumentando; es decir, es un indicador muy importante debido a que la población se alimenta mejor y goza de mejores servicios de atención médica.</w:t>
      </w:r>
    </w:p>
    <w:p w14:paraId="23252E2E" w14:textId="33C7043F" w:rsidR="00261818" w:rsidRPr="00997CBA" w:rsidRDefault="00E405F8" w:rsidP="00D975AB">
      <w:pPr>
        <w:pStyle w:val="TITULOTablasyFiguras"/>
        <w:jc w:val="both"/>
        <w:rPr>
          <w:rFonts w:cs="Times New Roman"/>
          <w:b/>
          <w:bCs/>
          <w:i w:val="0"/>
          <w:iCs w:val="0"/>
          <w:color w:val="auto"/>
        </w:rPr>
      </w:pPr>
      <w:r w:rsidRPr="00997CBA">
        <w:rPr>
          <w:rFonts w:cs="Times New Roman"/>
          <w:b/>
          <w:bCs/>
          <w:i w:val="0"/>
          <w:iCs w:val="0"/>
          <w:color w:val="auto"/>
        </w:rPr>
        <w:lastRenderedPageBreak/>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12</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74614AD2" w14:textId="3E822DD6" w:rsidR="00E405F8" w:rsidRPr="00997CBA" w:rsidRDefault="00E405F8" w:rsidP="00D975AB">
      <w:pPr>
        <w:pStyle w:val="TITULOTablasyFiguras"/>
        <w:jc w:val="both"/>
        <w:rPr>
          <w:rFonts w:cs="Times New Roman"/>
          <w:color w:val="auto"/>
        </w:rPr>
      </w:pPr>
      <w:r w:rsidRPr="00997CBA">
        <w:rPr>
          <w:rFonts w:cs="Times New Roman"/>
          <w:color w:val="auto"/>
        </w:rPr>
        <w:t>Esperanza de vida al nacer 2015 a 2019</w:t>
      </w:r>
    </w:p>
    <w:p w14:paraId="0BCE561C" w14:textId="7A3ECF51" w:rsidR="004E17EF" w:rsidRDefault="00BD05DD" w:rsidP="00D975AB">
      <w:pPr>
        <w:pStyle w:val="APAPrrafo"/>
        <w:jc w:val="both"/>
      </w:pPr>
      <w:r>
        <w:rPr>
          <w:noProof/>
        </w:rPr>
        <w:drawing>
          <wp:inline distT="0" distB="0" distL="0" distR="0" wp14:anchorId="56A45D39" wp14:editId="1EC49187">
            <wp:extent cx="4680000" cy="2880000"/>
            <wp:effectExtent l="0" t="0" r="6350" b="15875"/>
            <wp:docPr id="11" name="Gráfico 11">
              <a:extLst xmlns:a="http://schemas.openxmlformats.org/drawingml/2006/main">
                <a:ext uri="{FF2B5EF4-FFF2-40B4-BE49-F238E27FC236}">
                  <a16:creationId xmlns:a16="http://schemas.microsoft.com/office/drawing/2014/main" id="{74A4F2B5-85A3-4208-A31B-967D35D7F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378D59" w14:textId="13BC3578" w:rsidR="00F0381E" w:rsidRPr="00B27B5E" w:rsidRDefault="00261818" w:rsidP="007254E0">
      <w:pPr>
        <w:pStyle w:val="NotasAPA"/>
        <w:jc w:val="both"/>
        <w:rPr>
          <w:lang w:val="es-MX"/>
        </w:rPr>
      </w:pPr>
      <w:r>
        <w:rPr>
          <w:lang w:val="es-MX"/>
        </w:rPr>
        <w:t>Nota. Elaboración propia con data del Banco Mundial</w:t>
      </w:r>
    </w:p>
    <w:p w14:paraId="1D89B4E8" w14:textId="07BCAF57" w:rsidR="00946D38" w:rsidRDefault="00B27B5E" w:rsidP="00D975AB">
      <w:pPr>
        <w:pStyle w:val="Ttulo3"/>
        <w:jc w:val="both"/>
      </w:pPr>
      <w:bookmarkStart w:id="13" w:name="_Toc91548303"/>
      <w:r>
        <w:t>Mortalidad infantil</w:t>
      </w:r>
      <w:bookmarkEnd w:id="13"/>
    </w:p>
    <w:p w14:paraId="367B3B1E" w14:textId="2BF7E002" w:rsidR="00B27B5E" w:rsidRDefault="005A0261" w:rsidP="00D975AB">
      <w:pPr>
        <w:pStyle w:val="APAPrrafo"/>
        <w:jc w:val="both"/>
      </w:pPr>
      <w:r w:rsidRPr="005A0261">
        <w:t xml:space="preserve">Asimismo, el tercer indicador relevante </w:t>
      </w:r>
      <w:proofErr w:type="gramStart"/>
      <w:r w:rsidR="11CA98EC">
        <w:t>a</w:t>
      </w:r>
      <w:proofErr w:type="gramEnd"/>
      <w:r w:rsidRPr="005A0261">
        <w:t xml:space="preserve"> tener en cuenta es la mortalidad infantil para la población de los Estados Unidos en el periodo 2015-2019, donde en los años 2015 y 2016 las muertes por cada 1000 niños nacidos vivos fueron de 5.8 y se nota una ligera disminución de la mortalidad infantil logrando tener en los años 2018 y 2019 unos 5.6 muertos por cada 1000 nacidos vivos.</w:t>
      </w:r>
    </w:p>
    <w:p w14:paraId="2AD027CF" w14:textId="11A396D2" w:rsidR="00907580" w:rsidRPr="00997CBA" w:rsidRDefault="00907580" w:rsidP="00D975AB">
      <w:pPr>
        <w:pStyle w:val="TITULOTablasyFiguras"/>
        <w:jc w:val="both"/>
        <w:rPr>
          <w:rFonts w:cs="Times New Roman"/>
          <w:b/>
          <w:bCs/>
          <w:i w:val="0"/>
          <w:iCs w:val="0"/>
          <w:color w:val="auto"/>
        </w:rPr>
      </w:pPr>
      <w:r w:rsidRPr="00997CBA">
        <w:rPr>
          <w:rFonts w:cs="Times New Roman"/>
          <w:b/>
          <w:bCs/>
          <w:i w:val="0"/>
          <w:iCs w:val="0"/>
          <w:color w:val="auto"/>
        </w:rPr>
        <w:lastRenderedPageBreak/>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13</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6B360DAF" w14:textId="40EB3549" w:rsidR="00907580" w:rsidRPr="00997CBA" w:rsidRDefault="00907580" w:rsidP="00D975AB">
      <w:pPr>
        <w:pStyle w:val="TITULOTablasyFiguras"/>
        <w:jc w:val="both"/>
        <w:rPr>
          <w:rFonts w:cs="Times New Roman"/>
          <w:color w:val="auto"/>
        </w:rPr>
      </w:pPr>
      <w:r w:rsidRPr="00997CBA">
        <w:rPr>
          <w:rFonts w:cs="Times New Roman"/>
          <w:color w:val="auto"/>
        </w:rPr>
        <w:t xml:space="preserve">Mortalidad infantil en los </w:t>
      </w:r>
      <w:r w:rsidR="00281AE2" w:rsidRPr="00997CBA">
        <w:rPr>
          <w:rFonts w:cs="Times New Roman"/>
          <w:color w:val="auto"/>
        </w:rPr>
        <w:t>EE. UU.</w:t>
      </w:r>
      <w:r w:rsidRPr="00997CBA">
        <w:rPr>
          <w:rFonts w:cs="Times New Roman"/>
          <w:color w:val="auto"/>
        </w:rPr>
        <w:t xml:space="preserve"> de 2015-2019 (muertes por cada 1000 nacidos vivos)</w:t>
      </w:r>
    </w:p>
    <w:p w14:paraId="3B3F72E7" w14:textId="2E7429A5" w:rsidR="005A0261" w:rsidRDefault="00CD28CB" w:rsidP="00D975AB">
      <w:pPr>
        <w:pStyle w:val="APAPrrafo"/>
        <w:jc w:val="both"/>
      </w:pPr>
      <w:r>
        <w:rPr>
          <w:noProof/>
        </w:rPr>
        <w:drawing>
          <wp:inline distT="0" distB="0" distL="0" distR="0" wp14:anchorId="396E7183" wp14:editId="5630BF41">
            <wp:extent cx="4680000" cy="2880000"/>
            <wp:effectExtent l="0" t="0" r="6350" b="15875"/>
            <wp:docPr id="12" name="Gráfico 12">
              <a:extLst xmlns:a="http://schemas.openxmlformats.org/drawingml/2006/main">
                <a:ext uri="{FF2B5EF4-FFF2-40B4-BE49-F238E27FC236}">
                  <a16:creationId xmlns:a16="http://schemas.microsoft.com/office/drawing/2014/main" id="{2B4A289D-8D7D-461B-9B62-85EE1CAA10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15B7CB3" w14:textId="1508B0FC" w:rsidR="00F0381E" w:rsidRDefault="006E4181" w:rsidP="00D975AB">
      <w:pPr>
        <w:pStyle w:val="NotasAPA"/>
        <w:jc w:val="both"/>
        <w:rPr>
          <w:lang w:val="es-MX"/>
        </w:rPr>
      </w:pPr>
      <w:r>
        <w:rPr>
          <w:lang w:val="es-MX"/>
        </w:rPr>
        <w:t>Nota. Elaboración propia con data del Banco Mundial</w:t>
      </w:r>
    </w:p>
    <w:p w14:paraId="6715CE14" w14:textId="77777777" w:rsidR="00F0381E" w:rsidRPr="00150E7C" w:rsidRDefault="00F0381E" w:rsidP="00D975AB">
      <w:pPr>
        <w:pStyle w:val="NotasAPA"/>
        <w:jc w:val="both"/>
        <w:rPr>
          <w:lang w:val="es-MX"/>
        </w:rPr>
      </w:pPr>
    </w:p>
    <w:p w14:paraId="53492CE4" w14:textId="1D3DD705" w:rsidR="00946D38" w:rsidRPr="00103100" w:rsidRDefault="00946D38" w:rsidP="00D975AB">
      <w:pPr>
        <w:pStyle w:val="Ttulo2"/>
        <w:jc w:val="both"/>
        <w:rPr>
          <w:rFonts w:cs="Roboto"/>
        </w:rPr>
      </w:pPr>
      <w:bookmarkStart w:id="14" w:name="_Toc91548304"/>
      <w:r w:rsidRPr="2F69953D">
        <w:rPr>
          <w:rFonts w:cs="Roboto"/>
        </w:rPr>
        <w:t>Investigación y Desarrollo</w:t>
      </w:r>
      <w:bookmarkEnd w:id="14"/>
    </w:p>
    <w:p w14:paraId="680893B0" w14:textId="0AC3EF91" w:rsidR="00861DD8" w:rsidRDefault="006E75FF" w:rsidP="00D975AB">
      <w:pPr>
        <w:pStyle w:val="APAPrrafo"/>
        <w:jc w:val="both"/>
        <w:rPr>
          <w:rFonts w:cs="Roboto"/>
          <w:szCs w:val="24"/>
        </w:rPr>
      </w:pPr>
      <w:r w:rsidRPr="00103100">
        <w:t>S</w:t>
      </w:r>
      <w:r w:rsidR="00F8406A" w:rsidRPr="00103100">
        <w:t>egún</w:t>
      </w:r>
      <w:r w:rsidRPr="00103100">
        <w:t xml:space="preserve"> </w:t>
      </w:r>
      <w:r w:rsidR="003D6A70" w:rsidRPr="00103100">
        <w:t>e</w:t>
      </w:r>
      <w:r w:rsidR="003E4519" w:rsidRPr="00103100">
        <w:t>l</w:t>
      </w:r>
      <w:r w:rsidR="00F135EF" w:rsidRPr="00103100">
        <w:t xml:space="preserve"> Instituto de Estadística de la ONU</w:t>
      </w:r>
      <w:r w:rsidR="003E4519" w:rsidRPr="00103100">
        <w:t xml:space="preserve">, en </w:t>
      </w:r>
      <w:r w:rsidR="00F801B4" w:rsidRPr="00103100">
        <w:t>EE. UU.</w:t>
      </w:r>
      <w:r w:rsidR="00414AD2" w:rsidRPr="00103100">
        <w:t xml:space="preserve"> </w:t>
      </w:r>
      <w:r w:rsidR="00DE3AD6" w:rsidRPr="00103100">
        <w:t>l</w:t>
      </w:r>
      <w:r w:rsidR="003E4519" w:rsidRPr="00103100">
        <w:t>os gastos</w:t>
      </w:r>
      <w:r w:rsidR="00DE3AD6" w:rsidRPr="00103100">
        <w:t xml:space="preserve"> en I-D</w:t>
      </w:r>
      <w:r w:rsidR="00F801B4" w:rsidRPr="00103100">
        <w:t xml:space="preserve"> en porcentaje del PIB</w:t>
      </w:r>
      <w:r w:rsidR="00DE3AD6" w:rsidRPr="00103100">
        <w:t xml:space="preserve"> </w:t>
      </w:r>
      <w:r w:rsidR="003E4519" w:rsidRPr="00103100">
        <w:t xml:space="preserve">durante los </w:t>
      </w:r>
      <w:r w:rsidR="009A33C9" w:rsidRPr="00103100">
        <w:t>últimos 5 años fueron</w:t>
      </w:r>
      <w:r w:rsidR="005C75F1" w:rsidRPr="00103100">
        <w:t xml:space="preserve"> </w:t>
      </w:r>
      <w:r w:rsidR="003D6A70" w:rsidRPr="00103100">
        <w:t>2015</w:t>
      </w:r>
      <w:r w:rsidR="005C75F1" w:rsidRPr="00103100">
        <w:t xml:space="preserve"> (2.72%),</w:t>
      </w:r>
      <w:r w:rsidR="003D6A70" w:rsidRPr="00103100">
        <w:t xml:space="preserve"> 2016</w:t>
      </w:r>
      <w:r w:rsidR="005C75F1" w:rsidRPr="00103100">
        <w:t xml:space="preserve"> (2.76%), 2017 (2.82%), 2018 (</w:t>
      </w:r>
      <w:r w:rsidR="00F801B4" w:rsidRPr="00103100">
        <w:t>2.83%</w:t>
      </w:r>
      <w:r w:rsidR="005C75F1" w:rsidRPr="00103100">
        <w:t>)</w:t>
      </w:r>
      <w:r w:rsidR="00D23C78">
        <w:t xml:space="preserve"> y 2019 (2.88%)</w:t>
      </w:r>
      <w:r w:rsidR="009B4141">
        <w:t>.</w:t>
      </w:r>
    </w:p>
    <w:p w14:paraId="22C9A1CA" w14:textId="588D2FB5" w:rsidR="000F2CEE" w:rsidRPr="002B3512" w:rsidRDefault="000F2CEE" w:rsidP="00D975AB">
      <w:pPr>
        <w:pStyle w:val="TITULOTablasyFiguras"/>
        <w:jc w:val="both"/>
        <w:rPr>
          <w:b/>
          <w:i w:val="0"/>
          <w:color w:val="auto"/>
        </w:rPr>
      </w:pPr>
      <w:r w:rsidRPr="002B3512">
        <w:rPr>
          <w:b/>
          <w:i w:val="0"/>
          <w:color w:val="auto"/>
        </w:rPr>
        <w:lastRenderedPageBreak/>
        <w:t xml:space="preserve">Figura </w:t>
      </w:r>
      <w:r w:rsidR="00564355">
        <w:rPr>
          <w:b/>
          <w:i w:val="0"/>
          <w:color w:val="auto"/>
        </w:rPr>
        <w:fldChar w:fldCharType="begin"/>
      </w:r>
      <w:r w:rsidR="00564355">
        <w:rPr>
          <w:b/>
          <w:i w:val="0"/>
          <w:color w:val="auto"/>
        </w:rPr>
        <w:instrText xml:space="preserve"> SEQ Figura \* ARABIC </w:instrText>
      </w:r>
      <w:r w:rsidR="00564355">
        <w:rPr>
          <w:b/>
          <w:i w:val="0"/>
          <w:color w:val="auto"/>
        </w:rPr>
        <w:fldChar w:fldCharType="separate"/>
      </w:r>
      <w:r w:rsidR="00383437">
        <w:rPr>
          <w:b/>
          <w:i w:val="0"/>
          <w:noProof/>
          <w:color w:val="auto"/>
        </w:rPr>
        <w:t>14</w:t>
      </w:r>
      <w:r w:rsidR="00564355">
        <w:rPr>
          <w:b/>
          <w:i w:val="0"/>
          <w:color w:val="auto"/>
        </w:rPr>
        <w:fldChar w:fldCharType="end"/>
      </w:r>
      <w:r w:rsidRPr="002B3512">
        <w:rPr>
          <w:b/>
          <w:i w:val="0"/>
          <w:color w:val="auto"/>
        </w:rPr>
        <w:t xml:space="preserve"> </w:t>
      </w:r>
    </w:p>
    <w:p w14:paraId="331860DB" w14:textId="6166C33E" w:rsidR="000F2CEE" w:rsidRPr="00997CBA" w:rsidRDefault="000F2CEE" w:rsidP="00D975AB">
      <w:pPr>
        <w:pStyle w:val="TITULOTablasyFiguras"/>
        <w:jc w:val="both"/>
        <w:rPr>
          <w:rFonts w:cs="Times New Roman"/>
          <w:color w:val="auto"/>
        </w:rPr>
      </w:pPr>
      <w:r w:rsidRPr="00C00BFD">
        <w:rPr>
          <w:rFonts w:cs="Roboto"/>
          <w:noProof/>
          <w:color w:val="auto"/>
          <w:sz w:val="22"/>
          <w:szCs w:val="22"/>
        </w:rPr>
        <w:drawing>
          <wp:anchor distT="0" distB="0" distL="114300" distR="114300" simplePos="0" relativeHeight="251658240" behindDoc="0" locked="0" layoutInCell="1" allowOverlap="1" wp14:anchorId="60CE7F24" wp14:editId="67357080">
            <wp:simplePos x="0" y="0"/>
            <wp:positionH relativeFrom="column">
              <wp:posOffset>451485</wp:posOffset>
            </wp:positionH>
            <wp:positionV relativeFrom="paragraph">
              <wp:posOffset>349885</wp:posOffset>
            </wp:positionV>
            <wp:extent cx="4680000" cy="2880000"/>
            <wp:effectExtent l="0" t="0" r="6350" b="15875"/>
            <wp:wrapSquare wrapText="bothSides"/>
            <wp:docPr id="1" name="Gráfico 1">
              <a:extLst xmlns:a="http://schemas.openxmlformats.org/drawingml/2006/main">
                <a:ext uri="{FF2B5EF4-FFF2-40B4-BE49-F238E27FC236}">
                  <a16:creationId xmlns:a16="http://schemas.microsoft.com/office/drawing/2014/main" id="{10CB9D35-DD46-4E7C-87C9-8B03E1310C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Pr="002B3512">
        <w:rPr>
          <w:color w:val="auto"/>
        </w:rPr>
        <w:t>Gasto en investigación y desarrollo (% del PIB</w:t>
      </w:r>
      <w:r w:rsidRPr="00997CBA">
        <w:rPr>
          <w:rFonts w:cs="Times New Roman"/>
          <w:color w:val="auto"/>
        </w:rPr>
        <w:t>)</w:t>
      </w:r>
    </w:p>
    <w:p w14:paraId="1C7274A1" w14:textId="77777777" w:rsidR="00FC57D3" w:rsidRPr="00997CBA" w:rsidRDefault="00FC57D3" w:rsidP="00D975AB">
      <w:pPr>
        <w:pStyle w:val="TITULOTablasyFiguras"/>
        <w:jc w:val="both"/>
        <w:rPr>
          <w:rFonts w:cs="Times New Roman"/>
          <w:color w:val="auto"/>
        </w:rPr>
      </w:pPr>
    </w:p>
    <w:p w14:paraId="53DAE892" w14:textId="77777777" w:rsidR="00FC57D3" w:rsidRPr="00997CBA" w:rsidRDefault="00FC57D3" w:rsidP="00D975AB">
      <w:pPr>
        <w:pStyle w:val="TITULOTablasyFiguras"/>
        <w:jc w:val="both"/>
        <w:rPr>
          <w:rFonts w:cs="Times New Roman"/>
          <w:color w:val="auto"/>
          <w:szCs w:val="24"/>
        </w:rPr>
      </w:pPr>
    </w:p>
    <w:p w14:paraId="0A6068C9" w14:textId="1575C081" w:rsidR="000F2CEE" w:rsidRDefault="000F2CEE" w:rsidP="00D975AB">
      <w:pPr>
        <w:keepNext/>
        <w:jc w:val="both"/>
      </w:pPr>
    </w:p>
    <w:p w14:paraId="3685D04E" w14:textId="77777777" w:rsidR="000F2CEE" w:rsidRDefault="000F2CEE" w:rsidP="00D975AB">
      <w:pPr>
        <w:jc w:val="both"/>
        <w:rPr>
          <w:rFonts w:cs="Roboto"/>
          <w:szCs w:val="24"/>
        </w:rPr>
      </w:pPr>
    </w:p>
    <w:p w14:paraId="628FB135" w14:textId="77777777" w:rsidR="000F2CEE" w:rsidRDefault="000F2CEE" w:rsidP="00D975AB">
      <w:pPr>
        <w:jc w:val="both"/>
        <w:rPr>
          <w:rFonts w:cs="Roboto"/>
          <w:szCs w:val="24"/>
        </w:rPr>
      </w:pPr>
    </w:p>
    <w:p w14:paraId="0F61A0D8" w14:textId="77777777" w:rsidR="000F2CEE" w:rsidRDefault="000F2CEE" w:rsidP="00D975AB">
      <w:pPr>
        <w:jc w:val="both"/>
        <w:rPr>
          <w:rFonts w:cs="Roboto"/>
          <w:szCs w:val="24"/>
        </w:rPr>
      </w:pPr>
    </w:p>
    <w:p w14:paraId="30223681" w14:textId="77777777" w:rsidR="000F2CEE" w:rsidRDefault="000F2CEE" w:rsidP="00D975AB">
      <w:pPr>
        <w:jc w:val="both"/>
        <w:rPr>
          <w:rFonts w:cs="Roboto"/>
          <w:szCs w:val="24"/>
        </w:rPr>
      </w:pPr>
    </w:p>
    <w:p w14:paraId="10B5061B" w14:textId="77777777" w:rsidR="000F2CEE" w:rsidRDefault="000F2CEE" w:rsidP="00D975AB">
      <w:pPr>
        <w:jc w:val="both"/>
        <w:rPr>
          <w:rFonts w:cs="Roboto"/>
          <w:szCs w:val="24"/>
        </w:rPr>
      </w:pPr>
    </w:p>
    <w:p w14:paraId="1E211D5F" w14:textId="77777777" w:rsidR="00B469E7" w:rsidRDefault="00B469E7" w:rsidP="00D975AB">
      <w:pPr>
        <w:pStyle w:val="NotasAPA"/>
        <w:jc w:val="both"/>
      </w:pPr>
    </w:p>
    <w:p w14:paraId="65FFD96E" w14:textId="58CBF15D" w:rsidR="00F0381E" w:rsidRPr="00F0381E" w:rsidRDefault="000F2CEE" w:rsidP="00997CBA">
      <w:pPr>
        <w:pStyle w:val="NotasAPA"/>
        <w:jc w:val="both"/>
      </w:pPr>
      <w:r>
        <w:t xml:space="preserve">Nota: </w:t>
      </w:r>
      <w:r w:rsidR="00743E08">
        <w:t>Banco mundial, elaboración propia</w:t>
      </w:r>
    </w:p>
    <w:p w14:paraId="31175A2B" w14:textId="7BB9A3FD" w:rsidR="00F0381E" w:rsidRPr="00103100" w:rsidRDefault="00444B4D" w:rsidP="00997CBA">
      <w:pPr>
        <w:pStyle w:val="APAPrrafo"/>
        <w:jc w:val="both"/>
      </w:pPr>
      <w:r w:rsidRPr="00103100">
        <w:t xml:space="preserve">Siendo </w:t>
      </w:r>
      <w:r w:rsidR="005B7F76" w:rsidRPr="00103100">
        <w:t>EE. UU.</w:t>
      </w:r>
      <w:r w:rsidRPr="00103100">
        <w:t xml:space="preserve"> uno de los países</w:t>
      </w:r>
      <w:r w:rsidR="00C74E4E" w:rsidRPr="00103100">
        <w:t xml:space="preserve"> líderes por gasto bruto en investigación y desarrollo (I + D) en todo el mundo </w:t>
      </w:r>
      <w:r w:rsidR="007E0C6D" w:rsidRPr="00103100">
        <w:t>para el</w:t>
      </w:r>
      <w:r w:rsidR="00C74E4E" w:rsidRPr="00103100">
        <w:t xml:space="preserve"> 20</w:t>
      </w:r>
      <w:r w:rsidR="009D6AD7">
        <w:t>19</w:t>
      </w:r>
      <w:r w:rsidR="00C74E4E" w:rsidRPr="00103100">
        <w:t xml:space="preserve"> (en miles de millones de dólares estadounidenses)</w:t>
      </w:r>
    </w:p>
    <w:p w14:paraId="1FDCEA89" w14:textId="49C85B53" w:rsidR="00946D38" w:rsidRPr="00103100" w:rsidRDefault="00E70FF6" w:rsidP="00D975AB">
      <w:pPr>
        <w:pStyle w:val="Ttulo3"/>
        <w:jc w:val="both"/>
        <w:rPr>
          <w:rFonts w:cs="Roboto"/>
        </w:rPr>
      </w:pPr>
      <w:bookmarkStart w:id="15" w:name="_Toc91548305"/>
      <w:r>
        <w:rPr>
          <w:rFonts w:cs="Roboto"/>
        </w:rPr>
        <w:t>Empresas</w:t>
      </w:r>
      <w:bookmarkEnd w:id="15"/>
    </w:p>
    <w:p w14:paraId="4E051476" w14:textId="7067A289" w:rsidR="006F48CF" w:rsidRPr="00103100" w:rsidRDefault="006F48CF" w:rsidP="00D975AB">
      <w:pPr>
        <w:pStyle w:val="APAPrrafo"/>
        <w:jc w:val="both"/>
      </w:pPr>
      <w:r w:rsidRPr="00103100">
        <w:t>La inversión en los campos de investigación, innovación y desarrollo ha sido una de las</w:t>
      </w:r>
      <w:r w:rsidR="003D2502" w:rsidRPr="00103100">
        <w:t xml:space="preserve"> </w:t>
      </w:r>
      <w:r w:rsidRPr="00103100">
        <w:t>grandes apuestas de la</w:t>
      </w:r>
      <w:r w:rsidR="003D2502" w:rsidRPr="00103100">
        <w:t>s</w:t>
      </w:r>
      <w:r w:rsidRPr="00103100">
        <w:t xml:space="preserve"> compañía</w:t>
      </w:r>
      <w:r w:rsidR="003D2502" w:rsidRPr="00103100">
        <w:t>s</w:t>
      </w:r>
      <w:r w:rsidRPr="00103100">
        <w:t xml:space="preserve"> norteamericana</w:t>
      </w:r>
      <w:r w:rsidR="003D2502" w:rsidRPr="00103100">
        <w:t>s</w:t>
      </w:r>
      <w:r w:rsidRPr="00103100">
        <w:t xml:space="preserve"> durante los últimos años, como lo</w:t>
      </w:r>
      <w:r w:rsidR="003D2502" w:rsidRPr="00103100">
        <w:t xml:space="preserve"> </w:t>
      </w:r>
      <w:r w:rsidRPr="00103100">
        <w:t xml:space="preserve">demuestra el hecho de que </w:t>
      </w:r>
      <w:r w:rsidR="00A218D5" w:rsidRPr="00103100">
        <w:t>el</w:t>
      </w:r>
      <w:r w:rsidRPr="00103100">
        <w:t xml:space="preserve"> año 2019 </w:t>
      </w:r>
      <w:r w:rsidR="00A0249C" w:rsidRPr="00103100">
        <w:t xml:space="preserve">se tuvo un </w:t>
      </w:r>
      <w:r w:rsidRPr="00103100">
        <w:t>gasto superior a los 26.000 millones de</w:t>
      </w:r>
      <w:r w:rsidR="003D2502" w:rsidRPr="00103100">
        <w:t xml:space="preserve"> </w:t>
      </w:r>
      <w:r w:rsidRPr="00103100">
        <w:t xml:space="preserve">dólares estadounidenses. </w:t>
      </w:r>
    </w:p>
    <w:p w14:paraId="2BD5CE61" w14:textId="4BC2BF82" w:rsidR="00916A85" w:rsidRPr="00916A85" w:rsidRDefault="00916A85" w:rsidP="00D975AB">
      <w:pPr>
        <w:pStyle w:val="TITULOTablasyFiguras"/>
        <w:jc w:val="both"/>
        <w:rPr>
          <w:b/>
          <w:i w:val="0"/>
          <w:color w:val="auto"/>
        </w:rPr>
      </w:pPr>
      <w:r w:rsidRPr="00916A85">
        <w:rPr>
          <w:b/>
          <w:i w:val="0"/>
          <w:color w:val="auto"/>
        </w:rPr>
        <w:lastRenderedPageBreak/>
        <w:t xml:space="preserve">Figura </w:t>
      </w:r>
      <w:r w:rsidR="00564355">
        <w:rPr>
          <w:b/>
          <w:i w:val="0"/>
          <w:color w:val="auto"/>
        </w:rPr>
        <w:fldChar w:fldCharType="begin"/>
      </w:r>
      <w:r w:rsidR="00564355">
        <w:rPr>
          <w:b/>
          <w:i w:val="0"/>
          <w:color w:val="auto"/>
        </w:rPr>
        <w:instrText xml:space="preserve"> SEQ Figura \* ARABIC </w:instrText>
      </w:r>
      <w:r w:rsidR="00564355">
        <w:rPr>
          <w:b/>
          <w:i w:val="0"/>
          <w:color w:val="auto"/>
        </w:rPr>
        <w:fldChar w:fldCharType="separate"/>
      </w:r>
      <w:r w:rsidR="00383437">
        <w:rPr>
          <w:b/>
          <w:i w:val="0"/>
          <w:noProof/>
          <w:color w:val="auto"/>
        </w:rPr>
        <w:t>15</w:t>
      </w:r>
      <w:r w:rsidR="00564355">
        <w:rPr>
          <w:b/>
          <w:i w:val="0"/>
          <w:color w:val="auto"/>
        </w:rPr>
        <w:fldChar w:fldCharType="end"/>
      </w:r>
      <w:r w:rsidRPr="00916A85">
        <w:rPr>
          <w:b/>
          <w:i w:val="0"/>
          <w:color w:val="auto"/>
        </w:rPr>
        <w:t xml:space="preserve"> </w:t>
      </w:r>
    </w:p>
    <w:p w14:paraId="525FC1C1" w14:textId="0F3C3C94" w:rsidR="00916A85" w:rsidRPr="00916A85" w:rsidRDefault="00916A85" w:rsidP="00D975AB">
      <w:pPr>
        <w:pStyle w:val="TITULOTablasyFiguras"/>
        <w:jc w:val="both"/>
        <w:rPr>
          <w:color w:val="auto"/>
        </w:rPr>
      </w:pPr>
      <w:r w:rsidRPr="00997CBA">
        <w:rPr>
          <w:rFonts w:cs="Times New Roman"/>
          <w:noProof/>
          <w:color w:val="auto"/>
          <w:sz w:val="22"/>
          <w:szCs w:val="22"/>
        </w:rPr>
        <w:drawing>
          <wp:anchor distT="0" distB="0" distL="114300" distR="114300" simplePos="0" relativeHeight="251658241" behindDoc="0" locked="0" layoutInCell="1" allowOverlap="1" wp14:anchorId="52FCCFBB" wp14:editId="42E36DE5">
            <wp:simplePos x="0" y="0"/>
            <wp:positionH relativeFrom="column">
              <wp:posOffset>443865</wp:posOffset>
            </wp:positionH>
            <wp:positionV relativeFrom="paragraph">
              <wp:posOffset>624205</wp:posOffset>
            </wp:positionV>
            <wp:extent cx="4680000" cy="2880000"/>
            <wp:effectExtent l="0" t="0" r="6350" b="15875"/>
            <wp:wrapSquare wrapText="bothSides"/>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Pr="00916A85">
        <w:rPr>
          <w:color w:val="auto"/>
        </w:rPr>
        <w:t>Empresas con mayor gasto en investigación y desarrollo en miles de millones de dólares estadounidenses</w:t>
      </w:r>
      <w:r w:rsidR="00602FEF">
        <w:rPr>
          <w:color w:val="auto"/>
        </w:rPr>
        <w:t>.</w:t>
      </w:r>
    </w:p>
    <w:p w14:paraId="791E4795" w14:textId="74421FEE" w:rsidR="00946D38" w:rsidRDefault="00946D38" w:rsidP="00D975AB">
      <w:pPr>
        <w:jc w:val="both"/>
        <w:rPr>
          <w:rFonts w:cs="Roboto"/>
          <w:szCs w:val="24"/>
        </w:rPr>
      </w:pPr>
    </w:p>
    <w:p w14:paraId="32E2C5E2" w14:textId="77777777" w:rsidR="00916A85" w:rsidRDefault="00916A85" w:rsidP="00D975AB">
      <w:pPr>
        <w:jc w:val="both"/>
        <w:rPr>
          <w:rFonts w:cs="Roboto"/>
          <w:szCs w:val="24"/>
        </w:rPr>
      </w:pPr>
    </w:p>
    <w:p w14:paraId="0D528DA7" w14:textId="77777777" w:rsidR="00916A85" w:rsidRDefault="00916A85" w:rsidP="00D975AB">
      <w:pPr>
        <w:jc w:val="both"/>
        <w:rPr>
          <w:rFonts w:cs="Roboto"/>
          <w:szCs w:val="24"/>
        </w:rPr>
      </w:pPr>
    </w:p>
    <w:p w14:paraId="09DEB7A4" w14:textId="77777777" w:rsidR="00916A85" w:rsidRDefault="00916A85" w:rsidP="00D975AB">
      <w:pPr>
        <w:jc w:val="both"/>
        <w:rPr>
          <w:rFonts w:cs="Roboto"/>
          <w:szCs w:val="24"/>
        </w:rPr>
      </w:pPr>
    </w:p>
    <w:p w14:paraId="6AA8D099" w14:textId="77777777" w:rsidR="00916A85" w:rsidRDefault="00916A85" w:rsidP="00D975AB">
      <w:pPr>
        <w:jc w:val="both"/>
        <w:rPr>
          <w:rFonts w:cs="Roboto"/>
          <w:szCs w:val="24"/>
        </w:rPr>
      </w:pPr>
    </w:p>
    <w:p w14:paraId="78CDDA8D" w14:textId="77777777" w:rsidR="00916A85" w:rsidRDefault="00916A85" w:rsidP="00D975AB">
      <w:pPr>
        <w:jc w:val="both"/>
        <w:rPr>
          <w:rFonts w:cs="Roboto"/>
          <w:szCs w:val="24"/>
        </w:rPr>
      </w:pPr>
    </w:p>
    <w:p w14:paraId="7051B103" w14:textId="77777777" w:rsidR="00916A85" w:rsidRDefault="00916A85" w:rsidP="00D975AB">
      <w:pPr>
        <w:jc w:val="both"/>
        <w:rPr>
          <w:rFonts w:cs="Roboto"/>
          <w:szCs w:val="24"/>
        </w:rPr>
      </w:pPr>
    </w:p>
    <w:p w14:paraId="43A49DA9" w14:textId="77777777" w:rsidR="00916A85" w:rsidRDefault="00916A85" w:rsidP="00D975AB">
      <w:pPr>
        <w:jc w:val="both"/>
        <w:rPr>
          <w:rFonts w:cs="Roboto"/>
          <w:szCs w:val="24"/>
        </w:rPr>
      </w:pPr>
    </w:p>
    <w:p w14:paraId="596CF267" w14:textId="77777777" w:rsidR="00997CBA" w:rsidRDefault="00997CBA" w:rsidP="00D975AB">
      <w:pPr>
        <w:pStyle w:val="NotasAPA"/>
        <w:jc w:val="both"/>
        <w:rPr>
          <w:rFonts w:cs="Times New Roman"/>
        </w:rPr>
      </w:pPr>
    </w:p>
    <w:p w14:paraId="3F5269AB" w14:textId="64F489F8" w:rsidR="00916A85" w:rsidRDefault="00916A85" w:rsidP="00D975AB">
      <w:pPr>
        <w:pStyle w:val="NotasAPA"/>
        <w:jc w:val="both"/>
      </w:pPr>
      <w:r>
        <w:t xml:space="preserve">Nota: </w:t>
      </w:r>
      <w:r w:rsidR="00997CBA">
        <w:rPr>
          <w:rFonts w:cs="Times New Roman"/>
        </w:rPr>
        <w:t>Statista</w:t>
      </w:r>
      <w:r>
        <w:t>, elaboración propia.</w:t>
      </w:r>
    </w:p>
    <w:p w14:paraId="37D5124A" w14:textId="77777777" w:rsidR="00092D80" w:rsidRPr="00916A85" w:rsidRDefault="00092D80" w:rsidP="00D975AB">
      <w:pPr>
        <w:pStyle w:val="NotasAPA"/>
        <w:jc w:val="both"/>
      </w:pPr>
    </w:p>
    <w:p w14:paraId="19AD19B7" w14:textId="6DBCC061" w:rsidR="00946D38" w:rsidRPr="00103100" w:rsidRDefault="00946D38" w:rsidP="00D975AB">
      <w:pPr>
        <w:pStyle w:val="Ttulo3"/>
        <w:jc w:val="both"/>
        <w:rPr>
          <w:rFonts w:cs="Roboto"/>
        </w:rPr>
      </w:pPr>
      <w:bookmarkStart w:id="16" w:name="_Toc91548306"/>
      <w:r w:rsidRPr="00103100">
        <w:rPr>
          <w:rFonts w:cs="Roboto"/>
        </w:rPr>
        <w:t>Educación</w:t>
      </w:r>
      <w:bookmarkEnd w:id="16"/>
    </w:p>
    <w:p w14:paraId="09ADE1D1" w14:textId="306B9A20" w:rsidR="00946D38" w:rsidRDefault="006D299C" w:rsidP="00D975AB">
      <w:pPr>
        <w:pStyle w:val="APAPrrafo"/>
        <w:jc w:val="both"/>
        <w:rPr>
          <w:lang w:val="es-MX"/>
        </w:rPr>
      </w:pPr>
      <w:r>
        <w:rPr>
          <w:lang w:val="es-MX"/>
        </w:rPr>
        <w:t>S</w:t>
      </w:r>
      <w:r w:rsidR="00715379" w:rsidRPr="00855749">
        <w:rPr>
          <w:lang w:val="es-MX"/>
        </w:rPr>
        <w:t>egún</w:t>
      </w:r>
      <w:r w:rsidR="00855749" w:rsidRPr="00855749">
        <w:rPr>
          <w:lang w:val="es-MX"/>
        </w:rPr>
        <w:t xml:space="preserve"> </w:t>
      </w:r>
      <w:r w:rsidR="001A4622" w:rsidRPr="00B62B40">
        <w:rPr>
          <w:lang w:val="es-MX"/>
        </w:rPr>
        <w:t xml:space="preserve">Aghion, Boustan, Hoxby, &amp; Vandenbussche </w:t>
      </w:r>
      <w:r w:rsidR="001A4622">
        <w:rPr>
          <w:lang w:val="es-MX"/>
        </w:rPr>
        <w:t>(</w:t>
      </w:r>
      <w:r w:rsidR="001A4622" w:rsidRPr="00B62B40">
        <w:rPr>
          <w:lang w:val="es-MX"/>
        </w:rPr>
        <w:t>2009)</w:t>
      </w:r>
      <w:r w:rsidR="00855749" w:rsidRPr="00855749">
        <w:rPr>
          <w:lang w:val="es-MX"/>
        </w:rPr>
        <w:t xml:space="preserve"> e</w:t>
      </w:r>
      <w:r w:rsidR="00855749">
        <w:rPr>
          <w:lang w:val="es-MX"/>
        </w:rPr>
        <w:t xml:space="preserve">xiste </w:t>
      </w:r>
      <w:r w:rsidR="00BD6C3A">
        <w:rPr>
          <w:lang w:val="es-MX"/>
        </w:rPr>
        <w:t xml:space="preserve">una amplia evidencia correlacional </w:t>
      </w:r>
      <w:r w:rsidR="00715379">
        <w:rPr>
          <w:lang w:val="es-MX"/>
        </w:rPr>
        <w:t>entre</w:t>
      </w:r>
      <w:r w:rsidR="00BD6C3A">
        <w:rPr>
          <w:lang w:val="es-MX"/>
        </w:rPr>
        <w:t xml:space="preserve"> la educación y el crecimiento económico</w:t>
      </w:r>
      <w:r w:rsidR="004326B6">
        <w:rPr>
          <w:lang w:val="es-MX"/>
        </w:rPr>
        <w:t xml:space="preserve">, </w:t>
      </w:r>
      <w:r w:rsidR="002F6554">
        <w:rPr>
          <w:lang w:val="es-MX"/>
        </w:rPr>
        <w:t>argumentan de que e</w:t>
      </w:r>
      <w:r w:rsidR="002A29D4">
        <w:rPr>
          <w:lang w:val="es-MX"/>
        </w:rPr>
        <w:t xml:space="preserve">l </w:t>
      </w:r>
      <w:r w:rsidR="002F6554">
        <w:rPr>
          <w:lang w:val="es-MX"/>
        </w:rPr>
        <w:t xml:space="preserve">crecimiento más lento puede ser </w:t>
      </w:r>
      <w:r w:rsidR="0082770C">
        <w:rPr>
          <w:lang w:val="es-MX"/>
        </w:rPr>
        <w:t>causado</w:t>
      </w:r>
      <w:r w:rsidR="002F6554">
        <w:rPr>
          <w:lang w:val="es-MX"/>
        </w:rPr>
        <w:t xml:space="preserve"> por </w:t>
      </w:r>
      <w:r w:rsidR="0082770C">
        <w:rPr>
          <w:lang w:val="es-MX"/>
        </w:rPr>
        <w:t xml:space="preserve">la escasa inversión </w:t>
      </w:r>
      <w:r w:rsidR="002A29D4">
        <w:rPr>
          <w:lang w:val="es-MX"/>
        </w:rPr>
        <w:t>en educción.</w:t>
      </w:r>
    </w:p>
    <w:p w14:paraId="00F8AF71" w14:textId="221078A4" w:rsidR="002A29D4" w:rsidRDefault="001A4622" w:rsidP="00D975AB">
      <w:pPr>
        <w:pStyle w:val="APAPrrafo"/>
        <w:jc w:val="both"/>
      </w:pPr>
      <w:r w:rsidRPr="00B62B40">
        <w:rPr>
          <w:lang w:val="es-MX"/>
        </w:rPr>
        <w:t xml:space="preserve">Hanson </w:t>
      </w:r>
      <w:r w:rsidR="00CC0E60">
        <w:rPr>
          <w:lang w:val="es-MX"/>
        </w:rPr>
        <w:t>(</w:t>
      </w:r>
      <w:r w:rsidRPr="00B62B40">
        <w:rPr>
          <w:lang w:val="es-MX"/>
        </w:rPr>
        <w:t>2021)</w:t>
      </w:r>
      <w:r w:rsidR="00D14687">
        <w:t xml:space="preserve"> </w:t>
      </w:r>
      <w:r w:rsidR="00E32C16">
        <w:t>e</w:t>
      </w:r>
      <w:r w:rsidR="00B960DA" w:rsidRPr="00B960DA">
        <w:t>l gasto en educación pública en los Estados Unidos está por debajo de los puntos de referencia globales y está por detrás del crecimiento económico; Las escuelas K-12 gastan $ 640.0 mil millones o $ 12,624 por alumno al año.</w:t>
      </w:r>
    </w:p>
    <w:p w14:paraId="410786A4" w14:textId="77777777" w:rsidR="00B80840" w:rsidRDefault="00B80840" w:rsidP="00D975AB">
      <w:pPr>
        <w:jc w:val="both"/>
        <w:rPr>
          <w:rFonts w:cs="Roboto"/>
          <w:szCs w:val="24"/>
        </w:rPr>
      </w:pPr>
    </w:p>
    <w:p w14:paraId="70A5C4ED" w14:textId="77777777" w:rsidR="0020437E" w:rsidRPr="000F2CEE" w:rsidRDefault="0020437E" w:rsidP="00D975AB">
      <w:pPr>
        <w:jc w:val="both"/>
        <w:rPr>
          <w:rFonts w:cs="Roboto"/>
          <w:szCs w:val="24"/>
          <w:lang w:val="es-MX"/>
        </w:rPr>
      </w:pPr>
    </w:p>
    <w:p w14:paraId="3E287F5C" w14:textId="77777777" w:rsidR="0020437E" w:rsidRPr="00A32599" w:rsidRDefault="0020437E" w:rsidP="00D975AB">
      <w:pPr>
        <w:jc w:val="both"/>
        <w:rPr>
          <w:rFonts w:cs="Roboto"/>
          <w:szCs w:val="24"/>
          <w:lang w:val="es-ES"/>
        </w:rPr>
      </w:pPr>
    </w:p>
    <w:p w14:paraId="23E73439" w14:textId="6681C7BA" w:rsidR="00C00BFD" w:rsidRPr="00C00BFD" w:rsidRDefault="00C00BFD" w:rsidP="00D975AB">
      <w:pPr>
        <w:pStyle w:val="TITULOTablasyFiguras"/>
        <w:jc w:val="both"/>
        <w:rPr>
          <w:b/>
          <w:i w:val="0"/>
          <w:color w:val="auto"/>
        </w:rPr>
      </w:pPr>
      <w:r w:rsidRPr="00C00BFD">
        <w:rPr>
          <w:b/>
          <w:i w:val="0"/>
          <w:color w:val="auto"/>
        </w:rPr>
        <w:lastRenderedPageBreak/>
        <w:t xml:space="preserve">Figura </w:t>
      </w:r>
      <w:r w:rsidR="00564355">
        <w:rPr>
          <w:b/>
          <w:i w:val="0"/>
          <w:color w:val="auto"/>
        </w:rPr>
        <w:fldChar w:fldCharType="begin"/>
      </w:r>
      <w:r w:rsidR="00564355">
        <w:rPr>
          <w:b/>
          <w:i w:val="0"/>
          <w:color w:val="auto"/>
        </w:rPr>
        <w:instrText xml:space="preserve"> SEQ Figura \* ARABIC </w:instrText>
      </w:r>
      <w:r w:rsidR="00564355">
        <w:rPr>
          <w:b/>
          <w:i w:val="0"/>
          <w:color w:val="auto"/>
        </w:rPr>
        <w:fldChar w:fldCharType="separate"/>
      </w:r>
      <w:r w:rsidR="00383437">
        <w:rPr>
          <w:b/>
          <w:i w:val="0"/>
          <w:noProof/>
          <w:color w:val="auto"/>
        </w:rPr>
        <w:t>16</w:t>
      </w:r>
      <w:r w:rsidR="00564355">
        <w:rPr>
          <w:b/>
          <w:i w:val="0"/>
          <w:color w:val="auto"/>
        </w:rPr>
        <w:fldChar w:fldCharType="end"/>
      </w:r>
      <w:r w:rsidRPr="00C00BFD">
        <w:rPr>
          <w:b/>
          <w:i w:val="0"/>
          <w:color w:val="auto"/>
        </w:rPr>
        <w:t xml:space="preserve"> </w:t>
      </w:r>
    </w:p>
    <w:p w14:paraId="55A06A7F" w14:textId="59067AF1" w:rsidR="00C00BFD" w:rsidRPr="00C00BFD" w:rsidRDefault="00C00BFD" w:rsidP="00D975AB">
      <w:pPr>
        <w:pStyle w:val="TITULOTablasyFiguras"/>
        <w:jc w:val="both"/>
        <w:rPr>
          <w:color w:val="auto"/>
        </w:rPr>
      </w:pPr>
      <w:r w:rsidRPr="00C00BFD">
        <w:rPr>
          <w:color w:val="auto"/>
        </w:rPr>
        <w:t>Presupuesto Anual de Educación Pública del Departamento de Educación de los Estados Unidos</w:t>
      </w:r>
      <w:r w:rsidR="00BA75EA">
        <w:rPr>
          <w:color w:val="auto"/>
        </w:rPr>
        <w:t xml:space="preserve"> </w:t>
      </w:r>
      <w:r w:rsidR="00BA75EA" w:rsidRPr="00C00BFD">
        <w:rPr>
          <w:color w:val="auto"/>
        </w:rPr>
        <w:t xml:space="preserve">(en </w:t>
      </w:r>
      <w:r w:rsidR="00BA75EA">
        <w:rPr>
          <w:color w:val="auto"/>
        </w:rPr>
        <w:t>b</w:t>
      </w:r>
      <w:r w:rsidR="00BA75EA" w:rsidRPr="00C00BFD">
        <w:rPr>
          <w:color w:val="auto"/>
        </w:rPr>
        <w:t>illones de dólares estadounidenses)</w:t>
      </w:r>
    </w:p>
    <w:p w14:paraId="3E6DF578" w14:textId="5A5FA640" w:rsidR="00E32C16" w:rsidRDefault="00B62B40" w:rsidP="00D975AB">
      <w:pPr>
        <w:jc w:val="both"/>
        <w:rPr>
          <w:rFonts w:cs="Roboto"/>
          <w:szCs w:val="24"/>
        </w:rPr>
      </w:pPr>
      <w:r>
        <w:rPr>
          <w:noProof/>
        </w:rPr>
        <w:drawing>
          <wp:anchor distT="0" distB="0" distL="114300" distR="114300" simplePos="0" relativeHeight="251658243" behindDoc="0" locked="0" layoutInCell="1" allowOverlap="1" wp14:anchorId="2279D917" wp14:editId="4DEE41D5">
            <wp:simplePos x="0" y="0"/>
            <wp:positionH relativeFrom="column">
              <wp:posOffset>466725</wp:posOffset>
            </wp:positionH>
            <wp:positionV relativeFrom="paragraph">
              <wp:posOffset>-635</wp:posOffset>
            </wp:positionV>
            <wp:extent cx="4680000" cy="2880000"/>
            <wp:effectExtent l="0" t="0" r="6350" b="15875"/>
            <wp:wrapSquare wrapText="bothSides"/>
            <wp:docPr id="6" name="Gráfico 6">
              <a:extLst xmlns:a="http://schemas.openxmlformats.org/drawingml/2006/main">
                <a:ext uri="{FF2B5EF4-FFF2-40B4-BE49-F238E27FC236}">
                  <a16:creationId xmlns:a16="http://schemas.microsoft.com/office/drawing/2014/main" id="{531EF070-0310-4BD8-BC34-D2316BA701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0D42CDE9" w14:textId="77777777" w:rsidR="00E32C16" w:rsidRDefault="00E32C16" w:rsidP="00D975AB">
      <w:pPr>
        <w:jc w:val="both"/>
        <w:rPr>
          <w:rFonts w:cs="Roboto"/>
          <w:szCs w:val="24"/>
        </w:rPr>
      </w:pPr>
    </w:p>
    <w:p w14:paraId="45A9B1E6" w14:textId="77777777" w:rsidR="00B960DA" w:rsidRDefault="00B960DA" w:rsidP="00D975AB">
      <w:pPr>
        <w:jc w:val="both"/>
        <w:rPr>
          <w:rFonts w:cs="Roboto"/>
          <w:szCs w:val="24"/>
        </w:rPr>
      </w:pPr>
    </w:p>
    <w:p w14:paraId="0CCE70A3" w14:textId="77777777" w:rsidR="00C00BFD" w:rsidRDefault="00C00BFD" w:rsidP="00D975AB">
      <w:pPr>
        <w:jc w:val="both"/>
        <w:rPr>
          <w:rFonts w:cs="Roboto"/>
          <w:szCs w:val="24"/>
        </w:rPr>
      </w:pPr>
    </w:p>
    <w:p w14:paraId="02B97600" w14:textId="77777777" w:rsidR="00C00BFD" w:rsidRDefault="00C00BFD" w:rsidP="00D975AB">
      <w:pPr>
        <w:jc w:val="both"/>
        <w:rPr>
          <w:rFonts w:cs="Roboto"/>
          <w:szCs w:val="24"/>
        </w:rPr>
      </w:pPr>
    </w:p>
    <w:p w14:paraId="6A2CF13C" w14:textId="77777777" w:rsidR="00C00BFD" w:rsidRDefault="00C00BFD" w:rsidP="00D975AB">
      <w:pPr>
        <w:jc w:val="both"/>
        <w:rPr>
          <w:rFonts w:cs="Roboto"/>
          <w:szCs w:val="24"/>
        </w:rPr>
      </w:pPr>
    </w:p>
    <w:p w14:paraId="59E6BD08" w14:textId="77777777" w:rsidR="00C00BFD" w:rsidRDefault="00C00BFD" w:rsidP="00D975AB">
      <w:pPr>
        <w:jc w:val="both"/>
        <w:rPr>
          <w:rFonts w:cs="Roboto"/>
          <w:szCs w:val="24"/>
        </w:rPr>
      </w:pPr>
    </w:p>
    <w:p w14:paraId="1AE486EF" w14:textId="77777777" w:rsidR="00C00BFD" w:rsidRDefault="00C00BFD" w:rsidP="00D975AB">
      <w:pPr>
        <w:jc w:val="both"/>
        <w:rPr>
          <w:rFonts w:cs="Roboto"/>
          <w:szCs w:val="24"/>
        </w:rPr>
      </w:pPr>
    </w:p>
    <w:p w14:paraId="2C8C0BC3" w14:textId="77777777" w:rsidR="00997CBA" w:rsidRDefault="00997CBA" w:rsidP="00D975AB">
      <w:pPr>
        <w:pStyle w:val="NotasAPA"/>
        <w:jc w:val="both"/>
        <w:rPr>
          <w:rFonts w:cs="Times New Roman"/>
        </w:rPr>
      </w:pPr>
    </w:p>
    <w:p w14:paraId="5E0B24FA" w14:textId="22F75B1F" w:rsidR="00C00BFD" w:rsidRDefault="00C00BFD" w:rsidP="00D975AB">
      <w:pPr>
        <w:pStyle w:val="NotasAPA"/>
        <w:jc w:val="both"/>
      </w:pPr>
      <w:r>
        <w:t>Nota:</w:t>
      </w:r>
      <w:r w:rsidR="00997CBA">
        <w:t xml:space="preserve"> </w:t>
      </w:r>
      <w:r w:rsidR="00997CBA">
        <w:rPr>
          <w:rFonts w:cs="Times New Roman"/>
        </w:rPr>
        <w:t>S</w:t>
      </w:r>
      <w:r w:rsidRPr="00997CBA">
        <w:rPr>
          <w:rFonts w:cs="Times New Roman"/>
        </w:rPr>
        <w:t>tatista</w:t>
      </w:r>
      <w:r>
        <w:t>, elaboración propia.</w:t>
      </w:r>
    </w:p>
    <w:p w14:paraId="7B754BD0" w14:textId="77777777" w:rsidR="008F0532" w:rsidRPr="00C00BFD" w:rsidRDefault="008F0532" w:rsidP="00D975AB">
      <w:pPr>
        <w:pStyle w:val="NotasAPA"/>
        <w:jc w:val="both"/>
      </w:pPr>
    </w:p>
    <w:p w14:paraId="12978BBA" w14:textId="4C1BF47B" w:rsidR="00C00BFD" w:rsidRPr="00C00BFD" w:rsidRDefault="00946D38" w:rsidP="00D975AB">
      <w:pPr>
        <w:pStyle w:val="Ttulo3"/>
        <w:jc w:val="both"/>
        <w:rPr>
          <w:rFonts w:cs="Roboto"/>
        </w:rPr>
      </w:pPr>
      <w:bookmarkStart w:id="17" w:name="_Toc91548307"/>
      <w:r w:rsidRPr="00103100">
        <w:rPr>
          <w:rFonts w:cs="Roboto"/>
        </w:rPr>
        <w:t>Universidades</w:t>
      </w:r>
      <w:bookmarkEnd w:id="17"/>
    </w:p>
    <w:p w14:paraId="573568AD" w14:textId="2AFCF365" w:rsidR="005D22FE" w:rsidRPr="006824F4" w:rsidRDefault="006824F4" w:rsidP="00D975AB">
      <w:pPr>
        <w:pStyle w:val="APAPrrafo"/>
        <w:jc w:val="both"/>
      </w:pPr>
      <w:r>
        <w:t xml:space="preserve">Las </w:t>
      </w:r>
      <w:r w:rsidR="001540EC">
        <w:t xml:space="preserve">universidades </w:t>
      </w:r>
      <w:r w:rsidR="00DD6D07">
        <w:t xml:space="preserve">tienen </w:t>
      </w:r>
      <w:r w:rsidR="002C56A7">
        <w:t xml:space="preserve">como función principal de crear una masa crítica de científicos </w:t>
      </w:r>
      <w:r w:rsidR="005E4B79">
        <w:t>e ingenieros</w:t>
      </w:r>
      <w:r w:rsidR="002C72DE">
        <w:t xml:space="preserve"> para trabajar en las empresas privadas y públicas</w:t>
      </w:r>
      <w:r w:rsidR="000E4C56">
        <w:t xml:space="preserve">, las universidades de </w:t>
      </w:r>
      <w:r w:rsidR="005D22FE">
        <w:t>EE. UU.</w:t>
      </w:r>
      <w:r w:rsidR="000E4C56">
        <w:t xml:space="preserve"> </w:t>
      </w:r>
      <w:r w:rsidR="007F481B">
        <w:t>han cumplido esta función</w:t>
      </w:r>
      <w:r w:rsidR="005D22FE">
        <w:t xml:space="preserve"> durante largo tiempo.</w:t>
      </w:r>
      <w:r w:rsidR="0052442E">
        <w:t xml:space="preserve"> </w:t>
      </w:r>
      <w:r w:rsidR="007F7204">
        <w:t>En este país, las grandes empresas corporativas tienen departamentos de investigación y desarrollo (I</w:t>
      </w:r>
      <w:r w:rsidR="00FC46BC">
        <w:t xml:space="preserve"> + </w:t>
      </w:r>
      <w:r w:rsidR="007F7204">
        <w:t xml:space="preserve">D), que no sólo contratan estudiantes graduados de las universidades, sino </w:t>
      </w:r>
      <w:r w:rsidR="00EF148D">
        <w:t>que,</w:t>
      </w:r>
      <w:r w:rsidR="007F7204">
        <w:t xml:space="preserve"> además, junto con algunas agencias gubernamentales, financian, mediante diversos mecanismos, proyectos de investigación científica y tecnológica en universidades e institutos de investigación.</w:t>
      </w:r>
    </w:p>
    <w:p w14:paraId="46FD5F30" w14:textId="02336D32" w:rsidR="00C00BFD" w:rsidRPr="00C00BFD" w:rsidRDefault="00C00BFD" w:rsidP="00D975AB">
      <w:pPr>
        <w:pStyle w:val="TITULOTablasyFiguras"/>
        <w:jc w:val="both"/>
        <w:rPr>
          <w:b/>
          <w:i w:val="0"/>
          <w:color w:val="auto"/>
        </w:rPr>
      </w:pPr>
      <w:r w:rsidRPr="00C00BFD">
        <w:rPr>
          <w:b/>
          <w:i w:val="0"/>
          <w:color w:val="auto"/>
        </w:rPr>
        <w:lastRenderedPageBreak/>
        <w:t xml:space="preserve">Figura </w:t>
      </w:r>
      <w:r w:rsidR="00564355">
        <w:rPr>
          <w:b/>
          <w:i w:val="0"/>
          <w:color w:val="auto"/>
        </w:rPr>
        <w:fldChar w:fldCharType="begin"/>
      </w:r>
      <w:r w:rsidR="00564355">
        <w:rPr>
          <w:b/>
          <w:i w:val="0"/>
          <w:color w:val="auto"/>
        </w:rPr>
        <w:instrText xml:space="preserve"> SEQ Figura \* ARABIC </w:instrText>
      </w:r>
      <w:r w:rsidR="00564355">
        <w:rPr>
          <w:b/>
          <w:i w:val="0"/>
          <w:color w:val="auto"/>
        </w:rPr>
        <w:fldChar w:fldCharType="separate"/>
      </w:r>
      <w:r w:rsidR="00383437">
        <w:rPr>
          <w:b/>
          <w:i w:val="0"/>
          <w:noProof/>
          <w:color w:val="auto"/>
        </w:rPr>
        <w:t>17</w:t>
      </w:r>
      <w:r w:rsidR="00564355">
        <w:rPr>
          <w:b/>
          <w:i w:val="0"/>
          <w:color w:val="auto"/>
        </w:rPr>
        <w:fldChar w:fldCharType="end"/>
      </w:r>
      <w:r w:rsidRPr="00C00BFD">
        <w:rPr>
          <w:b/>
          <w:i w:val="0"/>
          <w:color w:val="auto"/>
        </w:rPr>
        <w:t xml:space="preserve"> </w:t>
      </w:r>
    </w:p>
    <w:p w14:paraId="54EB863A" w14:textId="54BE59FF" w:rsidR="00C00BFD" w:rsidRPr="00C00BFD" w:rsidRDefault="00C00BFD" w:rsidP="00D975AB">
      <w:pPr>
        <w:pStyle w:val="TITULOTablasyFiguras"/>
        <w:jc w:val="both"/>
        <w:rPr>
          <w:color w:val="auto"/>
        </w:rPr>
      </w:pPr>
      <w:r w:rsidRPr="00C00BFD">
        <w:rPr>
          <w:rFonts w:cs="Roboto"/>
          <w:b/>
          <w:i w:val="0"/>
          <w:noProof/>
          <w:color w:val="auto"/>
          <w:szCs w:val="24"/>
        </w:rPr>
        <w:drawing>
          <wp:anchor distT="0" distB="0" distL="114300" distR="114300" simplePos="0" relativeHeight="251658242" behindDoc="0" locked="0" layoutInCell="1" allowOverlap="1" wp14:anchorId="408F1165" wp14:editId="7AB46E30">
            <wp:simplePos x="0" y="0"/>
            <wp:positionH relativeFrom="column">
              <wp:posOffset>413385</wp:posOffset>
            </wp:positionH>
            <wp:positionV relativeFrom="paragraph">
              <wp:posOffset>631825</wp:posOffset>
            </wp:positionV>
            <wp:extent cx="5612130" cy="2030730"/>
            <wp:effectExtent l="0" t="0" r="7620" b="7620"/>
            <wp:wrapSquare wrapText="bothSides"/>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Pr="00C00BFD">
        <w:rPr>
          <w:color w:val="auto"/>
        </w:rPr>
        <w:t xml:space="preserve">Universidades en los Estados Unidos con los mayores gastos de I + D en 2019 (en </w:t>
      </w:r>
      <w:r w:rsidR="00BA75EA">
        <w:rPr>
          <w:color w:val="auto"/>
        </w:rPr>
        <w:t>m</w:t>
      </w:r>
      <w:r w:rsidRPr="00C00BFD">
        <w:rPr>
          <w:color w:val="auto"/>
        </w:rPr>
        <w:t>illones de dólares estadounidenses)</w:t>
      </w:r>
    </w:p>
    <w:p w14:paraId="7074C8B6" w14:textId="5578EFA0" w:rsidR="00946D38" w:rsidRPr="00103100" w:rsidRDefault="00946D38" w:rsidP="00D975AB">
      <w:pPr>
        <w:jc w:val="both"/>
        <w:rPr>
          <w:rFonts w:cs="Roboto"/>
          <w:szCs w:val="24"/>
        </w:rPr>
      </w:pPr>
    </w:p>
    <w:p w14:paraId="7078E78B" w14:textId="77777777" w:rsidR="00C00BFD" w:rsidRPr="00997CBA" w:rsidRDefault="00C00BFD" w:rsidP="00D975AB">
      <w:pPr>
        <w:jc w:val="both"/>
        <w:rPr>
          <w:rFonts w:cs="Times New Roman"/>
          <w:sz w:val="21"/>
          <w:szCs w:val="21"/>
        </w:rPr>
      </w:pPr>
    </w:p>
    <w:p w14:paraId="65A1705D" w14:textId="77777777" w:rsidR="00C00BFD" w:rsidRPr="00997CBA" w:rsidRDefault="00C00BFD" w:rsidP="00D975AB">
      <w:pPr>
        <w:jc w:val="both"/>
        <w:rPr>
          <w:rFonts w:cs="Times New Roman"/>
          <w:sz w:val="21"/>
          <w:szCs w:val="21"/>
        </w:rPr>
      </w:pPr>
    </w:p>
    <w:p w14:paraId="7A37D482" w14:textId="77777777" w:rsidR="00C00BFD" w:rsidRPr="00997CBA" w:rsidRDefault="00C00BFD" w:rsidP="00D975AB">
      <w:pPr>
        <w:jc w:val="both"/>
        <w:rPr>
          <w:rFonts w:cs="Times New Roman"/>
          <w:sz w:val="21"/>
          <w:szCs w:val="21"/>
        </w:rPr>
      </w:pPr>
    </w:p>
    <w:p w14:paraId="20493EF0" w14:textId="77777777" w:rsidR="00C00BFD" w:rsidRPr="00997CBA" w:rsidRDefault="00C00BFD" w:rsidP="00D975AB">
      <w:pPr>
        <w:jc w:val="both"/>
        <w:rPr>
          <w:rFonts w:cs="Times New Roman"/>
          <w:sz w:val="21"/>
          <w:szCs w:val="21"/>
        </w:rPr>
      </w:pPr>
    </w:p>
    <w:p w14:paraId="63439C55" w14:textId="77777777" w:rsidR="00C00BFD" w:rsidRPr="00997CBA" w:rsidRDefault="00C00BFD" w:rsidP="00D975AB">
      <w:pPr>
        <w:jc w:val="both"/>
        <w:rPr>
          <w:rFonts w:cs="Times New Roman"/>
          <w:sz w:val="21"/>
          <w:szCs w:val="21"/>
        </w:rPr>
      </w:pPr>
    </w:p>
    <w:p w14:paraId="5506060B" w14:textId="4E0989B3" w:rsidR="00C00BFD" w:rsidRDefault="00C00BFD" w:rsidP="00D975AB">
      <w:pPr>
        <w:pStyle w:val="NotasAPA"/>
        <w:jc w:val="both"/>
      </w:pPr>
      <w:r>
        <w:t xml:space="preserve">Nota: </w:t>
      </w:r>
      <w:r w:rsidR="00997CBA">
        <w:rPr>
          <w:rFonts w:cs="Times New Roman"/>
        </w:rPr>
        <w:t>Statista</w:t>
      </w:r>
      <w:r>
        <w:t>, elaboración propia.</w:t>
      </w:r>
    </w:p>
    <w:p w14:paraId="60851FF7" w14:textId="77777777" w:rsidR="00092D80" w:rsidRPr="00C00BFD" w:rsidRDefault="00092D80" w:rsidP="00D975AB">
      <w:pPr>
        <w:pStyle w:val="NotasAPA"/>
        <w:jc w:val="both"/>
      </w:pPr>
    </w:p>
    <w:p w14:paraId="5507558A" w14:textId="6E9DAE07" w:rsidR="003006E3" w:rsidRDefault="000A3189" w:rsidP="00D975AB">
      <w:pPr>
        <w:pStyle w:val="APAPrrafo"/>
        <w:jc w:val="both"/>
      </w:pPr>
      <w:r>
        <w:t>En 2019, la Universidad John Hopkins gastó más de 2.900 millones de dólares estadounidenses en investigación y desarrollo; el más alto de cualquier universidad en los Estados Unidos. La Universidad de Harvard gastó más de 1.200 millones de dólares estadounidenses en I + D en el mismo año.</w:t>
      </w:r>
    </w:p>
    <w:p w14:paraId="5091D4E9" w14:textId="77777777" w:rsidR="00370365" w:rsidRPr="0028002D" w:rsidRDefault="00370365" w:rsidP="00D975AB">
      <w:pPr>
        <w:pStyle w:val="APAPrrafo"/>
        <w:jc w:val="both"/>
      </w:pPr>
    </w:p>
    <w:p w14:paraId="2BB7514C" w14:textId="2685BE7D" w:rsidR="00946D38" w:rsidRPr="00103100" w:rsidRDefault="00946D38" w:rsidP="00D975AB">
      <w:pPr>
        <w:pStyle w:val="Ttulo2"/>
        <w:jc w:val="both"/>
        <w:rPr>
          <w:rFonts w:cs="Roboto"/>
        </w:rPr>
      </w:pPr>
      <w:bookmarkStart w:id="18" w:name="_Toc91548308"/>
      <w:r w:rsidRPr="7F837570">
        <w:rPr>
          <w:rFonts w:cs="Roboto"/>
        </w:rPr>
        <w:t>Tecnología</w:t>
      </w:r>
      <w:bookmarkEnd w:id="18"/>
    </w:p>
    <w:p w14:paraId="32B69DC9" w14:textId="70450E9B" w:rsidR="00946D38" w:rsidRDefault="00946D38" w:rsidP="00D975AB">
      <w:pPr>
        <w:pStyle w:val="Ttulo3"/>
        <w:jc w:val="both"/>
      </w:pPr>
      <w:bookmarkStart w:id="19" w:name="_Toc91548309"/>
      <w:r w:rsidRPr="00103100">
        <w:t>E – Commerce</w:t>
      </w:r>
      <w:bookmarkEnd w:id="19"/>
    </w:p>
    <w:p w14:paraId="0324C1BF" w14:textId="2E7AB30F" w:rsidR="00477477" w:rsidRDefault="00F550FF" w:rsidP="00D975AB">
      <w:pPr>
        <w:pStyle w:val="APAPrrafo"/>
        <w:jc w:val="both"/>
      </w:pPr>
      <w:r>
        <w:t xml:space="preserve">El </w:t>
      </w:r>
      <w:r w:rsidR="00B851DC">
        <w:t xml:space="preserve">eCommerce de </w:t>
      </w:r>
      <w:r w:rsidR="00AD532C">
        <w:t>EE. UU.</w:t>
      </w:r>
      <w:r w:rsidR="00B851DC">
        <w:t xml:space="preserve"> </w:t>
      </w:r>
      <w:r w:rsidR="00FC46BC">
        <w:t>S</w:t>
      </w:r>
      <w:r w:rsidR="00B851DC">
        <w:t xml:space="preserve">e posiciona en el segundo lugar </w:t>
      </w:r>
      <w:r w:rsidR="00164C14">
        <w:t xml:space="preserve">entre las potencias mundiales, </w:t>
      </w:r>
      <w:r w:rsidR="008A6913" w:rsidRPr="00C564BB">
        <w:t>solo superado por Chin</w:t>
      </w:r>
      <w:r w:rsidR="008011E8" w:rsidRPr="00C564BB">
        <w:t>a.</w:t>
      </w:r>
    </w:p>
    <w:p w14:paraId="1F063C96" w14:textId="0014942E" w:rsidR="00AE7417" w:rsidRPr="00C564BB" w:rsidRDefault="00AE7417" w:rsidP="00D975AB">
      <w:pPr>
        <w:jc w:val="both"/>
      </w:pPr>
    </w:p>
    <w:p w14:paraId="713125EC" w14:textId="223159C6" w:rsidR="00802220" w:rsidRPr="00997CBA" w:rsidRDefault="006A4703" w:rsidP="00D975AB">
      <w:pPr>
        <w:pStyle w:val="TITULOTablasyFiguras"/>
        <w:jc w:val="both"/>
        <w:rPr>
          <w:rFonts w:cs="Times New Roman"/>
          <w:b/>
          <w:bCs/>
          <w:i w:val="0"/>
          <w:iCs w:val="0"/>
          <w:color w:val="auto"/>
        </w:rPr>
      </w:pPr>
      <w:r w:rsidRPr="00997CBA">
        <w:rPr>
          <w:rFonts w:cs="Times New Roman"/>
          <w:b/>
          <w:bCs/>
          <w:i w:val="0"/>
          <w:iCs w:val="0"/>
          <w:color w:val="auto"/>
        </w:rPr>
        <w:lastRenderedPageBreak/>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18</w:t>
      </w:r>
      <w:r w:rsidR="00564355" w:rsidRPr="00997CBA">
        <w:rPr>
          <w:rFonts w:cs="Times New Roman"/>
          <w:b/>
          <w:bCs/>
          <w:i w:val="0"/>
          <w:iCs w:val="0"/>
          <w:color w:val="auto"/>
        </w:rPr>
        <w:fldChar w:fldCharType="end"/>
      </w:r>
      <w:r w:rsidRPr="00997CBA">
        <w:rPr>
          <w:rFonts w:cs="Times New Roman"/>
          <w:b/>
          <w:bCs/>
          <w:i w:val="0"/>
          <w:iCs w:val="0"/>
          <w:color w:val="auto"/>
        </w:rPr>
        <w:t xml:space="preserve"> </w:t>
      </w:r>
    </w:p>
    <w:p w14:paraId="30FE7AC1" w14:textId="533B899E" w:rsidR="006A4703" w:rsidRPr="00997CBA" w:rsidRDefault="00802220" w:rsidP="00D975AB">
      <w:pPr>
        <w:pStyle w:val="TITULOTablasyFiguras"/>
        <w:jc w:val="both"/>
        <w:rPr>
          <w:rFonts w:cs="Times New Roman"/>
          <w:color w:val="auto"/>
        </w:rPr>
      </w:pPr>
      <w:r w:rsidRPr="00997CBA">
        <w:rPr>
          <w:rFonts w:cs="Times New Roman"/>
          <w:noProof/>
          <w:color w:val="auto"/>
        </w:rPr>
        <w:drawing>
          <wp:anchor distT="0" distB="0" distL="114300" distR="114300" simplePos="0" relativeHeight="251658248" behindDoc="0" locked="0" layoutInCell="1" allowOverlap="1" wp14:anchorId="20E38914" wp14:editId="6685A71C">
            <wp:simplePos x="0" y="0"/>
            <wp:positionH relativeFrom="column">
              <wp:posOffset>471668</wp:posOffset>
            </wp:positionH>
            <wp:positionV relativeFrom="paragraph">
              <wp:posOffset>273685</wp:posOffset>
            </wp:positionV>
            <wp:extent cx="4680000" cy="2880000"/>
            <wp:effectExtent l="0" t="0" r="6350" b="15875"/>
            <wp:wrapSquare wrapText="bothSides"/>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6A4703" w:rsidRPr="00997CBA">
        <w:rPr>
          <w:rFonts w:cs="Times New Roman"/>
          <w:color w:val="auto"/>
        </w:rPr>
        <w:t>Tasa de crecimiento del comercio electrónico de EE. UU.</w:t>
      </w:r>
    </w:p>
    <w:p w14:paraId="466410D8" w14:textId="6113E4C0" w:rsidR="00370B77" w:rsidRPr="00C564BB" w:rsidRDefault="00370B77" w:rsidP="00D975AB">
      <w:pPr>
        <w:jc w:val="both"/>
      </w:pPr>
    </w:p>
    <w:p w14:paraId="3C7C6D41" w14:textId="5AA7AF92" w:rsidR="00612D3F" w:rsidRDefault="00612D3F" w:rsidP="00D975AB">
      <w:pPr>
        <w:jc w:val="both"/>
      </w:pPr>
    </w:p>
    <w:p w14:paraId="695F6549" w14:textId="0C05318B" w:rsidR="00802220" w:rsidRDefault="00802220" w:rsidP="00D975AB">
      <w:pPr>
        <w:jc w:val="both"/>
      </w:pPr>
    </w:p>
    <w:p w14:paraId="34FCF030" w14:textId="526A4909" w:rsidR="00802220" w:rsidRDefault="00802220" w:rsidP="00D975AB">
      <w:pPr>
        <w:jc w:val="both"/>
      </w:pPr>
    </w:p>
    <w:p w14:paraId="5BC276BB" w14:textId="2FFACEE3" w:rsidR="00802220" w:rsidRDefault="00802220" w:rsidP="00D975AB">
      <w:pPr>
        <w:jc w:val="both"/>
      </w:pPr>
    </w:p>
    <w:p w14:paraId="7FAE105B" w14:textId="242ACFB4" w:rsidR="00802220" w:rsidRDefault="00802220" w:rsidP="00D975AB">
      <w:pPr>
        <w:jc w:val="both"/>
      </w:pPr>
    </w:p>
    <w:p w14:paraId="0D9B663F" w14:textId="6E71DECB" w:rsidR="00802220" w:rsidRDefault="00802220" w:rsidP="00D975AB">
      <w:pPr>
        <w:jc w:val="both"/>
      </w:pPr>
    </w:p>
    <w:p w14:paraId="0646FA21" w14:textId="37EAF0FB" w:rsidR="00802220" w:rsidRDefault="00802220" w:rsidP="00D975AB">
      <w:pPr>
        <w:jc w:val="both"/>
      </w:pPr>
    </w:p>
    <w:p w14:paraId="54D9F50E" w14:textId="3F5B17EE" w:rsidR="00802220" w:rsidRDefault="00802220" w:rsidP="00D975AB">
      <w:pPr>
        <w:jc w:val="both"/>
      </w:pPr>
    </w:p>
    <w:p w14:paraId="0C9D235C" w14:textId="56AB7CC9" w:rsidR="00482964" w:rsidRPr="00477477" w:rsidRDefault="00802220" w:rsidP="009C1976">
      <w:pPr>
        <w:pStyle w:val="NotasAPA"/>
        <w:jc w:val="both"/>
      </w:pPr>
      <w:r>
        <w:t xml:space="preserve">Nota: </w:t>
      </w:r>
      <w:r w:rsidR="00213BD1">
        <w:t>Oficina de</w:t>
      </w:r>
      <w:r w:rsidR="00B802E7">
        <w:t>l censo de departamento de comercio</w:t>
      </w:r>
      <w:r>
        <w:t>, elaboración propia.</w:t>
      </w:r>
    </w:p>
    <w:p w14:paraId="22D0054F" w14:textId="730B8A95" w:rsidR="00946D38" w:rsidRPr="00103100" w:rsidRDefault="00946D38" w:rsidP="00D975AB">
      <w:pPr>
        <w:pStyle w:val="Ttulo3"/>
        <w:jc w:val="both"/>
      </w:pPr>
      <w:bookmarkStart w:id="20" w:name="_Toc91548310"/>
      <w:r w:rsidRPr="00103100">
        <w:t>Fintech</w:t>
      </w:r>
      <w:bookmarkEnd w:id="20"/>
    </w:p>
    <w:p w14:paraId="1F213A37" w14:textId="1525D6E0" w:rsidR="00370365" w:rsidRPr="004E6D42" w:rsidRDefault="004E6D42" w:rsidP="00D975AB">
      <w:pPr>
        <w:pStyle w:val="APAPrrafo"/>
        <w:jc w:val="both"/>
      </w:pPr>
      <w:r w:rsidRPr="004E6D42">
        <w:t>Estados Unidos concentra el mayor número</w:t>
      </w:r>
      <w:r w:rsidR="00D85D56">
        <w:t xml:space="preserve"> de </w:t>
      </w:r>
      <w:r w:rsidR="0039752C">
        <w:t>Fintech</w:t>
      </w:r>
      <w:r w:rsidRPr="004E6D42">
        <w:t xml:space="preserve">, seguido de Reino Unido, Australia, China, Canadá e Israel. Estos seis países representan las dos terceras partes de las 100 </w:t>
      </w:r>
      <w:r w:rsidR="00370365" w:rsidRPr="004E6D42">
        <w:t>Fintech</w:t>
      </w:r>
      <w:r w:rsidRPr="004E6D42">
        <w:t xml:space="preserve"> más grandes del mundo.</w:t>
      </w:r>
    </w:p>
    <w:p w14:paraId="03015F8A" w14:textId="5205723E" w:rsidR="7F837570" w:rsidRPr="00DF2EC9" w:rsidRDefault="00DF2EC9" w:rsidP="00D975AB">
      <w:pPr>
        <w:pStyle w:val="APAPrrafo"/>
        <w:jc w:val="both"/>
      </w:pPr>
      <w:r w:rsidRPr="00DF2EC9">
        <w:t>Estados Unidos es el segundo actor más grande del mundo y una potencia mundial en innovación de tecnología financiera. Debido a los altos ingresos disponibles de su población, Estados Unidos es un claro líder en el segmento de Finanzas Personales.</w:t>
      </w:r>
    </w:p>
    <w:p w14:paraId="5C0417F3" w14:textId="5C254BB4" w:rsidR="7F837570" w:rsidRDefault="7F837570" w:rsidP="00D975AB">
      <w:pPr>
        <w:jc w:val="both"/>
        <w:rPr>
          <w:rFonts w:eastAsia="Calibri Light"/>
          <w:szCs w:val="24"/>
        </w:rPr>
      </w:pPr>
    </w:p>
    <w:p w14:paraId="75B10287" w14:textId="5930A86A" w:rsidR="7F837570" w:rsidRDefault="7F837570" w:rsidP="00D975AB">
      <w:pPr>
        <w:jc w:val="both"/>
        <w:rPr>
          <w:rFonts w:eastAsia="Calibri Light"/>
          <w:szCs w:val="24"/>
        </w:rPr>
      </w:pPr>
    </w:p>
    <w:p w14:paraId="74C6E51E" w14:textId="67359003" w:rsidR="7F837570" w:rsidRDefault="7F837570" w:rsidP="00D975AB">
      <w:pPr>
        <w:jc w:val="both"/>
        <w:rPr>
          <w:rFonts w:eastAsia="Calibri Light"/>
          <w:szCs w:val="24"/>
        </w:rPr>
      </w:pPr>
    </w:p>
    <w:p w14:paraId="3C507594" w14:textId="22DD262E" w:rsidR="00946D38" w:rsidRPr="00103100" w:rsidRDefault="00946D38" w:rsidP="00D975AB">
      <w:pPr>
        <w:pStyle w:val="Ttulo2"/>
        <w:jc w:val="both"/>
      </w:pPr>
      <w:bookmarkStart w:id="21" w:name="_Toc91548311"/>
      <w:r w:rsidRPr="00103100">
        <w:lastRenderedPageBreak/>
        <w:t xml:space="preserve">Comercio </w:t>
      </w:r>
      <w:r w:rsidR="7F837570">
        <w:t>Internacional</w:t>
      </w:r>
      <w:bookmarkEnd w:id="21"/>
    </w:p>
    <w:p w14:paraId="246141BD" w14:textId="7A8332CC" w:rsidR="7F837570" w:rsidRPr="00997CBA" w:rsidRDefault="7F837570" w:rsidP="00D975AB">
      <w:pPr>
        <w:pStyle w:val="APAPrrafo"/>
        <w:jc w:val="both"/>
        <w:rPr>
          <w:rFonts w:eastAsia="Roboto" w:cs="Times New Roman"/>
          <w:szCs w:val="24"/>
        </w:rPr>
      </w:pPr>
      <w:r>
        <w:t>Estados Unidos es la economía más grande a nivel mundial, representó el 16% del PBI mundial en el 2019, es altamente industrializado, usa tecnología moderna, mayor productor industrial del mundo y es el país comercial más grande. Igualmente es el mayor importador del mundo y el segundo mayor exportador de bienes, así como también el mayor importador y exportador de servicios comerciales, en el año 2019 el sector económico que influyo en el crecimiento económico es el sector servicios con un 76.89 %.</w:t>
      </w:r>
    </w:p>
    <w:p w14:paraId="374C0A48" w14:textId="4C6B4CA9" w:rsidR="00946D38" w:rsidRPr="00103100" w:rsidRDefault="00946D38" w:rsidP="00D975AB">
      <w:pPr>
        <w:pStyle w:val="Ttulo3"/>
        <w:jc w:val="both"/>
      </w:pPr>
      <w:bookmarkStart w:id="22" w:name="_Toc91548312"/>
      <w:r w:rsidRPr="00103100">
        <w:t>Comercio de Mercancía</w:t>
      </w:r>
      <w:bookmarkEnd w:id="22"/>
    </w:p>
    <w:p w14:paraId="73E7B94D" w14:textId="7F795D2D" w:rsidR="009018A3" w:rsidRDefault="7F837570" w:rsidP="00D975AB">
      <w:pPr>
        <w:pStyle w:val="APAPrrafo"/>
        <w:jc w:val="both"/>
      </w:pPr>
      <w:r>
        <w:t xml:space="preserve">En el 2019 los principales productos de exportación fueron: Aceites refinados de petróleo, automóviles, autopartes y accesorios de automóviles, circuitos integrados electrónicos, teléfonos móviles y gases de petróleo. </w:t>
      </w:r>
    </w:p>
    <w:p w14:paraId="1A4689BD" w14:textId="7B23599B" w:rsidR="056CE1CC" w:rsidRPr="00564355" w:rsidRDefault="00564355" w:rsidP="00564355">
      <w:pPr>
        <w:pStyle w:val="APAPrrafo"/>
        <w:jc w:val="both"/>
      </w:pPr>
      <w:r>
        <w:rPr>
          <w:noProof/>
        </w:rPr>
        <w:drawing>
          <wp:anchor distT="0" distB="0" distL="114300" distR="114300" simplePos="0" relativeHeight="251658249" behindDoc="1" locked="0" layoutInCell="1" allowOverlap="1" wp14:anchorId="0999E520" wp14:editId="26E464C5">
            <wp:simplePos x="0" y="0"/>
            <wp:positionH relativeFrom="column">
              <wp:posOffset>459740</wp:posOffset>
            </wp:positionH>
            <wp:positionV relativeFrom="paragraph">
              <wp:posOffset>871220</wp:posOffset>
            </wp:positionV>
            <wp:extent cx="4680000" cy="2880000"/>
            <wp:effectExtent l="0" t="0" r="6350" b="15875"/>
            <wp:wrapTight wrapText="bothSides">
              <wp:wrapPolygon edited="0">
                <wp:start x="0" y="0"/>
                <wp:lineTo x="0" y="21576"/>
                <wp:lineTo x="21541" y="21576"/>
                <wp:lineTo x="21541" y="0"/>
                <wp:lineTo x="0" y="0"/>
              </wp:wrapPolygon>
            </wp:wrapTight>
            <wp:docPr id="21" name="Gráfico 21">
              <a:extLst xmlns:a="http://schemas.openxmlformats.org/drawingml/2006/main">
                <a:ext uri="{FF2B5EF4-FFF2-40B4-BE49-F238E27FC236}">
                  <a16:creationId xmlns:a16="http://schemas.microsoft.com/office/drawing/2014/main" id="{3C61219D-9516-44D4-B7E8-D520F7206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0" behindDoc="1" locked="0" layoutInCell="1" allowOverlap="1" wp14:anchorId="7BC37247" wp14:editId="4EB2EBB6">
                <wp:simplePos x="0" y="0"/>
                <wp:positionH relativeFrom="column">
                  <wp:posOffset>-1270</wp:posOffset>
                </wp:positionH>
                <wp:positionV relativeFrom="paragraph">
                  <wp:posOffset>195580</wp:posOffset>
                </wp:positionV>
                <wp:extent cx="5612130" cy="506095"/>
                <wp:effectExtent l="0" t="0" r="7620" b="8255"/>
                <wp:wrapTight wrapText="bothSides">
                  <wp:wrapPolygon edited="0">
                    <wp:start x="0" y="0"/>
                    <wp:lineTo x="0" y="21139"/>
                    <wp:lineTo x="21556" y="21139"/>
                    <wp:lineTo x="21556" y="0"/>
                    <wp:lineTo x="0" y="0"/>
                  </wp:wrapPolygon>
                </wp:wrapTight>
                <wp:docPr id="28" name="Cuadro de texto 28"/>
                <wp:cNvGraphicFramePr/>
                <a:graphic xmlns:a="http://schemas.openxmlformats.org/drawingml/2006/main">
                  <a:graphicData uri="http://schemas.microsoft.com/office/word/2010/wordprocessingShape">
                    <wps:wsp>
                      <wps:cNvSpPr txBox="1"/>
                      <wps:spPr>
                        <a:xfrm>
                          <a:off x="0" y="0"/>
                          <a:ext cx="5612130" cy="506095"/>
                        </a:xfrm>
                        <a:prstGeom prst="rect">
                          <a:avLst/>
                        </a:prstGeom>
                        <a:solidFill>
                          <a:prstClr val="white"/>
                        </a:solidFill>
                        <a:ln>
                          <a:noFill/>
                        </a:ln>
                      </wps:spPr>
                      <wps:txbx>
                        <w:txbxContent>
                          <w:p w14:paraId="48BAE6E2" w14:textId="62D5184F" w:rsidR="00564355" w:rsidRPr="00997CBA" w:rsidRDefault="00564355" w:rsidP="00564355">
                            <w:pPr>
                              <w:pStyle w:val="TITULOTablasyFiguras"/>
                              <w:rPr>
                                <w:b/>
                                <w:bCs/>
                                <w:i w:val="0"/>
                                <w:iCs w:val="0"/>
                                <w:color w:val="auto"/>
                              </w:rPr>
                            </w:pPr>
                            <w:r w:rsidRPr="00997CBA">
                              <w:rPr>
                                <w:b/>
                                <w:bCs/>
                                <w:i w:val="0"/>
                                <w:iCs w:val="0"/>
                                <w:color w:val="auto"/>
                              </w:rPr>
                              <w:t xml:space="preserve">Figura </w:t>
                            </w:r>
                            <w:r w:rsidRPr="00997CBA">
                              <w:rPr>
                                <w:b/>
                                <w:bCs/>
                                <w:i w:val="0"/>
                                <w:iCs w:val="0"/>
                                <w:color w:val="auto"/>
                              </w:rPr>
                              <w:fldChar w:fldCharType="begin"/>
                            </w:r>
                            <w:r w:rsidRPr="00997CBA">
                              <w:rPr>
                                <w:b/>
                                <w:bCs/>
                                <w:i w:val="0"/>
                                <w:iCs w:val="0"/>
                                <w:color w:val="auto"/>
                              </w:rPr>
                              <w:instrText xml:space="preserve"> SEQ Figura \* ARABIC </w:instrText>
                            </w:r>
                            <w:r w:rsidRPr="00997CBA">
                              <w:rPr>
                                <w:b/>
                                <w:bCs/>
                                <w:i w:val="0"/>
                                <w:iCs w:val="0"/>
                                <w:color w:val="auto"/>
                              </w:rPr>
                              <w:fldChar w:fldCharType="separate"/>
                            </w:r>
                            <w:r w:rsidR="00383437">
                              <w:rPr>
                                <w:b/>
                                <w:bCs/>
                                <w:i w:val="0"/>
                                <w:iCs w:val="0"/>
                                <w:noProof/>
                                <w:color w:val="auto"/>
                              </w:rPr>
                              <w:t>19</w:t>
                            </w:r>
                            <w:r w:rsidRPr="00997CBA">
                              <w:rPr>
                                <w:b/>
                                <w:bCs/>
                                <w:i w:val="0"/>
                                <w:iCs w:val="0"/>
                                <w:color w:val="auto"/>
                              </w:rPr>
                              <w:fldChar w:fldCharType="end"/>
                            </w:r>
                            <w:r w:rsidRPr="00997CBA">
                              <w:rPr>
                                <w:b/>
                                <w:bCs/>
                                <w:i w:val="0"/>
                                <w:iCs w:val="0"/>
                                <w:color w:val="auto"/>
                              </w:rPr>
                              <w:t xml:space="preserve"> </w:t>
                            </w:r>
                          </w:p>
                          <w:p w14:paraId="312E8EFF" w14:textId="061AAF12" w:rsidR="00564355" w:rsidRPr="00997CBA" w:rsidRDefault="00564355" w:rsidP="00564355">
                            <w:pPr>
                              <w:pStyle w:val="TITULOTablasyFiguras"/>
                              <w:rPr>
                                <w:noProof/>
                                <w:color w:val="auto"/>
                              </w:rPr>
                            </w:pPr>
                            <w:r w:rsidRPr="00997CBA">
                              <w:rPr>
                                <w:color w:val="auto"/>
                              </w:rPr>
                              <w:t>Exportación de bienes 2015 - 2019 (Billones de dólares)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C37247" id="_x0000_t202" coordsize="21600,21600" o:spt="202" path="m,l,21600r21600,l21600,xe">
                <v:stroke joinstyle="miter"/>
                <v:path gradientshapeok="t" o:connecttype="rect"/>
              </v:shapetype>
              <v:shape id="Cuadro de texto 28" o:spid="_x0000_s1026" type="#_x0000_t202" style="position:absolute;left:0;text-align:left;margin-left:-.1pt;margin-top:15.4pt;width:441.9pt;height:39.85pt;z-index:-2516582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" stroked="f">
                <v:textbox inset="0,0,0,0">
                  <w:txbxContent>
                    <w:p w14:paraId="48BAE6E2" w14:textId="62D5184F" w:rsidR="00564355" w:rsidRPr="00997CBA" w:rsidRDefault="00564355" w:rsidP="00564355">
                      <w:pPr>
                        <w:pStyle w:val="TITULOTablasyFiguras"/>
                        <w:rPr>
                          <w:b/>
                          <w:bCs/>
                          <w:i w:val="0"/>
                          <w:iCs w:val="0"/>
                          <w:color w:val="auto"/>
                        </w:rPr>
                      </w:pPr>
                      <w:r w:rsidRPr="00997CBA">
                        <w:rPr>
                          <w:b/>
                          <w:bCs/>
                          <w:i w:val="0"/>
                          <w:iCs w:val="0"/>
                          <w:color w:val="auto"/>
                        </w:rPr>
                        <w:t xml:space="preserve">Figura </w:t>
                      </w:r>
                      <w:r w:rsidRPr="00997CBA">
                        <w:rPr>
                          <w:b/>
                          <w:bCs/>
                          <w:i w:val="0"/>
                          <w:iCs w:val="0"/>
                          <w:color w:val="auto"/>
                        </w:rPr>
                        <w:fldChar w:fldCharType="begin"/>
                      </w:r>
                      <w:r w:rsidRPr="00997CBA">
                        <w:rPr>
                          <w:b/>
                          <w:bCs/>
                          <w:i w:val="0"/>
                          <w:iCs w:val="0"/>
                          <w:color w:val="auto"/>
                        </w:rPr>
                        <w:instrText xml:space="preserve"> SEQ Figura \* ARABIC </w:instrText>
                      </w:r>
                      <w:r w:rsidRPr="00997CBA">
                        <w:rPr>
                          <w:b/>
                          <w:bCs/>
                          <w:i w:val="0"/>
                          <w:iCs w:val="0"/>
                          <w:color w:val="auto"/>
                        </w:rPr>
                        <w:fldChar w:fldCharType="separate"/>
                      </w:r>
                      <w:r w:rsidR="00383437">
                        <w:rPr>
                          <w:b/>
                          <w:bCs/>
                          <w:i w:val="0"/>
                          <w:iCs w:val="0"/>
                          <w:noProof/>
                          <w:color w:val="auto"/>
                        </w:rPr>
                        <w:t>19</w:t>
                      </w:r>
                      <w:r w:rsidRPr="00997CBA">
                        <w:rPr>
                          <w:b/>
                          <w:bCs/>
                          <w:i w:val="0"/>
                          <w:iCs w:val="0"/>
                          <w:color w:val="auto"/>
                        </w:rPr>
                        <w:fldChar w:fldCharType="end"/>
                      </w:r>
                      <w:r w:rsidRPr="00997CBA">
                        <w:rPr>
                          <w:b/>
                          <w:bCs/>
                          <w:i w:val="0"/>
                          <w:iCs w:val="0"/>
                          <w:color w:val="auto"/>
                        </w:rPr>
                        <w:t xml:space="preserve"> </w:t>
                      </w:r>
                    </w:p>
                    <w:p w14:paraId="312E8EFF" w14:textId="061AAF12" w:rsidR="00564355" w:rsidRPr="00997CBA" w:rsidRDefault="00564355" w:rsidP="00564355">
                      <w:pPr>
                        <w:pStyle w:val="TITULOTablasyFiguras"/>
                        <w:rPr>
                          <w:noProof/>
                          <w:color w:val="auto"/>
                        </w:rPr>
                      </w:pPr>
                      <w:r w:rsidRPr="00997CBA">
                        <w:rPr>
                          <w:color w:val="auto"/>
                        </w:rPr>
                        <w:t>Exportación de bienes 2015 - 2019 (Billones de dólares)</w:t>
                      </w:r>
                    </w:p>
                  </w:txbxContent>
                </v:textbox>
                <w10:wrap type="tight"/>
              </v:shape>
            </w:pict>
          </mc:Fallback>
        </mc:AlternateContent>
      </w:r>
    </w:p>
    <w:p w14:paraId="5956ABCA" w14:textId="77777777" w:rsidR="00997CBA" w:rsidRDefault="00997CBA" w:rsidP="00564355">
      <w:pPr>
        <w:pStyle w:val="NotasAPA"/>
        <w:jc w:val="both"/>
        <w:rPr>
          <w:rFonts w:cs="Times New Roman"/>
        </w:rPr>
      </w:pPr>
    </w:p>
    <w:p w14:paraId="18A48B5D" w14:textId="77777777" w:rsidR="00997CBA" w:rsidRDefault="00997CBA" w:rsidP="00564355">
      <w:pPr>
        <w:pStyle w:val="NotasAPA"/>
        <w:jc w:val="both"/>
        <w:rPr>
          <w:rFonts w:cs="Times New Roman"/>
        </w:rPr>
      </w:pPr>
    </w:p>
    <w:p w14:paraId="7002BECE" w14:textId="77777777" w:rsidR="00997CBA" w:rsidRDefault="00997CBA" w:rsidP="00564355">
      <w:pPr>
        <w:pStyle w:val="NotasAPA"/>
        <w:jc w:val="both"/>
        <w:rPr>
          <w:rFonts w:cs="Times New Roman"/>
        </w:rPr>
      </w:pPr>
    </w:p>
    <w:p w14:paraId="337AB0F0" w14:textId="77777777" w:rsidR="00997CBA" w:rsidRDefault="00997CBA" w:rsidP="00564355">
      <w:pPr>
        <w:pStyle w:val="NotasAPA"/>
        <w:jc w:val="both"/>
        <w:rPr>
          <w:rFonts w:cs="Times New Roman"/>
        </w:rPr>
      </w:pPr>
    </w:p>
    <w:p w14:paraId="092B25B2" w14:textId="77777777" w:rsidR="00997CBA" w:rsidRDefault="00997CBA" w:rsidP="00564355">
      <w:pPr>
        <w:pStyle w:val="NotasAPA"/>
        <w:jc w:val="both"/>
        <w:rPr>
          <w:rFonts w:cs="Times New Roman"/>
        </w:rPr>
      </w:pPr>
    </w:p>
    <w:p w14:paraId="7708184F" w14:textId="77777777" w:rsidR="00997CBA" w:rsidRDefault="00997CBA" w:rsidP="00564355">
      <w:pPr>
        <w:pStyle w:val="NotasAPA"/>
        <w:jc w:val="both"/>
        <w:rPr>
          <w:rFonts w:cs="Times New Roman"/>
        </w:rPr>
      </w:pPr>
    </w:p>
    <w:p w14:paraId="7A70A136" w14:textId="77777777" w:rsidR="00997CBA" w:rsidRDefault="00997CBA" w:rsidP="00564355">
      <w:pPr>
        <w:pStyle w:val="NotasAPA"/>
        <w:jc w:val="both"/>
        <w:rPr>
          <w:rFonts w:cs="Times New Roman"/>
        </w:rPr>
      </w:pPr>
    </w:p>
    <w:p w14:paraId="79324923" w14:textId="77777777" w:rsidR="00997CBA" w:rsidRDefault="00997CBA" w:rsidP="00564355">
      <w:pPr>
        <w:pStyle w:val="NotasAPA"/>
        <w:jc w:val="both"/>
        <w:rPr>
          <w:rFonts w:cs="Times New Roman"/>
        </w:rPr>
      </w:pPr>
    </w:p>
    <w:p w14:paraId="64428D41" w14:textId="77777777" w:rsidR="00997CBA" w:rsidRDefault="00997CBA" w:rsidP="00564355">
      <w:pPr>
        <w:pStyle w:val="NotasAPA"/>
        <w:jc w:val="both"/>
        <w:rPr>
          <w:rFonts w:cs="Times New Roman"/>
        </w:rPr>
      </w:pPr>
    </w:p>
    <w:p w14:paraId="5B3ED67E" w14:textId="77777777" w:rsidR="00997CBA" w:rsidRDefault="00997CBA" w:rsidP="00564355">
      <w:pPr>
        <w:pStyle w:val="NotasAPA"/>
        <w:jc w:val="both"/>
        <w:rPr>
          <w:rFonts w:cs="Times New Roman"/>
        </w:rPr>
      </w:pPr>
    </w:p>
    <w:p w14:paraId="5D5132C0" w14:textId="77777777" w:rsidR="00997CBA" w:rsidRDefault="00997CBA" w:rsidP="00564355">
      <w:pPr>
        <w:pStyle w:val="NotasAPA"/>
        <w:jc w:val="both"/>
        <w:rPr>
          <w:rFonts w:cs="Times New Roman"/>
        </w:rPr>
      </w:pPr>
    </w:p>
    <w:p w14:paraId="657D954F" w14:textId="4543CC27" w:rsidR="056CE1CC" w:rsidRDefault="701343B5" w:rsidP="00564355">
      <w:pPr>
        <w:pStyle w:val="NotasAPA"/>
        <w:jc w:val="both"/>
      </w:pPr>
      <w:r>
        <w:t>Nota. Statista, Elaboración propia</w:t>
      </w:r>
    </w:p>
    <w:p w14:paraId="1A8F9964" w14:textId="6AE296B3" w:rsidR="056CE1CC" w:rsidRPr="008432CC" w:rsidRDefault="056CE1CC" w:rsidP="00D975AB">
      <w:pPr>
        <w:pStyle w:val="APAPrrafo"/>
        <w:jc w:val="both"/>
        <w:rPr>
          <w:szCs w:val="24"/>
        </w:rPr>
      </w:pPr>
      <w:r>
        <w:lastRenderedPageBreak/>
        <w:t>En el año 2018 la exportación alcanzo su punto máximo de 1663.98 billones de dólares debido al favorable contexto internacional, En el 2019 se obtuvo un nivel menor al del 2018, llegando a obtener 1643.13 de billones de dólares.</w:t>
      </w:r>
    </w:p>
    <w:p w14:paraId="2534485F" w14:textId="757A0886" w:rsidR="009018A3" w:rsidRDefault="7F837570" w:rsidP="00564355">
      <w:pPr>
        <w:pStyle w:val="APAPrrafo"/>
        <w:jc w:val="both"/>
      </w:pPr>
      <w:r>
        <w:t xml:space="preserve">Las principales importaciones en el 2019 incluyeron automóviles, petróleo crudo, dispositivos de sistemas telefónicos, computadoras, medicamentos y repuestos de automóviles. </w:t>
      </w:r>
    </w:p>
    <w:p w14:paraId="2B2C970D" w14:textId="00FFB269" w:rsidR="00564355" w:rsidRPr="00997CBA" w:rsidRDefault="00564355" w:rsidP="00564355">
      <w:pPr>
        <w:pStyle w:val="TITULOTablasyFiguras"/>
        <w:rPr>
          <w:rFonts w:cs="Times New Roman"/>
          <w:b/>
          <w:bCs/>
          <w:i w:val="0"/>
          <w:iCs w:val="0"/>
          <w:color w:val="auto"/>
        </w:rPr>
      </w:pPr>
      <w:r w:rsidRPr="00997CBA">
        <w:rPr>
          <w:rFonts w:cs="Times New Roman"/>
          <w:b/>
          <w:bCs/>
          <w:i w:val="0"/>
          <w:iCs w:val="0"/>
          <w:color w:val="auto"/>
        </w:rPr>
        <w:t xml:space="preserve">Figura </w:t>
      </w:r>
      <w:r w:rsidRPr="00997CBA">
        <w:rPr>
          <w:rFonts w:cs="Times New Roman"/>
          <w:b/>
          <w:bCs/>
          <w:i w:val="0"/>
          <w:iCs w:val="0"/>
          <w:color w:val="auto"/>
        </w:rPr>
        <w:fldChar w:fldCharType="begin"/>
      </w:r>
      <w:r w:rsidRPr="00997CBA">
        <w:rPr>
          <w:rFonts w:cs="Times New Roman"/>
          <w:b/>
          <w:bCs/>
          <w:i w:val="0"/>
          <w:iCs w:val="0"/>
          <w:color w:val="auto"/>
        </w:rPr>
        <w:instrText xml:space="preserve"> SEQ Figura \* ARABIC </w:instrText>
      </w:r>
      <w:r w:rsidRPr="00997CBA">
        <w:rPr>
          <w:rFonts w:cs="Times New Roman"/>
          <w:b/>
          <w:bCs/>
          <w:i w:val="0"/>
          <w:iCs w:val="0"/>
          <w:color w:val="auto"/>
        </w:rPr>
        <w:fldChar w:fldCharType="separate"/>
      </w:r>
      <w:r w:rsidR="00383437">
        <w:rPr>
          <w:rFonts w:cs="Times New Roman"/>
          <w:b/>
          <w:bCs/>
          <w:i w:val="0"/>
          <w:iCs w:val="0"/>
          <w:noProof/>
          <w:color w:val="auto"/>
        </w:rPr>
        <w:t>20</w:t>
      </w:r>
      <w:r w:rsidRPr="00997CBA">
        <w:rPr>
          <w:rFonts w:cs="Times New Roman"/>
          <w:b/>
          <w:bCs/>
          <w:i w:val="0"/>
          <w:iCs w:val="0"/>
          <w:color w:val="auto"/>
        </w:rPr>
        <w:fldChar w:fldCharType="end"/>
      </w:r>
      <w:r w:rsidRPr="00997CBA">
        <w:rPr>
          <w:rFonts w:cs="Times New Roman"/>
          <w:b/>
          <w:bCs/>
          <w:i w:val="0"/>
          <w:iCs w:val="0"/>
          <w:color w:val="auto"/>
        </w:rPr>
        <w:t xml:space="preserve"> </w:t>
      </w:r>
    </w:p>
    <w:p w14:paraId="1B276784" w14:textId="4C2F866E" w:rsidR="00564355" w:rsidRPr="00997CBA" w:rsidRDefault="00564355" w:rsidP="00564355">
      <w:pPr>
        <w:pStyle w:val="TITULOTablasyFiguras"/>
        <w:rPr>
          <w:rFonts w:cs="Times New Roman"/>
          <w:color w:val="auto"/>
        </w:rPr>
      </w:pPr>
      <w:r w:rsidRPr="00997CBA">
        <w:rPr>
          <w:rFonts w:cs="Times New Roman"/>
          <w:color w:val="auto"/>
        </w:rPr>
        <w:t xml:space="preserve">Importación de bienes 2015 </w:t>
      </w:r>
      <w:r w:rsidR="00FC46BC" w:rsidRPr="00997CBA">
        <w:rPr>
          <w:rFonts w:cs="Times New Roman"/>
          <w:color w:val="auto"/>
        </w:rPr>
        <w:t>–</w:t>
      </w:r>
      <w:r w:rsidRPr="00997CBA">
        <w:rPr>
          <w:rFonts w:cs="Times New Roman"/>
          <w:color w:val="auto"/>
        </w:rPr>
        <w:t xml:space="preserve"> 2019 (Billones de dólares)</w:t>
      </w:r>
    </w:p>
    <w:p w14:paraId="4E9AABB1" w14:textId="6CF27FEB" w:rsidR="002F3755" w:rsidRPr="00997CBA" w:rsidRDefault="00E92244" w:rsidP="00D975AB">
      <w:pPr>
        <w:pStyle w:val="TITULOTablasyFiguras"/>
        <w:jc w:val="both"/>
        <w:rPr>
          <w:rFonts w:eastAsia="Calibri Light" w:cs="Times New Roman"/>
          <w:color w:val="auto"/>
          <w:szCs w:val="24"/>
        </w:rPr>
      </w:pPr>
      <w:r w:rsidRPr="00997CBA">
        <w:rPr>
          <w:rFonts w:cs="Times New Roman"/>
          <w:noProof/>
          <w:color w:val="auto"/>
        </w:rPr>
        <w:drawing>
          <wp:inline distT="0" distB="0" distL="0" distR="0" wp14:anchorId="2E223DE1" wp14:editId="2B203817">
            <wp:extent cx="4680000" cy="2880000"/>
            <wp:effectExtent l="0" t="0" r="6350" b="15875"/>
            <wp:docPr id="22" name="Gráfico 22">
              <a:extLst xmlns:a="http://schemas.openxmlformats.org/drawingml/2006/main">
                <a:ext uri="{FF2B5EF4-FFF2-40B4-BE49-F238E27FC236}">
                  <a16:creationId xmlns:a16="http://schemas.microsoft.com/office/drawing/2014/main" id="{52BCF971-13E8-4A80-9512-FD748EC0C8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14D42B" w14:textId="09661417" w:rsidR="056CE1CC" w:rsidRDefault="701343B5" w:rsidP="00564355">
      <w:pPr>
        <w:pStyle w:val="NotasAPA"/>
        <w:jc w:val="both"/>
      </w:pPr>
      <w:r>
        <w:t>Nota. Statista, Elaboración propia</w:t>
      </w:r>
    </w:p>
    <w:p w14:paraId="018B69DF" w14:textId="77777777" w:rsidR="00564355" w:rsidRPr="00564355" w:rsidRDefault="00564355" w:rsidP="00564355">
      <w:pPr>
        <w:pStyle w:val="NotasAPA"/>
        <w:jc w:val="both"/>
      </w:pPr>
    </w:p>
    <w:p w14:paraId="78DF4A11" w14:textId="4FB39846" w:rsidR="7F837570" w:rsidRDefault="056CE1CC" w:rsidP="00D975AB">
      <w:pPr>
        <w:pStyle w:val="APAPrrafo"/>
        <w:jc w:val="both"/>
        <w:rPr>
          <w:szCs w:val="24"/>
        </w:rPr>
      </w:pPr>
      <w:r>
        <w:t>En el año 2018 la importación alcanzo su punto máximo de 2614.22 billones de dólares debido al incremento de la producción y de la demanda interna, En el 2019 se obtuvo un nivel menor al del 2018, llegando a obtener 2567.44 de billones de dólares.</w:t>
      </w:r>
    </w:p>
    <w:p w14:paraId="7CBEBB59" w14:textId="77777777" w:rsidR="00DA5312" w:rsidRDefault="00DA5312" w:rsidP="00D975AB">
      <w:pPr>
        <w:pStyle w:val="APAPrrafo"/>
        <w:jc w:val="both"/>
        <w:rPr>
          <w:szCs w:val="24"/>
        </w:rPr>
      </w:pPr>
    </w:p>
    <w:p w14:paraId="7B334372" w14:textId="22568EB8" w:rsidR="00946D38" w:rsidRPr="00103100" w:rsidRDefault="00946D38" w:rsidP="00D975AB">
      <w:pPr>
        <w:pStyle w:val="Ttulo3"/>
        <w:jc w:val="both"/>
      </w:pPr>
      <w:bookmarkStart w:id="23" w:name="_Toc91548313"/>
      <w:r w:rsidRPr="00103100">
        <w:lastRenderedPageBreak/>
        <w:t>Servicios Comerciales</w:t>
      </w:r>
      <w:bookmarkEnd w:id="23"/>
    </w:p>
    <w:p w14:paraId="13CF77B1" w14:textId="7CFD2E20" w:rsidR="00DA5312" w:rsidRDefault="7F837570" w:rsidP="00D975AB">
      <w:pPr>
        <w:pStyle w:val="APAPrrafo"/>
        <w:jc w:val="both"/>
      </w:pPr>
      <w:r w:rsidRPr="7F837570">
        <w:t xml:space="preserve">Los principales socios comerciales de Estados Unidos en el 2019 fueron: Canadá (17,8%), México (15,6%), China (6,5%), Japón (4,5%), el Reino Unido (4,2%) y Alemania (3,6%). </w:t>
      </w:r>
    </w:p>
    <w:p w14:paraId="0BC27313" w14:textId="53B94CA8" w:rsidR="00564355" w:rsidRPr="00997CBA" w:rsidRDefault="00564355" w:rsidP="00564355">
      <w:pPr>
        <w:pStyle w:val="TITULOTablasyFiguras"/>
        <w:rPr>
          <w:rFonts w:cs="Times New Roman"/>
          <w:b/>
          <w:bCs/>
          <w:i w:val="0"/>
          <w:iCs w:val="0"/>
          <w:color w:val="auto"/>
        </w:rPr>
      </w:pPr>
      <w:r w:rsidRPr="00997CBA">
        <w:rPr>
          <w:rFonts w:cs="Times New Roman"/>
          <w:b/>
          <w:bCs/>
          <w:i w:val="0"/>
          <w:iCs w:val="0"/>
          <w:color w:val="auto"/>
        </w:rPr>
        <w:t xml:space="preserve">Figura </w:t>
      </w:r>
      <w:r w:rsidRPr="00997CBA">
        <w:rPr>
          <w:rFonts w:cs="Times New Roman"/>
          <w:b/>
          <w:bCs/>
          <w:i w:val="0"/>
          <w:iCs w:val="0"/>
          <w:color w:val="auto"/>
        </w:rPr>
        <w:fldChar w:fldCharType="begin"/>
      </w:r>
      <w:r w:rsidRPr="00997CBA">
        <w:rPr>
          <w:rFonts w:cs="Times New Roman"/>
          <w:b/>
          <w:bCs/>
          <w:i w:val="0"/>
          <w:iCs w:val="0"/>
          <w:color w:val="auto"/>
        </w:rPr>
        <w:instrText xml:space="preserve"> SEQ Figura \* ARABIC </w:instrText>
      </w:r>
      <w:r w:rsidRPr="00997CBA">
        <w:rPr>
          <w:rFonts w:cs="Times New Roman"/>
          <w:b/>
          <w:bCs/>
          <w:i w:val="0"/>
          <w:iCs w:val="0"/>
          <w:color w:val="auto"/>
        </w:rPr>
        <w:fldChar w:fldCharType="separate"/>
      </w:r>
      <w:r w:rsidR="00383437">
        <w:rPr>
          <w:rFonts w:cs="Times New Roman"/>
          <w:b/>
          <w:bCs/>
          <w:i w:val="0"/>
          <w:iCs w:val="0"/>
          <w:noProof/>
          <w:color w:val="auto"/>
        </w:rPr>
        <w:t>21</w:t>
      </w:r>
      <w:r w:rsidRPr="00997CBA">
        <w:rPr>
          <w:rFonts w:cs="Times New Roman"/>
          <w:b/>
          <w:bCs/>
          <w:i w:val="0"/>
          <w:iCs w:val="0"/>
          <w:color w:val="auto"/>
        </w:rPr>
        <w:fldChar w:fldCharType="end"/>
      </w:r>
      <w:r w:rsidRPr="00997CBA">
        <w:rPr>
          <w:rFonts w:cs="Times New Roman"/>
          <w:b/>
          <w:bCs/>
          <w:i w:val="0"/>
          <w:iCs w:val="0"/>
          <w:color w:val="auto"/>
        </w:rPr>
        <w:t xml:space="preserve"> </w:t>
      </w:r>
    </w:p>
    <w:p w14:paraId="6086AC0C" w14:textId="08E31C54" w:rsidR="00564355" w:rsidRPr="00997CBA" w:rsidRDefault="00564355" w:rsidP="00564355">
      <w:pPr>
        <w:pStyle w:val="TITULOTablasyFiguras"/>
        <w:rPr>
          <w:rFonts w:cs="Times New Roman"/>
          <w:color w:val="auto"/>
        </w:rPr>
      </w:pPr>
      <w:r w:rsidRPr="00997CBA">
        <w:rPr>
          <w:rFonts w:cs="Times New Roman"/>
          <w:color w:val="auto"/>
        </w:rPr>
        <w:t>Principales socios de exportación en 2019</w:t>
      </w:r>
    </w:p>
    <w:p w14:paraId="41F0DEBC" w14:textId="4542AB1C" w:rsidR="7F837570" w:rsidRPr="00997CBA" w:rsidRDefault="00366AB6" w:rsidP="00564355">
      <w:pPr>
        <w:pStyle w:val="TITULOTablasyFiguras"/>
        <w:jc w:val="both"/>
        <w:rPr>
          <w:rFonts w:eastAsia="Calibri Light" w:cs="Times New Roman"/>
          <w:color w:val="auto"/>
          <w:szCs w:val="24"/>
        </w:rPr>
      </w:pPr>
      <w:r w:rsidRPr="00997CBA">
        <w:rPr>
          <w:rFonts w:cs="Times New Roman"/>
          <w:noProof/>
          <w:color w:val="auto"/>
        </w:rPr>
        <w:drawing>
          <wp:inline distT="0" distB="0" distL="0" distR="0" wp14:anchorId="09087EC4" wp14:editId="2E77C7B6">
            <wp:extent cx="4680000" cy="2880000"/>
            <wp:effectExtent l="0" t="0" r="6350" b="15875"/>
            <wp:docPr id="23" name="Gráfico 23">
              <a:extLst xmlns:a="http://schemas.openxmlformats.org/drawingml/2006/main">
                <a:ext uri="{FF2B5EF4-FFF2-40B4-BE49-F238E27FC236}">
                  <a16:creationId xmlns:a16="http://schemas.microsoft.com/office/drawing/2014/main" id="{F6D2A0C1-6FB1-4CB4-9F0F-CC86ECDEE6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E2F333D" w14:textId="5BF35B1C" w:rsidR="7F837570" w:rsidRPr="00564355" w:rsidRDefault="5996626A" w:rsidP="00564355">
      <w:pPr>
        <w:pStyle w:val="NotasAPA"/>
        <w:jc w:val="both"/>
      </w:pPr>
      <w:r>
        <w:t>Nota. Statista, Elaboración propia</w:t>
      </w:r>
    </w:p>
    <w:p w14:paraId="035D782D" w14:textId="319ADCAA" w:rsidR="7F837570" w:rsidRDefault="056CE1CC" w:rsidP="00D975AB">
      <w:pPr>
        <w:pStyle w:val="APAPrrafo"/>
        <w:jc w:val="both"/>
        <w:rPr>
          <w:szCs w:val="24"/>
        </w:rPr>
      </w:pPr>
      <w:r>
        <w:t>Los principales productos importados provinieron principalmente de China (18,4%), México (14,1%), Canadá (12,7%), Japón (5,7%) y Alemania (5,1%).</w:t>
      </w:r>
    </w:p>
    <w:p w14:paraId="12D7C898" w14:textId="77777777" w:rsidR="00DA5312" w:rsidRPr="00DA5312" w:rsidRDefault="00DA5312" w:rsidP="00D975AB">
      <w:pPr>
        <w:pStyle w:val="APAPrrafo"/>
        <w:jc w:val="both"/>
      </w:pPr>
    </w:p>
    <w:p w14:paraId="13C00FF0" w14:textId="24E272F4" w:rsidR="00A971C0" w:rsidRPr="00997CBA" w:rsidRDefault="00A971C0" w:rsidP="00A971C0">
      <w:pPr>
        <w:pStyle w:val="TITULOTablasyFiguras"/>
        <w:rPr>
          <w:rFonts w:cs="Times New Roman"/>
          <w:b/>
          <w:bCs/>
          <w:i w:val="0"/>
          <w:iCs w:val="0"/>
          <w:color w:val="auto"/>
        </w:rPr>
      </w:pPr>
      <w:r w:rsidRPr="00997CBA">
        <w:rPr>
          <w:rFonts w:cs="Times New Roman"/>
          <w:b/>
          <w:bCs/>
          <w:i w:val="0"/>
          <w:iCs w:val="0"/>
          <w:color w:val="auto"/>
        </w:rPr>
        <w:lastRenderedPageBreak/>
        <w:t xml:space="preserve">Figura </w:t>
      </w:r>
      <w:r w:rsidRPr="00997CBA">
        <w:rPr>
          <w:rFonts w:cs="Times New Roman"/>
          <w:b/>
          <w:bCs/>
          <w:i w:val="0"/>
          <w:iCs w:val="0"/>
          <w:color w:val="auto"/>
        </w:rPr>
        <w:fldChar w:fldCharType="begin"/>
      </w:r>
      <w:r w:rsidRPr="00997CBA">
        <w:rPr>
          <w:rFonts w:cs="Times New Roman"/>
          <w:b/>
          <w:bCs/>
          <w:i w:val="0"/>
          <w:iCs w:val="0"/>
          <w:color w:val="auto"/>
        </w:rPr>
        <w:instrText xml:space="preserve"> SEQ Figura \* ARABIC </w:instrText>
      </w:r>
      <w:r w:rsidRPr="00997CBA">
        <w:rPr>
          <w:rFonts w:cs="Times New Roman"/>
          <w:b/>
          <w:bCs/>
          <w:i w:val="0"/>
          <w:iCs w:val="0"/>
          <w:color w:val="auto"/>
        </w:rPr>
        <w:fldChar w:fldCharType="separate"/>
      </w:r>
      <w:r w:rsidR="00383437">
        <w:rPr>
          <w:rFonts w:cs="Times New Roman"/>
          <w:b/>
          <w:bCs/>
          <w:i w:val="0"/>
          <w:iCs w:val="0"/>
          <w:noProof/>
          <w:color w:val="auto"/>
        </w:rPr>
        <w:t>22</w:t>
      </w:r>
      <w:r w:rsidRPr="00997CBA">
        <w:rPr>
          <w:rFonts w:cs="Times New Roman"/>
          <w:b/>
          <w:bCs/>
          <w:i w:val="0"/>
          <w:iCs w:val="0"/>
          <w:color w:val="auto"/>
        </w:rPr>
        <w:fldChar w:fldCharType="end"/>
      </w:r>
      <w:r w:rsidRPr="00997CBA">
        <w:rPr>
          <w:rFonts w:cs="Times New Roman"/>
          <w:b/>
          <w:bCs/>
          <w:i w:val="0"/>
          <w:iCs w:val="0"/>
          <w:color w:val="auto"/>
        </w:rPr>
        <w:t xml:space="preserve"> </w:t>
      </w:r>
    </w:p>
    <w:p w14:paraId="545A7C5A" w14:textId="0D19BDD6" w:rsidR="00A971C0" w:rsidRPr="00997CBA" w:rsidRDefault="00A971C0" w:rsidP="00A971C0">
      <w:pPr>
        <w:pStyle w:val="TITULOTablasyFiguras"/>
        <w:rPr>
          <w:rFonts w:cs="Times New Roman"/>
          <w:color w:val="auto"/>
        </w:rPr>
      </w:pPr>
      <w:r w:rsidRPr="00997CBA">
        <w:rPr>
          <w:rFonts w:cs="Times New Roman"/>
          <w:noProof/>
          <w:color w:val="auto"/>
        </w:rPr>
        <w:drawing>
          <wp:anchor distT="0" distB="0" distL="114300" distR="114300" simplePos="0" relativeHeight="251658251" behindDoc="0" locked="0" layoutInCell="1" allowOverlap="1" wp14:anchorId="1A8323D2" wp14:editId="027AC42D">
            <wp:simplePos x="0" y="0"/>
            <wp:positionH relativeFrom="column">
              <wp:posOffset>459740</wp:posOffset>
            </wp:positionH>
            <wp:positionV relativeFrom="paragraph">
              <wp:posOffset>347345</wp:posOffset>
            </wp:positionV>
            <wp:extent cx="4680000" cy="2880000"/>
            <wp:effectExtent l="0" t="0" r="6350" b="15875"/>
            <wp:wrapSquare wrapText="bothSides"/>
            <wp:docPr id="24" name="Gráfico 24">
              <a:extLst xmlns:a="http://schemas.openxmlformats.org/drawingml/2006/main">
                <a:ext uri="{FF2B5EF4-FFF2-40B4-BE49-F238E27FC236}">
                  <a16:creationId xmlns:a16="http://schemas.microsoft.com/office/drawing/2014/main" id="{84FA5FE0-20BC-4651-B28B-84EAA8D894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Pr="00997CBA">
        <w:rPr>
          <w:rFonts w:cs="Times New Roman"/>
          <w:color w:val="auto"/>
        </w:rPr>
        <w:t>Principales socios de importación en 2019</w:t>
      </w:r>
    </w:p>
    <w:p w14:paraId="34E07086" w14:textId="6B2BDF13" w:rsidR="7F837570" w:rsidRDefault="7F837570" w:rsidP="00D975AB">
      <w:pPr>
        <w:pStyle w:val="APAPrrafo"/>
        <w:ind w:firstLine="0"/>
        <w:jc w:val="both"/>
        <w:rPr>
          <w:szCs w:val="24"/>
        </w:rPr>
      </w:pPr>
    </w:p>
    <w:p w14:paraId="300C2DB8" w14:textId="77777777" w:rsidR="00997CBA" w:rsidRDefault="00997CBA" w:rsidP="009C1976">
      <w:pPr>
        <w:pStyle w:val="NotasAPA"/>
        <w:jc w:val="both"/>
        <w:rPr>
          <w:rFonts w:cs="Times New Roman"/>
        </w:rPr>
      </w:pPr>
    </w:p>
    <w:p w14:paraId="3FB85E00" w14:textId="77777777" w:rsidR="00997CBA" w:rsidRDefault="00997CBA" w:rsidP="009C1976">
      <w:pPr>
        <w:pStyle w:val="NotasAPA"/>
        <w:jc w:val="both"/>
        <w:rPr>
          <w:rFonts w:cs="Times New Roman"/>
        </w:rPr>
      </w:pPr>
    </w:p>
    <w:p w14:paraId="1E5B0B19" w14:textId="77777777" w:rsidR="00997CBA" w:rsidRDefault="00997CBA" w:rsidP="009C1976">
      <w:pPr>
        <w:pStyle w:val="NotasAPA"/>
        <w:jc w:val="both"/>
        <w:rPr>
          <w:rFonts w:cs="Times New Roman"/>
        </w:rPr>
      </w:pPr>
    </w:p>
    <w:p w14:paraId="26094570" w14:textId="77777777" w:rsidR="00997CBA" w:rsidRDefault="00997CBA" w:rsidP="009C1976">
      <w:pPr>
        <w:pStyle w:val="NotasAPA"/>
        <w:jc w:val="both"/>
        <w:rPr>
          <w:rFonts w:cs="Times New Roman"/>
        </w:rPr>
      </w:pPr>
    </w:p>
    <w:p w14:paraId="07F018D6" w14:textId="77777777" w:rsidR="00997CBA" w:rsidRDefault="00997CBA" w:rsidP="009C1976">
      <w:pPr>
        <w:pStyle w:val="NotasAPA"/>
        <w:jc w:val="both"/>
        <w:rPr>
          <w:rFonts w:cs="Times New Roman"/>
        </w:rPr>
      </w:pPr>
    </w:p>
    <w:p w14:paraId="03C64B0C" w14:textId="77777777" w:rsidR="00997CBA" w:rsidRDefault="00997CBA" w:rsidP="009C1976">
      <w:pPr>
        <w:pStyle w:val="NotasAPA"/>
        <w:jc w:val="both"/>
        <w:rPr>
          <w:rFonts w:cs="Times New Roman"/>
        </w:rPr>
      </w:pPr>
    </w:p>
    <w:p w14:paraId="673B4AD6" w14:textId="77777777" w:rsidR="00997CBA" w:rsidRDefault="00997CBA" w:rsidP="009C1976">
      <w:pPr>
        <w:pStyle w:val="NotasAPA"/>
        <w:jc w:val="both"/>
        <w:rPr>
          <w:rFonts w:cs="Times New Roman"/>
        </w:rPr>
      </w:pPr>
    </w:p>
    <w:p w14:paraId="2F7FB38D" w14:textId="77777777" w:rsidR="00997CBA" w:rsidRDefault="00997CBA" w:rsidP="009C1976">
      <w:pPr>
        <w:pStyle w:val="NotasAPA"/>
        <w:jc w:val="both"/>
        <w:rPr>
          <w:rFonts w:cs="Times New Roman"/>
        </w:rPr>
      </w:pPr>
    </w:p>
    <w:p w14:paraId="1F05E927" w14:textId="77777777" w:rsidR="00997CBA" w:rsidRDefault="00997CBA" w:rsidP="009C1976">
      <w:pPr>
        <w:pStyle w:val="NotasAPA"/>
        <w:jc w:val="both"/>
        <w:rPr>
          <w:rFonts w:cs="Times New Roman"/>
        </w:rPr>
      </w:pPr>
    </w:p>
    <w:p w14:paraId="14900901" w14:textId="19F69BE7" w:rsidR="48BBD70F" w:rsidRDefault="6A2C8E4E" w:rsidP="009C1976">
      <w:pPr>
        <w:pStyle w:val="NotasAPA"/>
        <w:jc w:val="both"/>
        <w:rPr>
          <w:rFonts w:eastAsia="Calibri"/>
          <w:szCs w:val="24"/>
        </w:rPr>
      </w:pPr>
      <w:r>
        <w:t>Nota. Statista, Elaboración propia</w:t>
      </w:r>
    </w:p>
    <w:p w14:paraId="6DF3E2B9" w14:textId="314C4ECF" w:rsidR="115B8E40" w:rsidRDefault="00946D38" w:rsidP="00D975AB">
      <w:pPr>
        <w:pStyle w:val="Ttulo1"/>
        <w:jc w:val="both"/>
        <w:rPr>
          <w:rFonts w:eastAsia="Calibri Light"/>
        </w:rPr>
      </w:pPr>
      <w:bookmarkStart w:id="24" w:name="_Toc91548314"/>
      <w:r w:rsidRPr="00103100">
        <w:t>CAPÍTULO II</w:t>
      </w:r>
      <w:r w:rsidR="00E4105E">
        <w:t xml:space="preserve"> </w:t>
      </w:r>
      <w:r w:rsidRPr="00103100">
        <w:t>REFORMAS IMPLEMENTADAS PARA EL CRECIMIENTO ECONÓMICO 1950 – 2015</w:t>
      </w:r>
      <w:bookmarkEnd w:id="24"/>
    </w:p>
    <w:p w14:paraId="2B8BF509" w14:textId="57A40F3A" w:rsidR="00946D38" w:rsidRPr="00103100" w:rsidRDefault="00946D38" w:rsidP="00D975AB">
      <w:pPr>
        <w:pStyle w:val="Ttulo2"/>
        <w:jc w:val="both"/>
      </w:pPr>
      <w:bookmarkStart w:id="25" w:name="_Toc91548315"/>
      <w:r w:rsidRPr="00103100">
        <w:t xml:space="preserve">Periodo 1950 </w:t>
      </w:r>
      <w:r w:rsidR="3CC257F3">
        <w:t>–</w:t>
      </w:r>
      <w:r w:rsidR="16FC8E02">
        <w:t xml:space="preserve"> </w:t>
      </w:r>
      <w:r w:rsidRPr="00103100">
        <w:t>1970</w:t>
      </w:r>
      <w:bookmarkEnd w:id="25"/>
    </w:p>
    <w:p w14:paraId="555C0118" w14:textId="4A07B203" w:rsidR="3CC257F3" w:rsidRDefault="7EA57CA5" w:rsidP="00D975AB">
      <w:pPr>
        <w:pStyle w:val="APAPrrafo"/>
        <w:jc w:val="both"/>
        <w:rPr>
          <w:lang w:val="es-MX"/>
        </w:rPr>
      </w:pPr>
      <w:r w:rsidRPr="7EA57CA5">
        <w:rPr>
          <w:rStyle w:val="APAPrrafoCar"/>
          <w:lang w:val="es-MX"/>
        </w:rPr>
        <w:t xml:space="preserve">En el gobierno de Jhon F. </w:t>
      </w:r>
      <w:r w:rsidR="3CC257F3" w:rsidRPr="3CC257F3">
        <w:rPr>
          <w:rStyle w:val="APAPrrafoCar"/>
          <w:lang w:val="es-MX"/>
        </w:rPr>
        <w:t>Kennedy (1961- 1963) Las políticas se orientaban a que la economía se mantenga permanentemente en la situación de pleno empleo, en una senda óptima de crecimiento a lo largo del tiempo.</w:t>
      </w:r>
      <w:r w:rsidRPr="7EA57CA5">
        <w:rPr>
          <w:rStyle w:val="APAPrrafoCar"/>
          <w:lang w:val="es-MX"/>
        </w:rPr>
        <w:t xml:space="preserve"> </w:t>
      </w:r>
      <w:r w:rsidR="3CC257F3" w:rsidRPr="3CC257F3">
        <w:rPr>
          <w:lang w:val="es-MX"/>
        </w:rPr>
        <w:t xml:space="preserve">Las políticas fiscales suponían un incremento del gasto público y una reducción de los impuestos.  La política keynesiana de Kennedy tendía al incremento de la inversión privada mediante el descenso de la tasa de interés a </w:t>
      </w:r>
      <w:r w:rsidRPr="7EA57CA5">
        <w:rPr>
          <w:lang w:val="es-MX"/>
        </w:rPr>
        <w:t xml:space="preserve">mediano y largo plazo. </w:t>
      </w:r>
    </w:p>
    <w:p w14:paraId="64C10BE7" w14:textId="2CB5C745" w:rsidR="1988E3FD" w:rsidRDefault="063B5147" w:rsidP="00D975AB">
      <w:pPr>
        <w:pStyle w:val="APAPrrafo"/>
        <w:jc w:val="both"/>
        <w:rPr>
          <w:lang w:val="es-MX"/>
        </w:rPr>
      </w:pPr>
      <w:r>
        <w:t>En 1965 durante el gobierno del presidente Lyndon Johnson se aprobó la ley de educación primaria y secundaria (ESEA),</w:t>
      </w:r>
      <w:r w:rsidR="00DA5312">
        <w:t xml:space="preserve"> </w:t>
      </w:r>
      <w:r>
        <w:t xml:space="preserve">esta medida fue parte de la “guerra contra la pobreza” donde el gobierno empieza a inyectar dinero federal en los distritos escolares locales. Ese dinero </w:t>
      </w:r>
      <w:r>
        <w:lastRenderedPageBreak/>
        <w:t xml:space="preserve">debía ser destinado para el desarrollo profesional, materiales de instrucción, recursos para apoyar programas educativos y promoción de la participación de los padres. </w:t>
      </w:r>
      <w:r w:rsidRPr="063B5147">
        <w:rPr>
          <w:lang w:val="es-MX"/>
        </w:rPr>
        <w:t>Berntein (1996).</w:t>
      </w:r>
    </w:p>
    <w:p w14:paraId="6807C77D" w14:textId="41F9B476" w:rsidR="31A0FE31" w:rsidRDefault="327F8943" w:rsidP="00D975AB">
      <w:pPr>
        <w:pStyle w:val="APAPrrafo"/>
        <w:ind w:firstLine="0"/>
        <w:jc w:val="both"/>
        <w:rPr>
          <w:lang w:val="es-MX"/>
        </w:rPr>
      </w:pPr>
      <w:r w:rsidRPr="327F8943">
        <w:rPr>
          <w:rStyle w:val="APAPrrafoCar"/>
          <w:lang w:val="es-MX"/>
        </w:rPr>
        <w:t>Según el Departamento de trabajo</w:t>
      </w:r>
      <w:r w:rsidR="31A0FE31" w:rsidRPr="327F8943">
        <w:rPr>
          <w:rStyle w:val="APAPrrafoCar"/>
          <w:lang w:val="es-MX"/>
        </w:rPr>
        <w:t xml:space="preserve"> </w:t>
      </w:r>
      <w:r w:rsidR="31A0FE31" w:rsidRPr="063B5147">
        <w:rPr>
          <w:rStyle w:val="APAPrrafoCar"/>
          <w:lang w:val="es-MX"/>
        </w:rPr>
        <w:t>La ley enfatiza el acceso equitativo a la educación, con el objetivo de acortar las brechas de rendimiento entre los estudiantes al proporcionar fondos federales para apoyar a las escuelas con niños de familias empobrecidas.</w:t>
      </w:r>
    </w:p>
    <w:p w14:paraId="6304449F" w14:textId="115F1EA8" w:rsidR="0A32C07A" w:rsidRDefault="0A32C07A" w:rsidP="00D975AB">
      <w:pPr>
        <w:pStyle w:val="APAPrrafo"/>
        <w:jc w:val="both"/>
        <w:rPr>
          <w:szCs w:val="24"/>
          <w:lang w:val="es-MX"/>
        </w:rPr>
      </w:pPr>
      <w:r w:rsidRPr="0A32C07A">
        <w:rPr>
          <w:lang w:val="es-MX"/>
        </w:rPr>
        <w:t>Según Schultz (1961), menciona que “</w:t>
      </w:r>
      <w:r w:rsidR="736A8F4B" w:rsidRPr="736A8F4B">
        <w:rPr>
          <w:lang w:val="es-MX"/>
        </w:rPr>
        <w:t xml:space="preserve">Llama la atención </w:t>
      </w:r>
      <w:r w:rsidR="66E83256" w:rsidRPr="66E83256">
        <w:rPr>
          <w:lang w:val="es-MX"/>
        </w:rPr>
        <w:t>sobre la inversión en capital humano , sugiere que la</w:t>
      </w:r>
      <w:r w:rsidRPr="0A32C07A">
        <w:rPr>
          <w:lang w:val="es-MX"/>
        </w:rPr>
        <w:t xml:space="preserve"> economía crece a tasas mayores a las que se explicarían por el crecimiento de los Factores tradicionales de producción.”</w:t>
      </w:r>
    </w:p>
    <w:p w14:paraId="20EA0E52" w14:textId="6E1FA233" w:rsidR="33F00CBB" w:rsidRPr="00997CBA" w:rsidRDefault="7AF1DA70" w:rsidP="00997CBA">
      <w:pPr>
        <w:pStyle w:val="APAPrrafo"/>
        <w:jc w:val="both"/>
        <w:rPr>
          <w:rFonts w:cs="Times New Roman"/>
          <w:lang w:val="es-MX"/>
        </w:rPr>
      </w:pPr>
      <w:r w:rsidRPr="7AF1DA70">
        <w:rPr>
          <w:lang w:val="es-MX"/>
        </w:rPr>
        <w:t>Según Deninson (</w:t>
      </w:r>
      <w:r w:rsidR="0A32C07A" w:rsidRPr="0A32C07A">
        <w:rPr>
          <w:lang w:val="es-MX"/>
        </w:rPr>
        <w:t>1962</w:t>
      </w:r>
      <w:r w:rsidRPr="7AF1DA70">
        <w:rPr>
          <w:lang w:val="es-MX"/>
        </w:rPr>
        <w:t>), menciona que “El aumento del nivel de formación de la población activa que se produjo entre 1929 y 1973, en Estados Unidos, contribuyó al crecimiento del PBI en 15% y el 11%  respectivamente”</w:t>
      </w:r>
    </w:p>
    <w:p w14:paraId="46FEF190" w14:textId="7500145C" w:rsidR="33F00CBB" w:rsidRDefault="27558388" w:rsidP="00D975AB">
      <w:pPr>
        <w:pStyle w:val="APAPrrafo"/>
        <w:jc w:val="both"/>
        <w:rPr>
          <w:szCs w:val="24"/>
        </w:rPr>
      </w:pPr>
      <w:r w:rsidRPr="27558388">
        <w:t xml:space="preserve">Según </w:t>
      </w:r>
      <w:r w:rsidR="00424D8E" w:rsidRPr="00424D8E">
        <w:rPr>
          <w:lang w:val="es-MX"/>
        </w:rPr>
        <w:t>CaixaBank Research</w:t>
      </w:r>
      <w:r w:rsidR="00424D8E">
        <w:rPr>
          <w:lang w:val="es-MX"/>
        </w:rPr>
        <w:t xml:space="preserve"> (</w:t>
      </w:r>
      <w:r w:rsidR="00424D8E" w:rsidRPr="00424D8E">
        <w:rPr>
          <w:lang w:val="es-MX"/>
        </w:rPr>
        <w:t>2018)</w:t>
      </w:r>
      <w:r w:rsidR="00424D8E">
        <w:t xml:space="preserve"> </w:t>
      </w:r>
      <w:r w:rsidRPr="27558388">
        <w:t>“La</w:t>
      </w:r>
      <w:r w:rsidR="33F00CBB" w:rsidRPr="33F00CBB">
        <w:t xml:space="preserve"> contribución del capital humano al crecimiento económico es inmediata: una fuerza laboral con una mejor formación es capaz de producir más. En este sentido, la evolución de la calidad de la fuerza laboral estadounidense es remarcable: en los últimos 70 años, ha ido mejorando su nivel formativo de forma sostenida</w:t>
      </w:r>
      <w:r w:rsidRPr="27558388">
        <w:t>.”</w:t>
      </w:r>
    </w:p>
    <w:p w14:paraId="5D33CF02" w14:textId="58E23872" w:rsidR="37C2E745" w:rsidRPr="00A971C0" w:rsidRDefault="00A868AE" w:rsidP="00A971C0">
      <w:pPr>
        <w:pStyle w:val="APAPrrafo"/>
        <w:jc w:val="both"/>
      </w:pPr>
      <w:r w:rsidRPr="00A868AE">
        <w:t xml:space="preserve">En 1965, el Congreso abolió las cuotas discriminatorias de 1924 en materia de inmigración según el origen nacional. Esto desató una nueva oleada de inmigración que, en gran parte, provino del sur y el este de Asia y de América Latina, en los años 70, se da un incremento sustancial de las migraciones y con ello se incrementa la fuerza laboral en estados unidos. Todo ello contribuye al crecimiento económico. </w:t>
      </w:r>
      <w:r w:rsidR="0053385F" w:rsidRPr="0053385F">
        <w:rPr>
          <w:lang w:val="es-MX"/>
        </w:rPr>
        <w:t>Serrano</w:t>
      </w:r>
      <w:r w:rsidR="0053385F">
        <w:rPr>
          <w:lang w:val="es-MX"/>
        </w:rPr>
        <w:t xml:space="preserve"> (</w:t>
      </w:r>
      <w:r w:rsidR="0053385F" w:rsidRPr="0053385F">
        <w:rPr>
          <w:lang w:val="es-MX"/>
        </w:rPr>
        <w:t>1997)</w:t>
      </w:r>
    </w:p>
    <w:p w14:paraId="5AFA430F" w14:textId="2F8D4E35" w:rsidR="00946D38" w:rsidRPr="00103100" w:rsidRDefault="00946D38" w:rsidP="00D975AB">
      <w:pPr>
        <w:pStyle w:val="Ttulo2"/>
        <w:jc w:val="both"/>
      </w:pPr>
      <w:bookmarkStart w:id="26" w:name="_Toc91548316"/>
      <w:r w:rsidRPr="00103100">
        <w:lastRenderedPageBreak/>
        <w:t xml:space="preserve">Periodo 1971 </w:t>
      </w:r>
      <w:r w:rsidR="00FC46BC">
        <w:t>–</w:t>
      </w:r>
      <w:r w:rsidR="16FC8E02">
        <w:t xml:space="preserve"> </w:t>
      </w:r>
      <w:r w:rsidRPr="00103100">
        <w:t>1990</w:t>
      </w:r>
      <w:bookmarkEnd w:id="26"/>
    </w:p>
    <w:p w14:paraId="7E099901" w14:textId="31790E7D" w:rsidR="00CB18DC" w:rsidRDefault="00325377" w:rsidP="00D975AB">
      <w:pPr>
        <w:pStyle w:val="APAPrrafo"/>
        <w:jc w:val="both"/>
      </w:pPr>
      <w:r w:rsidRPr="00325377">
        <w:t xml:space="preserve">Según </w:t>
      </w:r>
      <w:r w:rsidR="00057D8F" w:rsidRPr="00057D8F">
        <w:rPr>
          <w:lang w:val="es-MX"/>
        </w:rPr>
        <w:t>Psacharopoulos</w:t>
      </w:r>
      <w:r w:rsidR="00057D8F">
        <w:rPr>
          <w:lang w:val="es-MX"/>
        </w:rPr>
        <w:t xml:space="preserve"> (</w:t>
      </w:r>
      <w:r w:rsidR="00057D8F" w:rsidRPr="00057D8F">
        <w:rPr>
          <w:lang w:val="es-MX"/>
        </w:rPr>
        <w:t>1985)</w:t>
      </w:r>
      <w:r w:rsidR="00057D8F">
        <w:t xml:space="preserve"> </w:t>
      </w:r>
      <w:r w:rsidRPr="00325377">
        <w:t>menciona que “desde el inicio del siglo XX hasta la década de los 60</w:t>
      </w:r>
      <w:r w:rsidR="00CB18DC">
        <w:t>.s</w:t>
      </w:r>
      <w:r w:rsidRPr="00325377">
        <w:t xml:space="preserve">, siendo en ésta última aún mayor, el crecimiento económico de Estados se debió principalmente al incremento de la educación de la fuerza de trabajo en un 23%.” (p. </w:t>
      </w:r>
      <w:r w:rsidR="00D00185">
        <w:t>27)</w:t>
      </w:r>
    </w:p>
    <w:p w14:paraId="59B18A8E" w14:textId="62B3AF5F" w:rsidR="00BC6BCD" w:rsidRDefault="005C43F5" w:rsidP="00D975AB">
      <w:pPr>
        <w:pStyle w:val="APAPrrafo"/>
        <w:jc w:val="both"/>
      </w:pPr>
      <w:r>
        <w:t>Entre 1</w:t>
      </w:r>
      <w:r w:rsidR="00BC6BCD">
        <w:t>9</w:t>
      </w:r>
      <w:r>
        <w:t xml:space="preserve">51 a 1990 el PBI de </w:t>
      </w:r>
      <w:r w:rsidR="00BA2C4D">
        <w:t xml:space="preserve">estados unidos creció a una tasa </w:t>
      </w:r>
      <w:r w:rsidR="00767A6B">
        <w:t xml:space="preserve">media anual de 3.2%. </w:t>
      </w:r>
      <w:r w:rsidR="00C635FB">
        <w:t xml:space="preserve">Para apreciar mejor el significado de este dato se usará como patrón de comparación el comportamiento de las economías de Alemania y Japón, que constituyeron </w:t>
      </w:r>
      <w:r w:rsidR="0086608A">
        <w:t>dos polos de</w:t>
      </w:r>
      <w:r w:rsidR="00C635FB">
        <w:t xml:space="preserve"> dinamismo de la economía mundial en este periodo.</w:t>
      </w:r>
      <w:r w:rsidR="00E77B93">
        <w:t xml:space="preserve"> Entre aquellos mismos años, </w:t>
      </w:r>
      <w:r w:rsidR="0008287C">
        <w:t>la tasa del promedio medio anual del Producto Interno Bruto de estos países fue</w:t>
      </w:r>
      <w:r w:rsidR="00E77B93">
        <w:t xml:space="preserve"> de </w:t>
      </w:r>
      <w:r w:rsidR="005B103B">
        <w:t>4.4%</w:t>
      </w:r>
      <w:r w:rsidR="00E77B93">
        <w:t xml:space="preserve"> y 7.3%, respectivamente.</w:t>
      </w:r>
      <w:r w:rsidR="0085356A">
        <w:t xml:space="preserve"> Considerando el ritmo relativamente elevado crecimiento poblacional de Estados Unidos con respecto al de Alemania y Japón, las diferencias en las dinámicas de estas economías son más acentuadas si se toma como indicador del comportamiento del Producto Interno Bruto por habitante.</w:t>
      </w:r>
    </w:p>
    <w:p w14:paraId="1EF78315" w14:textId="77777777" w:rsidR="008B2336" w:rsidRDefault="00487CDB" w:rsidP="00D975AB">
      <w:pPr>
        <w:pStyle w:val="APAPrrafo"/>
        <w:jc w:val="both"/>
      </w:pPr>
      <w:r>
        <w:rPr>
          <w:lang w:val="es-MX"/>
        </w:rPr>
        <w:t xml:space="preserve">Para </w:t>
      </w:r>
      <w:r w:rsidR="00173D18" w:rsidRPr="00126D19">
        <w:rPr>
          <w:lang w:val="es-MX"/>
        </w:rPr>
        <w:t>Vitelli</w:t>
      </w:r>
      <w:r w:rsidR="00173D18">
        <w:rPr>
          <w:lang w:val="es-MX"/>
        </w:rPr>
        <w:t xml:space="preserve"> (</w:t>
      </w:r>
      <w:r w:rsidR="00173D18" w:rsidRPr="00126D19">
        <w:rPr>
          <w:lang w:val="es-MX"/>
        </w:rPr>
        <w:t>2011</w:t>
      </w:r>
      <w:r w:rsidR="002C0BAD" w:rsidRPr="00126D19">
        <w:rPr>
          <w:lang w:val="es-MX"/>
        </w:rPr>
        <w:t>)</w:t>
      </w:r>
      <w:r w:rsidR="002C0BAD">
        <w:rPr>
          <w:lang w:val="es-MX"/>
        </w:rPr>
        <w:t xml:space="preserve"> </w:t>
      </w:r>
      <w:r w:rsidR="00E079FE" w:rsidRPr="00E079FE">
        <w:t>la economía estadounidense registró cinco crisis que están insertas y que a su vez se derivan de su lógica macroeconómica conformada por dos déficits simultáneos, el de las cuentas fiscales y el del comercio con el exterior</w:t>
      </w:r>
      <w:r w:rsidR="0007085E">
        <w:t xml:space="preserve"> entre los años </w:t>
      </w:r>
      <w:r w:rsidR="00ED5AB4">
        <w:t>1970 a 2007</w:t>
      </w:r>
      <w:r w:rsidR="00825D8F">
        <w:t>.</w:t>
      </w:r>
    </w:p>
    <w:p w14:paraId="1935B8AA" w14:textId="58921BD1" w:rsidR="00A12F24" w:rsidRDefault="008D706B" w:rsidP="001C6CB1">
      <w:pPr>
        <w:pStyle w:val="APAPrrafo"/>
        <w:jc w:val="both"/>
      </w:pPr>
      <w:r>
        <w:t>Las crisis económicas en esta primera etapa fueron catalizadas por factores externos, pero existían desequilibrios económicos y problemas internos que resultaron determinantes. El aspecto clave fue la impotencia de las políticas keynesianas para enfrentar tales crisis. La incapacidad de las políticas fiscales y monetarias para aliviar la crisis acabó teniendo un efecto contrario y creó las condiciones favorables para el cambio importante en las tendencias económicas y políticas en Estados Unidos en la etapa posterior.</w:t>
      </w:r>
    </w:p>
    <w:p w14:paraId="7CC93058" w14:textId="6159D21F" w:rsidR="00175D40" w:rsidRDefault="008236D6" w:rsidP="00A971C0">
      <w:pPr>
        <w:pStyle w:val="APAPrrafo"/>
        <w:jc w:val="both"/>
      </w:pPr>
      <w:r>
        <w:lastRenderedPageBreak/>
        <w:t xml:space="preserve">Una característica </w:t>
      </w:r>
      <w:r w:rsidR="008F5694">
        <w:t xml:space="preserve">relevante de la economía de </w:t>
      </w:r>
      <w:r w:rsidR="00111239">
        <w:t>EE. UU.</w:t>
      </w:r>
      <w:r w:rsidR="008F5694">
        <w:t xml:space="preserve"> </w:t>
      </w:r>
      <w:r w:rsidR="00FC46BC">
        <w:t>E</w:t>
      </w:r>
      <w:r w:rsidR="00FD7E3E">
        <w:t xml:space="preserve">s la elevada </w:t>
      </w:r>
      <w:r w:rsidR="009F3BD0">
        <w:t>variabilidad</w:t>
      </w:r>
      <w:r w:rsidR="00111239">
        <w:t xml:space="preserve"> es su tasa de crecimiento</w:t>
      </w:r>
      <w:r w:rsidR="00CA48CC">
        <w:t xml:space="preserve"> de su pbi </w:t>
      </w:r>
      <w:r w:rsidR="00175D40">
        <w:t>per cápita</w:t>
      </w:r>
      <w:r w:rsidR="00652530">
        <w:t xml:space="preserve"> como se muestra </w:t>
      </w:r>
      <w:r w:rsidR="008B19D6">
        <w:t>el siguiente gráfico.</w:t>
      </w:r>
    </w:p>
    <w:p w14:paraId="6C07FE31" w14:textId="2FCE5E64" w:rsidR="00BC4752" w:rsidRPr="00997CBA" w:rsidRDefault="00BC4752" w:rsidP="00D975AB">
      <w:pPr>
        <w:pStyle w:val="TITULOTablasyFiguras"/>
        <w:jc w:val="both"/>
        <w:rPr>
          <w:rFonts w:cs="Times New Roman"/>
          <w:b/>
          <w:bCs/>
          <w:i w:val="0"/>
          <w:iCs w:val="0"/>
          <w:color w:val="auto"/>
        </w:rPr>
      </w:pPr>
      <w:r w:rsidRPr="00997CBA">
        <w:rPr>
          <w:rFonts w:cs="Times New Roman"/>
          <w:b/>
          <w:bCs/>
          <w:i w:val="0"/>
          <w:iCs w:val="0"/>
          <w:color w:val="auto"/>
        </w:rPr>
        <w:t xml:space="preserve">Figura </w:t>
      </w:r>
      <w:r w:rsidR="00564355" w:rsidRPr="00997CBA">
        <w:rPr>
          <w:rFonts w:cs="Times New Roman"/>
          <w:b/>
          <w:bCs/>
          <w:i w:val="0"/>
          <w:iCs w:val="0"/>
          <w:color w:val="auto"/>
        </w:rPr>
        <w:fldChar w:fldCharType="begin"/>
      </w:r>
      <w:r w:rsidR="00564355" w:rsidRPr="00997CBA">
        <w:rPr>
          <w:rFonts w:cs="Times New Roman"/>
          <w:b/>
          <w:bCs/>
          <w:i w:val="0"/>
          <w:iCs w:val="0"/>
          <w:color w:val="auto"/>
        </w:rPr>
        <w:instrText xml:space="preserve"> SEQ Figura \* ARABIC </w:instrText>
      </w:r>
      <w:r w:rsidR="00564355" w:rsidRPr="00997CBA">
        <w:rPr>
          <w:rFonts w:cs="Times New Roman"/>
          <w:b/>
          <w:bCs/>
          <w:i w:val="0"/>
          <w:iCs w:val="0"/>
          <w:color w:val="auto"/>
        </w:rPr>
        <w:fldChar w:fldCharType="separate"/>
      </w:r>
      <w:r w:rsidR="00383437">
        <w:rPr>
          <w:rFonts w:cs="Times New Roman"/>
          <w:b/>
          <w:bCs/>
          <w:i w:val="0"/>
          <w:iCs w:val="0"/>
          <w:noProof/>
          <w:color w:val="auto"/>
        </w:rPr>
        <w:t>23</w:t>
      </w:r>
      <w:r w:rsidR="00564355" w:rsidRPr="00997CBA">
        <w:rPr>
          <w:rFonts w:cs="Times New Roman"/>
          <w:b/>
          <w:bCs/>
          <w:i w:val="0"/>
          <w:iCs w:val="0"/>
          <w:color w:val="auto"/>
        </w:rPr>
        <w:fldChar w:fldCharType="end"/>
      </w:r>
    </w:p>
    <w:p w14:paraId="4F87DDF7" w14:textId="416562F2" w:rsidR="00BC4752" w:rsidRPr="00997CBA" w:rsidRDefault="00BC4752" w:rsidP="00D975AB">
      <w:pPr>
        <w:pStyle w:val="TITULOTablasyFiguras"/>
        <w:jc w:val="both"/>
        <w:rPr>
          <w:rFonts w:cs="Times New Roman"/>
          <w:color w:val="auto"/>
        </w:rPr>
      </w:pPr>
      <w:r w:rsidRPr="00997CBA">
        <w:rPr>
          <w:rFonts w:cs="Times New Roman"/>
          <w:color w:val="auto"/>
        </w:rPr>
        <w:t>Crecimiento anual de pbi per cápita</w:t>
      </w:r>
    </w:p>
    <w:p w14:paraId="1A430068" w14:textId="46CED0C6" w:rsidR="00704A07" w:rsidRDefault="005F20AB" w:rsidP="00D975AB">
      <w:pPr>
        <w:pStyle w:val="APAPrrafo"/>
        <w:jc w:val="both"/>
      </w:pPr>
      <w:r>
        <w:rPr>
          <w:noProof/>
        </w:rPr>
        <w:drawing>
          <wp:inline distT="0" distB="0" distL="0" distR="0" wp14:anchorId="072C1446" wp14:editId="6A365C78">
            <wp:extent cx="5107459" cy="1960605"/>
            <wp:effectExtent l="0" t="0" r="17145" b="1905"/>
            <wp:docPr id="20" name="Gráfico 20">
              <a:extLst xmlns:a="http://schemas.openxmlformats.org/drawingml/2006/main">
                <a:ext uri="{FF2B5EF4-FFF2-40B4-BE49-F238E27FC236}">
                  <a16:creationId xmlns:a16="http://schemas.microsoft.com/office/drawing/2014/main" id="{9E6F07B4-B58F-46DF-AEA1-04AF1D378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CB78D22" w14:textId="28FF65C4" w:rsidR="009101C9" w:rsidRDefault="00D61129" w:rsidP="00D975AB">
      <w:pPr>
        <w:pStyle w:val="APAPrrafo"/>
        <w:ind w:firstLine="0"/>
        <w:jc w:val="both"/>
      </w:pPr>
      <w:r>
        <w:t xml:space="preserve">Sin embrago </w:t>
      </w:r>
      <w:r w:rsidR="00464AD3">
        <w:t xml:space="preserve">destaca el hecho de que </w:t>
      </w:r>
      <w:r w:rsidR="00CD3A53">
        <w:t>EE. UU.</w:t>
      </w:r>
      <w:r w:rsidR="00464AD3">
        <w:t xml:space="preserve"> en comparación </w:t>
      </w:r>
      <w:r w:rsidR="000A70E4">
        <w:t xml:space="preserve">con otras economías </w:t>
      </w:r>
      <w:r w:rsidR="0051174A">
        <w:t>altamente desarrolladas</w:t>
      </w:r>
      <w:r w:rsidR="00A46ED2">
        <w:t xml:space="preserve">, se ha </w:t>
      </w:r>
      <w:r w:rsidR="00FD1744">
        <w:t>caracterizado</w:t>
      </w:r>
      <w:r w:rsidR="00A46ED2">
        <w:t xml:space="preserve"> </w:t>
      </w:r>
      <w:r w:rsidR="00480B07">
        <w:t xml:space="preserve">por un comportamiento muy dinámico </w:t>
      </w:r>
      <w:r w:rsidR="00710E13">
        <w:t xml:space="preserve">de la variable </w:t>
      </w:r>
      <w:r w:rsidR="00FD1744">
        <w:t>cantidad de trabajo.</w:t>
      </w:r>
    </w:p>
    <w:p w14:paraId="76AE5E4D" w14:textId="22568EB8" w:rsidR="00C3012C" w:rsidRDefault="0064037F" w:rsidP="00D975AB">
      <w:pPr>
        <w:pStyle w:val="Ttulo3"/>
        <w:jc w:val="both"/>
      </w:pPr>
      <w:bookmarkStart w:id="27" w:name="_Toc91548317"/>
      <w:r>
        <w:t xml:space="preserve">Transformaciones en la estructura sectorial </w:t>
      </w:r>
      <w:r w:rsidR="000D2329">
        <w:t xml:space="preserve">de </w:t>
      </w:r>
      <w:r w:rsidR="009C7DE8">
        <w:t>EE. UU.</w:t>
      </w:r>
      <w:bookmarkEnd w:id="27"/>
    </w:p>
    <w:p w14:paraId="3BF73283" w14:textId="22568EB8" w:rsidR="000D2329" w:rsidRDefault="002C5B6C" w:rsidP="00D975AB">
      <w:pPr>
        <w:jc w:val="both"/>
      </w:pPr>
      <w:r>
        <w:t xml:space="preserve">El cuadro presenta los antecedentes </w:t>
      </w:r>
      <w:r w:rsidR="00F45BD6">
        <w:t xml:space="preserve">empíricos que muestran </w:t>
      </w:r>
      <w:r w:rsidR="008E0953">
        <w:t xml:space="preserve">los cambios </w:t>
      </w:r>
      <w:r w:rsidR="00F45BD6">
        <w:t>que partir de 19</w:t>
      </w:r>
      <w:r w:rsidR="007D3CD7">
        <w:t xml:space="preserve">50 </w:t>
      </w:r>
      <w:r w:rsidR="00421A50">
        <w:t>experimentaron las</w:t>
      </w:r>
      <w:r w:rsidR="008E0953">
        <w:t xml:space="preserve"> participaciones </w:t>
      </w:r>
      <w:r w:rsidR="00F4221D">
        <w:t xml:space="preserve">de </w:t>
      </w:r>
      <w:r w:rsidR="00421A50">
        <w:t>las diferentes ramas</w:t>
      </w:r>
      <w:r w:rsidR="00F4221D">
        <w:t xml:space="preserve"> de la economía estadounidense.</w:t>
      </w:r>
    </w:p>
    <w:p w14:paraId="52A36922" w14:textId="71DB3854" w:rsidR="00767931" w:rsidRPr="00997CBA" w:rsidRDefault="00767931" w:rsidP="00D975AB">
      <w:pPr>
        <w:pStyle w:val="TITULOTablasyFiguras"/>
        <w:jc w:val="both"/>
        <w:rPr>
          <w:rFonts w:cs="Times New Roman"/>
          <w:b/>
          <w:bCs/>
          <w:i w:val="0"/>
          <w:iCs w:val="0"/>
          <w:color w:val="auto"/>
        </w:rPr>
      </w:pPr>
      <w:r w:rsidRPr="00997CBA">
        <w:rPr>
          <w:rFonts w:cs="Times New Roman"/>
          <w:b/>
          <w:bCs/>
          <w:i w:val="0"/>
          <w:iCs w:val="0"/>
          <w:color w:val="auto"/>
        </w:rPr>
        <w:t xml:space="preserve">Tabla </w:t>
      </w:r>
      <w:r w:rsidRPr="00997CBA">
        <w:rPr>
          <w:rFonts w:cs="Times New Roman"/>
          <w:b/>
          <w:bCs/>
          <w:i w:val="0"/>
          <w:iCs w:val="0"/>
          <w:color w:val="auto"/>
        </w:rPr>
        <w:fldChar w:fldCharType="begin"/>
      </w:r>
      <w:r w:rsidRPr="00997CBA">
        <w:rPr>
          <w:rFonts w:cs="Times New Roman"/>
          <w:b/>
          <w:bCs/>
          <w:i w:val="0"/>
          <w:iCs w:val="0"/>
          <w:color w:val="auto"/>
        </w:rPr>
        <w:instrText xml:space="preserve"> SEQ Tabla \* ARABIC </w:instrText>
      </w:r>
      <w:r w:rsidRPr="00997CBA">
        <w:rPr>
          <w:rFonts w:cs="Times New Roman"/>
          <w:b/>
          <w:bCs/>
          <w:i w:val="0"/>
          <w:iCs w:val="0"/>
          <w:color w:val="auto"/>
        </w:rPr>
        <w:fldChar w:fldCharType="separate"/>
      </w:r>
      <w:r w:rsidR="00383437">
        <w:rPr>
          <w:rFonts w:cs="Times New Roman"/>
          <w:b/>
          <w:bCs/>
          <w:i w:val="0"/>
          <w:iCs w:val="0"/>
          <w:noProof/>
          <w:color w:val="auto"/>
        </w:rPr>
        <w:t>1</w:t>
      </w:r>
      <w:r w:rsidRPr="00997CBA">
        <w:rPr>
          <w:rFonts w:cs="Times New Roman"/>
          <w:b/>
          <w:bCs/>
          <w:i w:val="0"/>
          <w:iCs w:val="0"/>
          <w:color w:val="auto"/>
        </w:rPr>
        <w:fldChar w:fldCharType="end"/>
      </w:r>
      <w:r w:rsidRPr="00997CBA">
        <w:rPr>
          <w:rFonts w:cs="Times New Roman"/>
          <w:b/>
          <w:bCs/>
          <w:i w:val="0"/>
          <w:iCs w:val="0"/>
          <w:color w:val="auto"/>
        </w:rPr>
        <w:t xml:space="preserve"> </w:t>
      </w:r>
    </w:p>
    <w:p w14:paraId="019A9A84" w14:textId="57BEED53" w:rsidR="00767931" w:rsidRPr="00997CBA" w:rsidRDefault="00767931" w:rsidP="00D975AB">
      <w:pPr>
        <w:pStyle w:val="TITULOTablasyFiguras"/>
        <w:jc w:val="both"/>
        <w:rPr>
          <w:rFonts w:cs="Times New Roman"/>
          <w:color w:val="auto"/>
        </w:rPr>
      </w:pPr>
      <w:r w:rsidRPr="00997CBA">
        <w:rPr>
          <w:rFonts w:cs="Times New Roman"/>
          <w:color w:val="auto"/>
        </w:rPr>
        <w:t>Composición sectorial del PBI (porcentajes)</w:t>
      </w:r>
    </w:p>
    <w:tbl>
      <w:tblPr>
        <w:tblStyle w:val="TablasAPAseptimaedicion"/>
        <w:tblW w:w="8838" w:type="dxa"/>
        <w:tblInd w:w="659" w:type="dxa"/>
        <w:tblLook w:val="04A0" w:firstRow="1" w:lastRow="0" w:firstColumn="1" w:lastColumn="0" w:noHBand="0" w:noVBand="1"/>
      </w:tblPr>
      <w:tblGrid>
        <w:gridCol w:w="222"/>
        <w:gridCol w:w="563"/>
        <w:gridCol w:w="1025"/>
        <w:gridCol w:w="1132"/>
        <w:gridCol w:w="1247"/>
        <w:gridCol w:w="990"/>
        <w:gridCol w:w="838"/>
        <w:gridCol w:w="785"/>
        <w:gridCol w:w="803"/>
        <w:gridCol w:w="1390"/>
      </w:tblGrid>
      <w:tr w:rsidR="00997CBA" w:rsidRPr="00A971C0" w14:paraId="347A026B" w14:textId="77777777" w:rsidTr="00997CBA">
        <w:trPr>
          <w:cnfStyle w:val="100000000000" w:firstRow="1" w:lastRow="0" w:firstColumn="0" w:lastColumn="0" w:oddVBand="0" w:evenVBand="0" w:oddHBand="0"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tcPr>
          <w:p w14:paraId="713885F3" w14:textId="77777777" w:rsidR="001029B5" w:rsidRPr="00A971C0" w:rsidRDefault="001029B5" w:rsidP="00D975AB">
            <w:pPr>
              <w:jc w:val="both"/>
              <w:rPr>
                <w:sz w:val="16"/>
                <w:szCs w:val="16"/>
              </w:rPr>
            </w:pPr>
          </w:p>
        </w:tc>
        <w:tc>
          <w:tcPr>
            <w:tcW w:w="0" w:type="auto"/>
          </w:tcPr>
          <w:p w14:paraId="2077A108" w14:textId="1986D7A4" w:rsidR="001029B5" w:rsidRPr="00A971C0" w:rsidRDefault="00C831CD" w:rsidP="00D975AB">
            <w:pPr>
              <w:jc w:val="both"/>
              <w:cnfStyle w:val="100000000000" w:firstRow="1" w:lastRow="0" w:firstColumn="0" w:lastColumn="0" w:oddVBand="0" w:evenVBand="0" w:oddHBand="0" w:evenHBand="0" w:firstRowFirstColumn="0" w:firstRowLastColumn="0" w:lastRowFirstColumn="0" w:lastRowLastColumn="0"/>
              <w:rPr>
                <w:b/>
                <w:sz w:val="16"/>
                <w:szCs w:val="16"/>
              </w:rPr>
            </w:pPr>
            <w:r w:rsidRPr="00A971C0">
              <w:rPr>
                <w:b/>
                <w:sz w:val="16"/>
                <w:szCs w:val="16"/>
              </w:rPr>
              <w:t>Años</w:t>
            </w:r>
          </w:p>
        </w:tc>
        <w:tc>
          <w:tcPr>
            <w:tcW w:w="0" w:type="auto"/>
          </w:tcPr>
          <w:p w14:paraId="28697D29" w14:textId="22452AF8" w:rsidR="001029B5" w:rsidRPr="00A971C0" w:rsidRDefault="00C831CD" w:rsidP="00D975AB">
            <w:pPr>
              <w:jc w:val="both"/>
              <w:cnfStyle w:val="100000000000" w:firstRow="1" w:lastRow="0" w:firstColumn="0" w:lastColumn="0" w:oddVBand="0" w:evenVBand="0" w:oddHBand="0" w:evenHBand="0" w:firstRowFirstColumn="0" w:firstRowLastColumn="0" w:lastRowFirstColumn="0" w:lastRowLastColumn="0"/>
              <w:rPr>
                <w:b/>
                <w:sz w:val="16"/>
                <w:szCs w:val="16"/>
              </w:rPr>
            </w:pPr>
            <w:r w:rsidRPr="00A971C0">
              <w:rPr>
                <w:b/>
                <w:sz w:val="16"/>
                <w:szCs w:val="16"/>
              </w:rPr>
              <w:t>Agricultura</w:t>
            </w:r>
          </w:p>
        </w:tc>
        <w:tc>
          <w:tcPr>
            <w:tcW w:w="0" w:type="auto"/>
          </w:tcPr>
          <w:p w14:paraId="71F34BC8" w14:textId="5B0A9718" w:rsidR="001029B5" w:rsidRPr="00A971C0" w:rsidRDefault="00C831CD" w:rsidP="00D975AB">
            <w:pPr>
              <w:jc w:val="both"/>
              <w:cnfStyle w:val="100000000000" w:firstRow="1" w:lastRow="0" w:firstColumn="0" w:lastColumn="0" w:oddVBand="0" w:evenVBand="0" w:oddHBand="0" w:evenHBand="0" w:firstRowFirstColumn="0" w:firstRowLastColumn="0" w:lastRowFirstColumn="0" w:lastRowLastColumn="0"/>
              <w:rPr>
                <w:b/>
                <w:sz w:val="16"/>
                <w:szCs w:val="16"/>
              </w:rPr>
            </w:pPr>
            <w:r w:rsidRPr="00A971C0">
              <w:rPr>
                <w:b/>
                <w:sz w:val="16"/>
                <w:szCs w:val="16"/>
              </w:rPr>
              <w:t>Construcción</w:t>
            </w:r>
          </w:p>
        </w:tc>
        <w:tc>
          <w:tcPr>
            <w:tcW w:w="0" w:type="auto"/>
          </w:tcPr>
          <w:p w14:paraId="1DAF3936" w14:textId="4C4404BC" w:rsidR="001029B5" w:rsidRPr="00A971C0" w:rsidRDefault="00097C38" w:rsidP="00D975AB">
            <w:pPr>
              <w:jc w:val="both"/>
              <w:cnfStyle w:val="100000000000" w:firstRow="1" w:lastRow="0" w:firstColumn="0" w:lastColumn="0" w:oddVBand="0" w:evenVBand="0" w:oddHBand="0" w:evenHBand="0" w:firstRowFirstColumn="0" w:firstRowLastColumn="0" w:lastRowFirstColumn="0" w:lastRowLastColumn="0"/>
              <w:rPr>
                <w:b/>
                <w:sz w:val="16"/>
                <w:szCs w:val="16"/>
              </w:rPr>
            </w:pPr>
            <w:r w:rsidRPr="00A971C0">
              <w:rPr>
                <w:b/>
                <w:sz w:val="16"/>
                <w:szCs w:val="16"/>
              </w:rPr>
              <w:t>Industria</w:t>
            </w:r>
            <w:r w:rsidR="00C831CD" w:rsidRPr="00A971C0">
              <w:rPr>
                <w:b/>
                <w:sz w:val="16"/>
                <w:szCs w:val="16"/>
              </w:rPr>
              <w:t xml:space="preserve"> </w:t>
            </w:r>
            <w:r w:rsidRPr="00A971C0">
              <w:rPr>
                <w:b/>
                <w:sz w:val="16"/>
                <w:szCs w:val="16"/>
              </w:rPr>
              <w:t>manufacturera</w:t>
            </w:r>
          </w:p>
        </w:tc>
        <w:tc>
          <w:tcPr>
            <w:tcW w:w="0" w:type="auto"/>
          </w:tcPr>
          <w:p w14:paraId="66328257" w14:textId="723746B6" w:rsidR="001029B5" w:rsidRPr="00A971C0" w:rsidRDefault="00327779" w:rsidP="00D975AB">
            <w:pPr>
              <w:jc w:val="both"/>
              <w:cnfStyle w:val="100000000000" w:firstRow="1" w:lastRow="0" w:firstColumn="0" w:lastColumn="0" w:oddVBand="0" w:evenVBand="0" w:oddHBand="0" w:evenHBand="0" w:firstRowFirstColumn="0" w:firstRowLastColumn="0" w:lastRowFirstColumn="0" w:lastRowLastColumn="0"/>
              <w:rPr>
                <w:b/>
                <w:sz w:val="16"/>
                <w:szCs w:val="16"/>
              </w:rPr>
            </w:pPr>
            <w:r w:rsidRPr="00A971C0">
              <w:rPr>
                <w:b/>
                <w:sz w:val="16"/>
                <w:szCs w:val="16"/>
              </w:rPr>
              <w:t>Transporte y servicios públicos</w:t>
            </w:r>
          </w:p>
        </w:tc>
        <w:tc>
          <w:tcPr>
            <w:tcW w:w="0" w:type="auto"/>
          </w:tcPr>
          <w:p w14:paraId="3ABF2683" w14:textId="621023C2" w:rsidR="001029B5" w:rsidRPr="00A971C0" w:rsidRDefault="00327779" w:rsidP="00D975AB">
            <w:pPr>
              <w:jc w:val="both"/>
              <w:cnfStyle w:val="100000000000" w:firstRow="1" w:lastRow="0" w:firstColumn="0" w:lastColumn="0" w:oddVBand="0" w:evenVBand="0" w:oddHBand="0" w:evenHBand="0" w:firstRowFirstColumn="0" w:firstRowLastColumn="0" w:lastRowFirstColumn="0" w:lastRowLastColumn="0"/>
              <w:rPr>
                <w:b/>
                <w:sz w:val="16"/>
                <w:szCs w:val="16"/>
              </w:rPr>
            </w:pPr>
            <w:r w:rsidRPr="00A971C0">
              <w:rPr>
                <w:b/>
                <w:sz w:val="16"/>
                <w:szCs w:val="16"/>
              </w:rPr>
              <w:t>comercio</w:t>
            </w:r>
          </w:p>
        </w:tc>
        <w:tc>
          <w:tcPr>
            <w:tcW w:w="0" w:type="auto"/>
          </w:tcPr>
          <w:p w14:paraId="52354070" w14:textId="07203BF3" w:rsidR="001029B5" w:rsidRPr="00A971C0" w:rsidRDefault="00327779" w:rsidP="00D975AB">
            <w:pPr>
              <w:jc w:val="both"/>
              <w:cnfStyle w:val="100000000000" w:firstRow="1" w:lastRow="0" w:firstColumn="0" w:lastColumn="0" w:oddVBand="0" w:evenVBand="0" w:oddHBand="0" w:evenHBand="0" w:firstRowFirstColumn="0" w:firstRowLastColumn="0" w:lastRowFirstColumn="0" w:lastRowLastColumn="0"/>
              <w:rPr>
                <w:b/>
                <w:sz w:val="16"/>
                <w:szCs w:val="16"/>
              </w:rPr>
            </w:pPr>
            <w:r w:rsidRPr="00A971C0">
              <w:rPr>
                <w:b/>
                <w:sz w:val="16"/>
                <w:szCs w:val="16"/>
              </w:rPr>
              <w:t>finanzas</w:t>
            </w:r>
          </w:p>
        </w:tc>
        <w:tc>
          <w:tcPr>
            <w:tcW w:w="0" w:type="auto"/>
          </w:tcPr>
          <w:p w14:paraId="5FF5E226" w14:textId="2F136972" w:rsidR="001029B5" w:rsidRPr="00A971C0" w:rsidRDefault="00327779" w:rsidP="00D975AB">
            <w:pPr>
              <w:jc w:val="both"/>
              <w:cnfStyle w:val="100000000000" w:firstRow="1" w:lastRow="0" w:firstColumn="0" w:lastColumn="0" w:oddVBand="0" w:evenVBand="0" w:oddHBand="0" w:evenHBand="0" w:firstRowFirstColumn="0" w:firstRowLastColumn="0" w:lastRowFirstColumn="0" w:lastRowLastColumn="0"/>
              <w:rPr>
                <w:b/>
                <w:sz w:val="16"/>
                <w:szCs w:val="16"/>
              </w:rPr>
            </w:pPr>
            <w:r w:rsidRPr="00A971C0">
              <w:rPr>
                <w:b/>
                <w:sz w:val="16"/>
                <w:szCs w:val="16"/>
              </w:rPr>
              <w:t>servicios</w:t>
            </w:r>
          </w:p>
        </w:tc>
        <w:tc>
          <w:tcPr>
            <w:tcW w:w="0" w:type="auto"/>
          </w:tcPr>
          <w:p w14:paraId="76F1C75C" w14:textId="7015DACD" w:rsidR="001029B5" w:rsidRPr="00A971C0" w:rsidRDefault="00097C38" w:rsidP="00D975AB">
            <w:pPr>
              <w:jc w:val="both"/>
              <w:cnfStyle w:val="100000000000" w:firstRow="1" w:lastRow="0" w:firstColumn="0" w:lastColumn="0" w:oddVBand="0" w:evenVBand="0" w:oddHBand="0" w:evenHBand="0" w:firstRowFirstColumn="0" w:firstRowLastColumn="0" w:lastRowFirstColumn="0" w:lastRowLastColumn="0"/>
              <w:rPr>
                <w:b/>
                <w:sz w:val="16"/>
                <w:szCs w:val="16"/>
              </w:rPr>
            </w:pPr>
            <w:r w:rsidRPr="00A971C0">
              <w:rPr>
                <w:b/>
                <w:sz w:val="16"/>
                <w:szCs w:val="16"/>
              </w:rPr>
              <w:t xml:space="preserve">Gobierno y </w:t>
            </w:r>
            <w:r w:rsidR="005D7767" w:rsidRPr="00A971C0">
              <w:rPr>
                <w:b/>
                <w:sz w:val="16"/>
                <w:szCs w:val="16"/>
              </w:rPr>
              <w:t>empresas</w:t>
            </w:r>
            <w:r w:rsidRPr="00A971C0">
              <w:rPr>
                <w:b/>
                <w:sz w:val="16"/>
                <w:szCs w:val="16"/>
              </w:rPr>
              <w:t xml:space="preserve"> gubernamentales</w:t>
            </w:r>
          </w:p>
        </w:tc>
      </w:tr>
      <w:tr w:rsidR="00767931" w:rsidRPr="00A971C0" w14:paraId="02E41E32" w14:textId="77777777" w:rsidTr="00261C26">
        <w:tc>
          <w:tcPr>
            <w:cnfStyle w:val="001000000000" w:firstRow="0" w:lastRow="0" w:firstColumn="1" w:lastColumn="0" w:oddVBand="0" w:evenVBand="0" w:oddHBand="0" w:evenHBand="0" w:firstRowFirstColumn="0" w:firstRowLastColumn="0" w:lastRowFirstColumn="0" w:lastRowLastColumn="0"/>
            <w:tcW w:w="0" w:type="auto"/>
          </w:tcPr>
          <w:p w14:paraId="47BB8F39" w14:textId="77777777" w:rsidR="001029B5" w:rsidRPr="00A971C0" w:rsidRDefault="001029B5" w:rsidP="00D975AB">
            <w:pPr>
              <w:jc w:val="both"/>
              <w:rPr>
                <w:sz w:val="16"/>
                <w:szCs w:val="16"/>
              </w:rPr>
            </w:pPr>
          </w:p>
        </w:tc>
        <w:tc>
          <w:tcPr>
            <w:tcW w:w="0" w:type="auto"/>
          </w:tcPr>
          <w:p w14:paraId="01725B12" w14:textId="4D086E3F" w:rsidR="001029B5" w:rsidRPr="00A971C0" w:rsidRDefault="00097C3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1950</w:t>
            </w:r>
          </w:p>
        </w:tc>
        <w:tc>
          <w:tcPr>
            <w:tcW w:w="0" w:type="auto"/>
          </w:tcPr>
          <w:p w14:paraId="1B1C8175" w14:textId="5DFFF9DE" w:rsidR="001029B5" w:rsidRPr="00A971C0" w:rsidRDefault="00ED2071"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5.4</w:t>
            </w:r>
          </w:p>
        </w:tc>
        <w:tc>
          <w:tcPr>
            <w:tcW w:w="0" w:type="auto"/>
          </w:tcPr>
          <w:p w14:paraId="2F9F16A9" w14:textId="5D4F7C6E" w:rsidR="001029B5" w:rsidRPr="00A971C0" w:rsidRDefault="00954FB3"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6.1</w:t>
            </w:r>
          </w:p>
        </w:tc>
        <w:tc>
          <w:tcPr>
            <w:tcW w:w="0" w:type="auto"/>
          </w:tcPr>
          <w:p w14:paraId="0535165F" w14:textId="5C281820" w:rsidR="001029B5" w:rsidRPr="00A971C0" w:rsidRDefault="00501B7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8.4</w:t>
            </w:r>
          </w:p>
        </w:tc>
        <w:tc>
          <w:tcPr>
            <w:tcW w:w="0" w:type="auto"/>
          </w:tcPr>
          <w:p w14:paraId="60A7E27C" w14:textId="67CCB887" w:rsidR="001029B5" w:rsidRPr="00A971C0" w:rsidRDefault="00A16161"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21.6</w:t>
            </w:r>
          </w:p>
        </w:tc>
        <w:tc>
          <w:tcPr>
            <w:tcW w:w="0" w:type="auto"/>
          </w:tcPr>
          <w:p w14:paraId="23A89870" w14:textId="3A334C4B" w:rsidR="001029B5" w:rsidRPr="00A971C0" w:rsidRDefault="00E24DCD"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8.0</w:t>
            </w:r>
          </w:p>
        </w:tc>
        <w:tc>
          <w:tcPr>
            <w:tcW w:w="0" w:type="auto"/>
          </w:tcPr>
          <w:p w14:paraId="15ECB358" w14:textId="064EB2AE" w:rsidR="001029B5" w:rsidRPr="00A971C0" w:rsidRDefault="0079615D"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15.2</w:t>
            </w:r>
          </w:p>
        </w:tc>
        <w:tc>
          <w:tcPr>
            <w:tcW w:w="0" w:type="auto"/>
          </w:tcPr>
          <w:p w14:paraId="34A8E25A" w14:textId="19843D71" w:rsidR="001029B5" w:rsidRPr="00A971C0" w:rsidRDefault="000A4E2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11.2</w:t>
            </w:r>
          </w:p>
        </w:tc>
        <w:tc>
          <w:tcPr>
            <w:tcW w:w="0" w:type="auto"/>
          </w:tcPr>
          <w:p w14:paraId="4E00770D" w14:textId="2A2E4591" w:rsidR="001029B5" w:rsidRPr="00A971C0" w:rsidRDefault="009835A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14.2</w:t>
            </w:r>
          </w:p>
        </w:tc>
      </w:tr>
      <w:tr w:rsidR="00767931" w:rsidRPr="00A971C0" w14:paraId="27944D3C" w14:textId="77777777" w:rsidTr="00261C26">
        <w:tc>
          <w:tcPr>
            <w:cnfStyle w:val="001000000000" w:firstRow="0" w:lastRow="0" w:firstColumn="1" w:lastColumn="0" w:oddVBand="0" w:evenVBand="0" w:oddHBand="0" w:evenHBand="0" w:firstRowFirstColumn="0" w:firstRowLastColumn="0" w:lastRowFirstColumn="0" w:lastRowLastColumn="0"/>
            <w:tcW w:w="0" w:type="auto"/>
          </w:tcPr>
          <w:p w14:paraId="046709EF" w14:textId="77777777" w:rsidR="001029B5" w:rsidRPr="00A971C0" w:rsidRDefault="001029B5" w:rsidP="00D975AB">
            <w:pPr>
              <w:jc w:val="both"/>
              <w:rPr>
                <w:sz w:val="16"/>
                <w:szCs w:val="16"/>
              </w:rPr>
            </w:pPr>
          </w:p>
        </w:tc>
        <w:tc>
          <w:tcPr>
            <w:tcW w:w="0" w:type="auto"/>
          </w:tcPr>
          <w:p w14:paraId="7FF4B7EA" w14:textId="14BF6E0E" w:rsidR="001029B5" w:rsidRPr="00A971C0" w:rsidRDefault="00097C3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1955</w:t>
            </w:r>
          </w:p>
        </w:tc>
        <w:tc>
          <w:tcPr>
            <w:tcW w:w="0" w:type="auto"/>
          </w:tcPr>
          <w:p w14:paraId="6A4095A4" w14:textId="5941CCD7" w:rsidR="001029B5" w:rsidRPr="00A971C0" w:rsidRDefault="00ED2071"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4.7</w:t>
            </w:r>
          </w:p>
        </w:tc>
        <w:tc>
          <w:tcPr>
            <w:tcW w:w="0" w:type="auto"/>
          </w:tcPr>
          <w:p w14:paraId="4AB9990E" w14:textId="066A0088" w:rsidR="001029B5" w:rsidRPr="00A971C0" w:rsidRDefault="00005A3E"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6.2</w:t>
            </w:r>
          </w:p>
        </w:tc>
        <w:tc>
          <w:tcPr>
            <w:tcW w:w="0" w:type="auto"/>
          </w:tcPr>
          <w:p w14:paraId="4D319E2E" w14:textId="7164BD7B" w:rsidR="001029B5" w:rsidRPr="00A971C0" w:rsidRDefault="00501B7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9.0</w:t>
            </w:r>
          </w:p>
        </w:tc>
        <w:tc>
          <w:tcPr>
            <w:tcW w:w="0" w:type="auto"/>
          </w:tcPr>
          <w:p w14:paraId="038E1A5D" w14:textId="1464BEED" w:rsidR="001029B5" w:rsidRPr="00A971C0" w:rsidRDefault="00A16161"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22.1</w:t>
            </w:r>
          </w:p>
        </w:tc>
        <w:tc>
          <w:tcPr>
            <w:tcW w:w="0" w:type="auto"/>
          </w:tcPr>
          <w:p w14:paraId="7D96187B" w14:textId="7628DEFA" w:rsidR="001029B5" w:rsidRPr="00A971C0" w:rsidRDefault="00E24DCD"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7.6</w:t>
            </w:r>
          </w:p>
        </w:tc>
        <w:tc>
          <w:tcPr>
            <w:tcW w:w="0" w:type="auto"/>
          </w:tcPr>
          <w:p w14:paraId="02361774" w14:textId="48EF4285" w:rsidR="001029B5" w:rsidRPr="00A971C0" w:rsidRDefault="00FB295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14.5</w:t>
            </w:r>
          </w:p>
        </w:tc>
        <w:tc>
          <w:tcPr>
            <w:tcW w:w="0" w:type="auto"/>
          </w:tcPr>
          <w:p w14:paraId="702E7EDA" w14:textId="1F3AF3C6" w:rsidR="001029B5" w:rsidRPr="00A971C0" w:rsidRDefault="000A4E2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10.3</w:t>
            </w:r>
          </w:p>
        </w:tc>
        <w:tc>
          <w:tcPr>
            <w:tcW w:w="0" w:type="auto"/>
          </w:tcPr>
          <w:p w14:paraId="42C55680" w14:textId="34FE1B4C" w:rsidR="001029B5" w:rsidRPr="00A971C0" w:rsidRDefault="009835A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15.</w:t>
            </w:r>
            <w:r w:rsidR="0020785C" w:rsidRPr="00A971C0">
              <w:rPr>
                <w:sz w:val="16"/>
                <w:szCs w:val="16"/>
              </w:rPr>
              <w:t>0</w:t>
            </w:r>
          </w:p>
        </w:tc>
      </w:tr>
      <w:tr w:rsidR="00767931" w:rsidRPr="00A971C0" w14:paraId="7F3A01C7" w14:textId="77777777" w:rsidTr="00261C26">
        <w:tc>
          <w:tcPr>
            <w:cnfStyle w:val="001000000000" w:firstRow="0" w:lastRow="0" w:firstColumn="1" w:lastColumn="0" w:oddVBand="0" w:evenVBand="0" w:oddHBand="0" w:evenHBand="0" w:firstRowFirstColumn="0" w:firstRowLastColumn="0" w:lastRowFirstColumn="0" w:lastRowLastColumn="0"/>
            <w:tcW w:w="0" w:type="auto"/>
          </w:tcPr>
          <w:p w14:paraId="7F63BD60" w14:textId="77777777" w:rsidR="001029B5" w:rsidRPr="00A971C0" w:rsidRDefault="001029B5" w:rsidP="00D975AB">
            <w:pPr>
              <w:jc w:val="both"/>
              <w:rPr>
                <w:sz w:val="16"/>
                <w:szCs w:val="16"/>
              </w:rPr>
            </w:pPr>
          </w:p>
        </w:tc>
        <w:tc>
          <w:tcPr>
            <w:tcW w:w="0" w:type="auto"/>
          </w:tcPr>
          <w:p w14:paraId="30651020" w14:textId="76D03658" w:rsidR="001029B5" w:rsidRPr="00A971C0" w:rsidRDefault="005E4354"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1960</w:t>
            </w:r>
          </w:p>
        </w:tc>
        <w:tc>
          <w:tcPr>
            <w:tcW w:w="0" w:type="auto"/>
          </w:tcPr>
          <w:p w14:paraId="30286608" w14:textId="79E0D54C" w:rsidR="001029B5" w:rsidRPr="00A971C0" w:rsidRDefault="00ED2071"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4.1</w:t>
            </w:r>
          </w:p>
        </w:tc>
        <w:tc>
          <w:tcPr>
            <w:tcW w:w="0" w:type="auto"/>
          </w:tcPr>
          <w:p w14:paraId="18DF028C" w14:textId="515D8EE6" w:rsidR="001029B5" w:rsidRPr="00A971C0" w:rsidRDefault="00005A3E"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5.6</w:t>
            </w:r>
          </w:p>
        </w:tc>
        <w:tc>
          <w:tcPr>
            <w:tcW w:w="0" w:type="auto"/>
          </w:tcPr>
          <w:p w14:paraId="3E716CD5" w14:textId="35616968" w:rsidR="001029B5" w:rsidRPr="00A971C0" w:rsidRDefault="005B3E0E"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9.7</w:t>
            </w:r>
          </w:p>
        </w:tc>
        <w:tc>
          <w:tcPr>
            <w:tcW w:w="0" w:type="auto"/>
          </w:tcPr>
          <w:p w14:paraId="2068F528" w14:textId="0DF7C556" w:rsidR="001029B5" w:rsidRPr="00A971C0" w:rsidRDefault="00A16161"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20.2</w:t>
            </w:r>
          </w:p>
        </w:tc>
        <w:tc>
          <w:tcPr>
            <w:tcW w:w="0" w:type="auto"/>
          </w:tcPr>
          <w:p w14:paraId="7591C7D6" w14:textId="107D168B" w:rsidR="001029B5" w:rsidRPr="00A971C0" w:rsidRDefault="00E24DCD"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7.6</w:t>
            </w:r>
          </w:p>
        </w:tc>
        <w:tc>
          <w:tcPr>
            <w:tcW w:w="0" w:type="auto"/>
          </w:tcPr>
          <w:p w14:paraId="74AC4171" w14:textId="7A67190A" w:rsidR="001029B5" w:rsidRPr="00A971C0" w:rsidRDefault="006E4C3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14.7</w:t>
            </w:r>
          </w:p>
        </w:tc>
        <w:tc>
          <w:tcPr>
            <w:tcW w:w="0" w:type="auto"/>
          </w:tcPr>
          <w:p w14:paraId="0F57910D" w14:textId="409DE50D" w:rsidR="001029B5" w:rsidRPr="00A971C0" w:rsidRDefault="000A4E2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11.4</w:t>
            </w:r>
          </w:p>
        </w:tc>
        <w:tc>
          <w:tcPr>
            <w:tcW w:w="0" w:type="auto"/>
          </w:tcPr>
          <w:p w14:paraId="2D646316" w14:textId="35417237" w:rsidR="001029B5" w:rsidRPr="00A971C0" w:rsidRDefault="0020785C"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14.4</w:t>
            </w:r>
          </w:p>
        </w:tc>
      </w:tr>
      <w:tr w:rsidR="00767931" w:rsidRPr="00A971C0" w14:paraId="404DF1CA" w14:textId="77777777" w:rsidTr="00261C26">
        <w:tc>
          <w:tcPr>
            <w:cnfStyle w:val="001000000000" w:firstRow="0" w:lastRow="0" w:firstColumn="1" w:lastColumn="0" w:oddVBand="0" w:evenVBand="0" w:oddHBand="0" w:evenHBand="0" w:firstRowFirstColumn="0" w:firstRowLastColumn="0" w:lastRowFirstColumn="0" w:lastRowLastColumn="0"/>
            <w:tcW w:w="0" w:type="auto"/>
          </w:tcPr>
          <w:p w14:paraId="6F6337BC" w14:textId="77777777" w:rsidR="001029B5" w:rsidRPr="00A971C0" w:rsidRDefault="001029B5" w:rsidP="00D975AB">
            <w:pPr>
              <w:jc w:val="both"/>
              <w:rPr>
                <w:sz w:val="16"/>
                <w:szCs w:val="16"/>
              </w:rPr>
            </w:pPr>
          </w:p>
        </w:tc>
        <w:tc>
          <w:tcPr>
            <w:tcW w:w="0" w:type="auto"/>
          </w:tcPr>
          <w:p w14:paraId="4C5E1EA8" w14:textId="5F01F55F" w:rsidR="001029B5" w:rsidRPr="00A971C0" w:rsidRDefault="005E4354"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1965</w:t>
            </w:r>
          </w:p>
        </w:tc>
        <w:tc>
          <w:tcPr>
            <w:tcW w:w="0" w:type="auto"/>
          </w:tcPr>
          <w:p w14:paraId="51CAFA82" w14:textId="5193CEEE" w:rsidR="001029B5" w:rsidRPr="00A971C0" w:rsidRDefault="00F25D3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3.2</w:t>
            </w:r>
          </w:p>
        </w:tc>
        <w:tc>
          <w:tcPr>
            <w:tcW w:w="0" w:type="auto"/>
          </w:tcPr>
          <w:p w14:paraId="72F92125" w14:textId="0D3FF855" w:rsidR="001029B5" w:rsidRPr="00A971C0" w:rsidRDefault="00005A3E"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5.2</w:t>
            </w:r>
          </w:p>
        </w:tc>
        <w:tc>
          <w:tcPr>
            <w:tcW w:w="0" w:type="auto"/>
          </w:tcPr>
          <w:p w14:paraId="5A797310" w14:textId="4A244D15" w:rsidR="001029B5" w:rsidRPr="00A971C0" w:rsidRDefault="00FF3BB1"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9.3</w:t>
            </w:r>
          </w:p>
        </w:tc>
        <w:tc>
          <w:tcPr>
            <w:tcW w:w="0" w:type="auto"/>
          </w:tcPr>
          <w:p w14:paraId="004018F0" w14:textId="38B64D81" w:rsidR="001029B5" w:rsidRPr="00A971C0" w:rsidRDefault="0095134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22.2</w:t>
            </w:r>
          </w:p>
        </w:tc>
        <w:tc>
          <w:tcPr>
            <w:tcW w:w="0" w:type="auto"/>
          </w:tcPr>
          <w:p w14:paraId="360966C9" w14:textId="64F9560B" w:rsidR="001029B5" w:rsidRPr="00A971C0" w:rsidRDefault="00E24DCD"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7.7</w:t>
            </w:r>
          </w:p>
        </w:tc>
        <w:tc>
          <w:tcPr>
            <w:tcW w:w="0" w:type="auto"/>
          </w:tcPr>
          <w:p w14:paraId="21B8FE52" w14:textId="272A2C3F" w:rsidR="001029B5" w:rsidRPr="00A971C0" w:rsidRDefault="006E4C3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14.8</w:t>
            </w:r>
          </w:p>
        </w:tc>
        <w:tc>
          <w:tcPr>
            <w:tcW w:w="0" w:type="auto"/>
          </w:tcPr>
          <w:p w14:paraId="510154B9" w14:textId="744A9FDC" w:rsidR="001029B5" w:rsidRPr="00A971C0" w:rsidRDefault="000A4E2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11.</w:t>
            </w:r>
            <w:r w:rsidR="002F1E0B" w:rsidRPr="00A971C0">
              <w:rPr>
                <w:sz w:val="16"/>
                <w:szCs w:val="16"/>
              </w:rPr>
              <w:t>5</w:t>
            </w:r>
          </w:p>
        </w:tc>
        <w:tc>
          <w:tcPr>
            <w:tcW w:w="0" w:type="auto"/>
          </w:tcPr>
          <w:p w14:paraId="3B1C1B3E" w14:textId="126D4FD7" w:rsidR="001029B5" w:rsidRPr="00A971C0" w:rsidRDefault="0020785C"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13.6</w:t>
            </w:r>
          </w:p>
        </w:tc>
      </w:tr>
      <w:tr w:rsidR="00767931" w:rsidRPr="00A971C0" w14:paraId="5B164222" w14:textId="77777777" w:rsidTr="00261C26">
        <w:tc>
          <w:tcPr>
            <w:cnfStyle w:val="001000000000" w:firstRow="0" w:lastRow="0" w:firstColumn="1" w:lastColumn="0" w:oddVBand="0" w:evenVBand="0" w:oddHBand="0" w:evenHBand="0" w:firstRowFirstColumn="0" w:firstRowLastColumn="0" w:lastRowFirstColumn="0" w:lastRowLastColumn="0"/>
            <w:tcW w:w="0" w:type="auto"/>
          </w:tcPr>
          <w:p w14:paraId="0941AB2D" w14:textId="77777777" w:rsidR="001029B5" w:rsidRPr="00A971C0" w:rsidRDefault="001029B5" w:rsidP="00D975AB">
            <w:pPr>
              <w:jc w:val="both"/>
              <w:rPr>
                <w:sz w:val="16"/>
                <w:szCs w:val="16"/>
              </w:rPr>
            </w:pPr>
          </w:p>
        </w:tc>
        <w:tc>
          <w:tcPr>
            <w:tcW w:w="0" w:type="auto"/>
          </w:tcPr>
          <w:p w14:paraId="37509A31" w14:textId="76F5A669" w:rsidR="001029B5" w:rsidRPr="00A971C0" w:rsidRDefault="00AA6F8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1970</w:t>
            </w:r>
          </w:p>
        </w:tc>
        <w:tc>
          <w:tcPr>
            <w:tcW w:w="0" w:type="auto"/>
          </w:tcPr>
          <w:p w14:paraId="2A381029" w14:textId="46AC5459" w:rsidR="001029B5" w:rsidRPr="00A971C0" w:rsidRDefault="00F25D3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2.9</w:t>
            </w:r>
          </w:p>
        </w:tc>
        <w:tc>
          <w:tcPr>
            <w:tcW w:w="0" w:type="auto"/>
          </w:tcPr>
          <w:p w14:paraId="43D0BDE0" w14:textId="26CAA5A7" w:rsidR="001029B5" w:rsidRPr="00A971C0" w:rsidRDefault="000406E3"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5.6</w:t>
            </w:r>
          </w:p>
        </w:tc>
        <w:tc>
          <w:tcPr>
            <w:tcW w:w="0" w:type="auto"/>
          </w:tcPr>
          <w:p w14:paraId="3A111111" w14:textId="292D82A2" w:rsidR="001029B5" w:rsidRPr="00A971C0" w:rsidRDefault="00077747"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7.0</w:t>
            </w:r>
          </w:p>
        </w:tc>
        <w:tc>
          <w:tcPr>
            <w:tcW w:w="0" w:type="auto"/>
          </w:tcPr>
          <w:p w14:paraId="3BC89916" w14:textId="063E5EE5" w:rsidR="001029B5" w:rsidRPr="00A971C0" w:rsidRDefault="0095134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21.1</w:t>
            </w:r>
          </w:p>
        </w:tc>
        <w:tc>
          <w:tcPr>
            <w:tcW w:w="0" w:type="auto"/>
          </w:tcPr>
          <w:p w14:paraId="19A5A7A7" w14:textId="4D0E634A" w:rsidR="001029B5" w:rsidRPr="00A971C0" w:rsidRDefault="0056138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8.5</w:t>
            </w:r>
          </w:p>
        </w:tc>
        <w:tc>
          <w:tcPr>
            <w:tcW w:w="0" w:type="auto"/>
          </w:tcPr>
          <w:p w14:paraId="031D702A" w14:textId="7846CD8B" w:rsidR="001029B5" w:rsidRPr="00A971C0" w:rsidRDefault="006E4C3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15.3</w:t>
            </w:r>
          </w:p>
        </w:tc>
        <w:tc>
          <w:tcPr>
            <w:tcW w:w="0" w:type="auto"/>
          </w:tcPr>
          <w:p w14:paraId="1B649B1B" w14:textId="549A0BDB" w:rsidR="001029B5" w:rsidRPr="00A971C0" w:rsidRDefault="000A4E2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12.</w:t>
            </w:r>
            <w:r w:rsidR="002F1E0B" w:rsidRPr="00A971C0">
              <w:rPr>
                <w:sz w:val="16"/>
                <w:szCs w:val="16"/>
              </w:rPr>
              <w:t>3</w:t>
            </w:r>
          </w:p>
        </w:tc>
        <w:tc>
          <w:tcPr>
            <w:tcW w:w="0" w:type="auto"/>
          </w:tcPr>
          <w:p w14:paraId="7D9F15DA" w14:textId="74B74A76" w:rsidR="001029B5" w:rsidRPr="00A971C0" w:rsidRDefault="0020785C"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14.</w:t>
            </w:r>
            <w:r w:rsidR="008E41C5" w:rsidRPr="00A971C0">
              <w:rPr>
                <w:sz w:val="16"/>
                <w:szCs w:val="16"/>
              </w:rPr>
              <w:t>1</w:t>
            </w:r>
          </w:p>
        </w:tc>
      </w:tr>
      <w:tr w:rsidR="00767931" w:rsidRPr="00A971C0" w14:paraId="7C12C93B" w14:textId="77777777" w:rsidTr="00261C26">
        <w:tc>
          <w:tcPr>
            <w:cnfStyle w:val="001000000000" w:firstRow="0" w:lastRow="0" w:firstColumn="1" w:lastColumn="0" w:oddVBand="0" w:evenVBand="0" w:oddHBand="0" w:evenHBand="0" w:firstRowFirstColumn="0" w:firstRowLastColumn="0" w:lastRowFirstColumn="0" w:lastRowLastColumn="0"/>
            <w:tcW w:w="0" w:type="auto"/>
          </w:tcPr>
          <w:p w14:paraId="7FF3E897" w14:textId="77777777" w:rsidR="001029B5" w:rsidRPr="00A971C0" w:rsidRDefault="001029B5" w:rsidP="00D975AB">
            <w:pPr>
              <w:jc w:val="both"/>
              <w:rPr>
                <w:sz w:val="16"/>
                <w:szCs w:val="16"/>
              </w:rPr>
            </w:pPr>
          </w:p>
        </w:tc>
        <w:tc>
          <w:tcPr>
            <w:tcW w:w="0" w:type="auto"/>
          </w:tcPr>
          <w:p w14:paraId="4B2EEBAE" w14:textId="29810677" w:rsidR="001029B5" w:rsidRPr="00A971C0" w:rsidRDefault="00AA6F8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1975</w:t>
            </w:r>
          </w:p>
        </w:tc>
        <w:tc>
          <w:tcPr>
            <w:tcW w:w="0" w:type="auto"/>
          </w:tcPr>
          <w:p w14:paraId="621451BE" w14:textId="1CC339AA" w:rsidR="001029B5" w:rsidRPr="00A971C0" w:rsidRDefault="00F25D3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2.7</w:t>
            </w:r>
          </w:p>
        </w:tc>
        <w:tc>
          <w:tcPr>
            <w:tcW w:w="0" w:type="auto"/>
          </w:tcPr>
          <w:p w14:paraId="4090D691" w14:textId="5C6505CD" w:rsidR="001029B5" w:rsidRPr="00A971C0" w:rsidRDefault="00E00CFF"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4.</w:t>
            </w:r>
            <w:r w:rsidR="000406E3" w:rsidRPr="00A971C0">
              <w:rPr>
                <w:sz w:val="16"/>
                <w:szCs w:val="16"/>
              </w:rPr>
              <w:t>7</w:t>
            </w:r>
          </w:p>
        </w:tc>
        <w:tc>
          <w:tcPr>
            <w:tcW w:w="0" w:type="auto"/>
          </w:tcPr>
          <w:p w14:paraId="0F844BC6" w14:textId="466B7CD7" w:rsidR="001029B5" w:rsidRPr="00A971C0" w:rsidRDefault="00077747"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5.6</w:t>
            </w:r>
          </w:p>
        </w:tc>
        <w:tc>
          <w:tcPr>
            <w:tcW w:w="0" w:type="auto"/>
          </w:tcPr>
          <w:p w14:paraId="615BAF43" w14:textId="1571D7B0" w:rsidR="001029B5" w:rsidRPr="00A971C0" w:rsidRDefault="0095134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20.</w:t>
            </w:r>
            <w:r w:rsidR="008B093D" w:rsidRPr="00A971C0">
              <w:rPr>
                <w:sz w:val="16"/>
                <w:szCs w:val="16"/>
              </w:rPr>
              <w:t>5</w:t>
            </w:r>
          </w:p>
        </w:tc>
        <w:tc>
          <w:tcPr>
            <w:tcW w:w="0" w:type="auto"/>
          </w:tcPr>
          <w:p w14:paraId="155F905C" w14:textId="388B2C36" w:rsidR="001029B5" w:rsidRPr="00A971C0" w:rsidRDefault="000A1CE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9.2</w:t>
            </w:r>
          </w:p>
        </w:tc>
        <w:tc>
          <w:tcPr>
            <w:tcW w:w="0" w:type="auto"/>
          </w:tcPr>
          <w:p w14:paraId="0E31C5EF" w14:textId="3F6995A1" w:rsidR="001029B5" w:rsidRPr="00A971C0" w:rsidRDefault="00474753"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16.2</w:t>
            </w:r>
          </w:p>
        </w:tc>
        <w:tc>
          <w:tcPr>
            <w:tcW w:w="0" w:type="auto"/>
          </w:tcPr>
          <w:p w14:paraId="26831141" w14:textId="78DFC1DB" w:rsidR="001029B5" w:rsidRPr="00A971C0" w:rsidRDefault="002F1E0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13.</w:t>
            </w:r>
            <w:r w:rsidR="003B4C6B" w:rsidRPr="00A971C0">
              <w:rPr>
                <w:sz w:val="16"/>
                <w:szCs w:val="16"/>
              </w:rPr>
              <w:t>2</w:t>
            </w:r>
          </w:p>
        </w:tc>
        <w:tc>
          <w:tcPr>
            <w:tcW w:w="0" w:type="auto"/>
          </w:tcPr>
          <w:p w14:paraId="0D39C3A2" w14:textId="6C702E7D" w:rsidR="001029B5" w:rsidRPr="00A971C0" w:rsidRDefault="008E41C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13.3</w:t>
            </w:r>
          </w:p>
        </w:tc>
      </w:tr>
      <w:tr w:rsidR="00767931" w:rsidRPr="00A971C0" w14:paraId="28B9EDE6" w14:textId="77777777" w:rsidTr="00261C26">
        <w:tc>
          <w:tcPr>
            <w:cnfStyle w:val="001000000000" w:firstRow="0" w:lastRow="0" w:firstColumn="1" w:lastColumn="0" w:oddVBand="0" w:evenVBand="0" w:oddHBand="0" w:evenHBand="0" w:firstRowFirstColumn="0" w:firstRowLastColumn="0" w:lastRowFirstColumn="0" w:lastRowLastColumn="0"/>
            <w:tcW w:w="0" w:type="auto"/>
          </w:tcPr>
          <w:p w14:paraId="77BEE327" w14:textId="77777777" w:rsidR="001029B5" w:rsidRPr="00A971C0" w:rsidRDefault="001029B5" w:rsidP="00D975AB">
            <w:pPr>
              <w:jc w:val="both"/>
              <w:rPr>
                <w:sz w:val="16"/>
                <w:szCs w:val="16"/>
              </w:rPr>
            </w:pPr>
          </w:p>
        </w:tc>
        <w:tc>
          <w:tcPr>
            <w:tcW w:w="0" w:type="auto"/>
          </w:tcPr>
          <w:p w14:paraId="711D3FC8" w14:textId="5DA85344" w:rsidR="001029B5" w:rsidRPr="00A971C0" w:rsidRDefault="00F56211"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19</w:t>
            </w:r>
            <w:r w:rsidR="00D92B1D" w:rsidRPr="00A971C0">
              <w:rPr>
                <w:sz w:val="16"/>
                <w:szCs w:val="16"/>
              </w:rPr>
              <w:t>80</w:t>
            </w:r>
          </w:p>
        </w:tc>
        <w:tc>
          <w:tcPr>
            <w:tcW w:w="0" w:type="auto"/>
          </w:tcPr>
          <w:p w14:paraId="0A24DC29" w14:textId="49185831" w:rsidR="001029B5" w:rsidRPr="00A971C0" w:rsidRDefault="00F25D3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2.4</w:t>
            </w:r>
          </w:p>
        </w:tc>
        <w:tc>
          <w:tcPr>
            <w:tcW w:w="0" w:type="auto"/>
          </w:tcPr>
          <w:p w14:paraId="431ED827" w14:textId="4741BDA7" w:rsidR="001029B5" w:rsidRPr="00A971C0" w:rsidRDefault="00E00CFF"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4.6</w:t>
            </w:r>
          </w:p>
        </w:tc>
        <w:tc>
          <w:tcPr>
            <w:tcW w:w="0" w:type="auto"/>
          </w:tcPr>
          <w:p w14:paraId="1157200B" w14:textId="41FB72D8" w:rsidR="001029B5" w:rsidRPr="00A971C0" w:rsidRDefault="00077747"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4.9</w:t>
            </w:r>
          </w:p>
        </w:tc>
        <w:tc>
          <w:tcPr>
            <w:tcW w:w="0" w:type="auto"/>
          </w:tcPr>
          <w:p w14:paraId="56751199" w14:textId="2CA0F57B" w:rsidR="001029B5" w:rsidRPr="00A971C0" w:rsidRDefault="005E341D"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21.</w:t>
            </w:r>
            <w:r w:rsidR="000604FD" w:rsidRPr="00A971C0">
              <w:rPr>
                <w:sz w:val="16"/>
                <w:szCs w:val="16"/>
              </w:rPr>
              <w:t>6</w:t>
            </w:r>
          </w:p>
        </w:tc>
        <w:tc>
          <w:tcPr>
            <w:tcW w:w="0" w:type="auto"/>
          </w:tcPr>
          <w:p w14:paraId="6430FEFC" w14:textId="6AE647F0" w:rsidR="001029B5" w:rsidRPr="00A971C0" w:rsidRDefault="00FC50F9"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9.4</w:t>
            </w:r>
          </w:p>
        </w:tc>
        <w:tc>
          <w:tcPr>
            <w:tcW w:w="0" w:type="auto"/>
          </w:tcPr>
          <w:p w14:paraId="46B2F2AC" w14:textId="7C7E7830" w:rsidR="001029B5" w:rsidRPr="00A971C0" w:rsidRDefault="00474753"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15.</w:t>
            </w:r>
            <w:r w:rsidR="00864655" w:rsidRPr="00A971C0">
              <w:rPr>
                <w:sz w:val="16"/>
                <w:szCs w:val="16"/>
              </w:rPr>
              <w:t>4</w:t>
            </w:r>
          </w:p>
        </w:tc>
        <w:tc>
          <w:tcPr>
            <w:tcW w:w="0" w:type="auto"/>
          </w:tcPr>
          <w:p w14:paraId="5A148441" w14:textId="62F9A340" w:rsidR="001029B5" w:rsidRPr="00A971C0" w:rsidRDefault="003B4C6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14,4</w:t>
            </w:r>
          </w:p>
        </w:tc>
        <w:tc>
          <w:tcPr>
            <w:tcW w:w="0" w:type="auto"/>
          </w:tcPr>
          <w:p w14:paraId="60228E4C" w14:textId="44510902" w:rsidR="001029B5" w:rsidRPr="00A971C0" w:rsidRDefault="008E41C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12.</w:t>
            </w:r>
            <w:r w:rsidR="00AA3548" w:rsidRPr="00A971C0">
              <w:rPr>
                <w:sz w:val="16"/>
                <w:szCs w:val="16"/>
              </w:rPr>
              <w:t>2</w:t>
            </w:r>
          </w:p>
        </w:tc>
      </w:tr>
      <w:tr w:rsidR="00767931" w:rsidRPr="00A971C0" w14:paraId="6BAC52FC" w14:textId="77777777" w:rsidTr="00261C26">
        <w:tc>
          <w:tcPr>
            <w:cnfStyle w:val="001000000000" w:firstRow="0" w:lastRow="0" w:firstColumn="1" w:lastColumn="0" w:oddVBand="0" w:evenVBand="0" w:oddHBand="0" w:evenHBand="0" w:firstRowFirstColumn="0" w:firstRowLastColumn="0" w:lastRowFirstColumn="0" w:lastRowLastColumn="0"/>
            <w:tcW w:w="0" w:type="auto"/>
          </w:tcPr>
          <w:p w14:paraId="5CFDE31A" w14:textId="77777777" w:rsidR="004F19A1" w:rsidRPr="00A971C0" w:rsidRDefault="004F19A1" w:rsidP="00D975AB">
            <w:pPr>
              <w:jc w:val="both"/>
              <w:rPr>
                <w:sz w:val="16"/>
                <w:szCs w:val="16"/>
              </w:rPr>
            </w:pPr>
          </w:p>
        </w:tc>
        <w:tc>
          <w:tcPr>
            <w:tcW w:w="0" w:type="auto"/>
          </w:tcPr>
          <w:p w14:paraId="12FE45A6" w14:textId="0431FC7A" w:rsidR="004F19A1" w:rsidRPr="00A971C0" w:rsidRDefault="0014059C"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198</w:t>
            </w:r>
            <w:r w:rsidR="00954FB3" w:rsidRPr="00A971C0">
              <w:rPr>
                <w:sz w:val="16"/>
                <w:szCs w:val="16"/>
              </w:rPr>
              <w:t>5</w:t>
            </w:r>
          </w:p>
        </w:tc>
        <w:tc>
          <w:tcPr>
            <w:tcW w:w="0" w:type="auto"/>
          </w:tcPr>
          <w:p w14:paraId="3FC2A5AE" w14:textId="6707A556" w:rsidR="004F19A1" w:rsidRPr="00A971C0" w:rsidRDefault="00F25D3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w:t>
            </w:r>
            <w:r w:rsidR="00954FB3" w:rsidRPr="00A971C0">
              <w:rPr>
                <w:sz w:val="16"/>
                <w:szCs w:val="16"/>
              </w:rPr>
              <w:t>7</w:t>
            </w:r>
          </w:p>
        </w:tc>
        <w:tc>
          <w:tcPr>
            <w:tcW w:w="0" w:type="auto"/>
          </w:tcPr>
          <w:p w14:paraId="295ADCC7" w14:textId="40157C2C" w:rsidR="004F19A1" w:rsidRPr="00A971C0" w:rsidRDefault="00E00CFF"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3.9</w:t>
            </w:r>
          </w:p>
        </w:tc>
        <w:tc>
          <w:tcPr>
            <w:tcW w:w="0" w:type="auto"/>
          </w:tcPr>
          <w:p w14:paraId="1DD48C98" w14:textId="28783F9F" w:rsidR="004F19A1" w:rsidRPr="00A971C0" w:rsidRDefault="00077747"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4.6</w:t>
            </w:r>
          </w:p>
        </w:tc>
        <w:tc>
          <w:tcPr>
            <w:tcW w:w="0" w:type="auto"/>
          </w:tcPr>
          <w:p w14:paraId="7E2275F0" w14:textId="50A5EDD1" w:rsidR="004F19A1" w:rsidRPr="00A971C0" w:rsidRDefault="000604FD"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21.6</w:t>
            </w:r>
          </w:p>
        </w:tc>
        <w:tc>
          <w:tcPr>
            <w:tcW w:w="0" w:type="auto"/>
          </w:tcPr>
          <w:p w14:paraId="0B136669" w14:textId="76028499" w:rsidR="004F19A1" w:rsidRPr="00A971C0" w:rsidRDefault="0040656E"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9.2</w:t>
            </w:r>
          </w:p>
        </w:tc>
        <w:tc>
          <w:tcPr>
            <w:tcW w:w="0" w:type="auto"/>
          </w:tcPr>
          <w:p w14:paraId="024C851E" w14:textId="7089AA4D" w:rsidR="004F19A1" w:rsidRPr="00A971C0" w:rsidRDefault="0086465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17.3</w:t>
            </w:r>
          </w:p>
        </w:tc>
        <w:tc>
          <w:tcPr>
            <w:tcW w:w="0" w:type="auto"/>
          </w:tcPr>
          <w:p w14:paraId="4C9B8180" w14:textId="591E6B4C" w:rsidR="004F19A1" w:rsidRPr="00A971C0" w:rsidRDefault="003B4C6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15.0</w:t>
            </w:r>
          </w:p>
        </w:tc>
        <w:tc>
          <w:tcPr>
            <w:tcW w:w="0" w:type="auto"/>
          </w:tcPr>
          <w:p w14:paraId="04C3EEC9" w14:textId="45A5F581" w:rsidR="004F19A1" w:rsidRPr="00A971C0" w:rsidRDefault="00AA354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11.1</w:t>
            </w:r>
          </w:p>
        </w:tc>
      </w:tr>
      <w:tr w:rsidR="000B5FDF" w:rsidRPr="00A971C0" w14:paraId="2BF3C953" w14:textId="77777777" w:rsidTr="00261C26">
        <w:tc>
          <w:tcPr>
            <w:cnfStyle w:val="001000000000" w:firstRow="0" w:lastRow="0" w:firstColumn="1" w:lastColumn="0" w:oddVBand="0" w:evenVBand="0" w:oddHBand="0" w:evenHBand="0" w:firstRowFirstColumn="0" w:firstRowLastColumn="0" w:lastRowFirstColumn="0" w:lastRowLastColumn="0"/>
            <w:tcW w:w="0" w:type="auto"/>
          </w:tcPr>
          <w:p w14:paraId="7CE5909E" w14:textId="77777777" w:rsidR="000B5FDF" w:rsidRPr="00A971C0" w:rsidRDefault="000B5FDF" w:rsidP="00D975AB">
            <w:pPr>
              <w:jc w:val="both"/>
              <w:rPr>
                <w:sz w:val="16"/>
                <w:szCs w:val="16"/>
              </w:rPr>
            </w:pPr>
          </w:p>
        </w:tc>
        <w:tc>
          <w:tcPr>
            <w:tcW w:w="0" w:type="auto"/>
          </w:tcPr>
          <w:p w14:paraId="0DE9EC5F" w14:textId="027D2418" w:rsidR="000B5FDF" w:rsidRPr="00A971C0" w:rsidRDefault="00501B7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1988</w:t>
            </w:r>
          </w:p>
        </w:tc>
        <w:tc>
          <w:tcPr>
            <w:tcW w:w="0" w:type="auto"/>
          </w:tcPr>
          <w:p w14:paraId="621DAC6F" w14:textId="6070D8B0" w:rsidR="000B5FDF" w:rsidRPr="00A971C0" w:rsidRDefault="00501B7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2.3</w:t>
            </w:r>
          </w:p>
        </w:tc>
        <w:tc>
          <w:tcPr>
            <w:tcW w:w="0" w:type="auto"/>
          </w:tcPr>
          <w:p w14:paraId="276D19CF" w14:textId="2EB60D1F" w:rsidR="000B5FDF" w:rsidRPr="00A971C0" w:rsidRDefault="00501B7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3.2</w:t>
            </w:r>
          </w:p>
        </w:tc>
        <w:tc>
          <w:tcPr>
            <w:tcW w:w="0" w:type="auto"/>
          </w:tcPr>
          <w:p w14:paraId="1F83DADD" w14:textId="7E97DAEC" w:rsidR="000B5FDF" w:rsidRPr="00A971C0" w:rsidRDefault="00077747"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4.4</w:t>
            </w:r>
          </w:p>
        </w:tc>
        <w:tc>
          <w:tcPr>
            <w:tcW w:w="0" w:type="auto"/>
          </w:tcPr>
          <w:p w14:paraId="207020C3" w14:textId="6625AAED" w:rsidR="000B5FDF" w:rsidRPr="00A971C0" w:rsidRDefault="009E012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23.0</w:t>
            </w:r>
          </w:p>
        </w:tc>
        <w:tc>
          <w:tcPr>
            <w:tcW w:w="0" w:type="auto"/>
          </w:tcPr>
          <w:p w14:paraId="08A58F77" w14:textId="35837460" w:rsidR="000B5FDF" w:rsidRPr="00A971C0" w:rsidRDefault="0079615D"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9.7</w:t>
            </w:r>
          </w:p>
        </w:tc>
        <w:tc>
          <w:tcPr>
            <w:tcW w:w="0" w:type="auto"/>
          </w:tcPr>
          <w:p w14:paraId="527D8BAA" w14:textId="353D3A1F" w:rsidR="000B5FDF" w:rsidRPr="00A971C0" w:rsidRDefault="00864655"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17.2</w:t>
            </w:r>
          </w:p>
        </w:tc>
        <w:tc>
          <w:tcPr>
            <w:tcW w:w="0" w:type="auto"/>
          </w:tcPr>
          <w:p w14:paraId="3563E4E1" w14:textId="47C57825" w:rsidR="000B5FDF" w:rsidRPr="00A971C0" w:rsidRDefault="003B4C6B"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15.</w:t>
            </w:r>
            <w:r w:rsidR="009835A5" w:rsidRPr="00A971C0">
              <w:rPr>
                <w:sz w:val="16"/>
                <w:szCs w:val="16"/>
              </w:rPr>
              <w:t>2</w:t>
            </w:r>
          </w:p>
        </w:tc>
        <w:tc>
          <w:tcPr>
            <w:tcW w:w="0" w:type="auto"/>
          </w:tcPr>
          <w:p w14:paraId="545069B3" w14:textId="045411A7" w:rsidR="00AA3548" w:rsidRPr="00A971C0" w:rsidRDefault="00AA3548" w:rsidP="00D975AB">
            <w:pPr>
              <w:jc w:val="both"/>
              <w:cnfStyle w:val="000000000000" w:firstRow="0" w:lastRow="0" w:firstColumn="0" w:lastColumn="0" w:oddVBand="0" w:evenVBand="0" w:oddHBand="0" w:evenHBand="0" w:firstRowFirstColumn="0" w:firstRowLastColumn="0" w:lastRowFirstColumn="0" w:lastRowLastColumn="0"/>
              <w:rPr>
                <w:sz w:val="16"/>
                <w:szCs w:val="16"/>
              </w:rPr>
            </w:pPr>
            <w:r w:rsidRPr="00A971C0">
              <w:rPr>
                <w:sz w:val="16"/>
                <w:szCs w:val="16"/>
              </w:rPr>
              <w:t>10.5</w:t>
            </w:r>
          </w:p>
        </w:tc>
      </w:tr>
    </w:tbl>
    <w:p w14:paraId="3C18CB33" w14:textId="4799B3AD" w:rsidR="00DF2FAE" w:rsidRDefault="00AA3548" w:rsidP="00D975AB">
      <w:pPr>
        <w:pStyle w:val="NotasAPA"/>
        <w:jc w:val="both"/>
      </w:pPr>
      <w:r w:rsidRPr="000C1B80">
        <w:t xml:space="preserve">Nota: </w:t>
      </w:r>
      <w:r w:rsidR="001122D8" w:rsidRPr="000C1B80">
        <w:t xml:space="preserve">Economic </w:t>
      </w:r>
      <w:proofErr w:type="spellStart"/>
      <w:r w:rsidR="001122D8" w:rsidRPr="000C1B80">
        <w:t>report</w:t>
      </w:r>
      <w:proofErr w:type="spellEnd"/>
      <w:r w:rsidR="001122D8" w:rsidRPr="000C1B80">
        <w:t xml:space="preserve"> of the </w:t>
      </w:r>
      <w:proofErr w:type="spellStart"/>
      <w:r w:rsidR="001122D8" w:rsidRPr="000C1B80">
        <w:t>president</w:t>
      </w:r>
      <w:proofErr w:type="spellEnd"/>
      <w:r w:rsidR="00DF2FAE" w:rsidRPr="000C1B80">
        <w:t xml:space="preserve">, </w:t>
      </w:r>
      <w:r w:rsidR="009F51BB" w:rsidRPr="000C1B80">
        <w:t>elaboración</w:t>
      </w:r>
      <w:r w:rsidR="00DF2FAE" w:rsidRPr="000C1B80">
        <w:t xml:space="preserve"> propia</w:t>
      </w:r>
      <w:r w:rsidR="009F51BB">
        <w:t>.</w:t>
      </w:r>
    </w:p>
    <w:p w14:paraId="3A370291" w14:textId="77777777" w:rsidR="00767931" w:rsidRPr="000C1B80" w:rsidRDefault="00767931" w:rsidP="00D975AB">
      <w:pPr>
        <w:pStyle w:val="NotasAPA"/>
        <w:jc w:val="both"/>
      </w:pPr>
    </w:p>
    <w:p w14:paraId="2E9F4A71" w14:textId="5D1ECC5F" w:rsidR="00FB3D96" w:rsidRPr="000C1B80" w:rsidRDefault="00E33246" w:rsidP="00D975AB">
      <w:pPr>
        <w:jc w:val="both"/>
      </w:pPr>
      <w:r w:rsidRPr="000C1B80">
        <w:t xml:space="preserve">La participación de agricultura en términos del producto y del empleo fue </w:t>
      </w:r>
      <w:r w:rsidR="00330806" w:rsidRPr="000C1B80">
        <w:t>permanentemente</w:t>
      </w:r>
      <w:r w:rsidRPr="000C1B80">
        <w:t xml:space="preserve"> </w:t>
      </w:r>
      <w:r w:rsidR="00330806" w:rsidRPr="000C1B80">
        <w:t>descendentes</w:t>
      </w:r>
      <w:r w:rsidR="00301B1B" w:rsidRPr="000C1B80">
        <w:t xml:space="preserve"> La industria </w:t>
      </w:r>
      <w:r w:rsidR="00541D48" w:rsidRPr="000C1B80">
        <w:t>manufacturera</w:t>
      </w:r>
      <w:r w:rsidR="004F38A8" w:rsidRPr="000C1B80">
        <w:t xml:space="preserve"> ha sido la clave de la economía de </w:t>
      </w:r>
      <w:r w:rsidR="00D975AB" w:rsidRPr="000C1B80">
        <w:t>EE. UU.</w:t>
      </w:r>
    </w:p>
    <w:p w14:paraId="14381826" w14:textId="1E29C960" w:rsidR="00421A50" w:rsidRDefault="007C5AA2" w:rsidP="00D975AB">
      <w:pPr>
        <w:pStyle w:val="Ttulo3"/>
        <w:jc w:val="both"/>
      </w:pPr>
      <w:bookmarkStart w:id="28" w:name="_Toc91548318"/>
      <w:r>
        <w:t>Empleo, sal</w:t>
      </w:r>
      <w:r w:rsidR="00386695">
        <w:t>ario, inflación y distribución del ingreso</w:t>
      </w:r>
      <w:bookmarkEnd w:id="28"/>
    </w:p>
    <w:p w14:paraId="7C2EF1E9" w14:textId="40E36F7E" w:rsidR="00386695" w:rsidRDefault="00386695" w:rsidP="00D975AB">
      <w:pPr>
        <w:pStyle w:val="APAPrrafo"/>
        <w:ind w:firstLine="0"/>
        <w:jc w:val="both"/>
      </w:pPr>
      <w:r>
        <w:t xml:space="preserve">Pese al muy lento crecimiento </w:t>
      </w:r>
      <w:r w:rsidR="007664D5">
        <w:t xml:space="preserve">de la productividad </w:t>
      </w:r>
      <w:r w:rsidR="00AB56E0">
        <w:t>y a buena parte de la inversión, se ha concentrado en sectores improductivos usualmente más empleadores del trabajo.</w:t>
      </w:r>
      <w:r w:rsidR="00235D7B">
        <w:t xml:space="preserve"> La capacidad de absorción ocupacional del sistema no ha resultado precisamente espectacular. En términos gruesos, se observa cierta tendencia al aumento de la tasa de desocupación, fenómeno que también se puede visualizar en otros países del capitalismo desarrollado.</w:t>
      </w:r>
      <w:r w:rsidR="007D2D24">
        <w:t xml:space="preserve"> La tasa de desocupación estadounidense resulta considerablemente más elevada.</w:t>
      </w:r>
    </w:p>
    <w:p w14:paraId="49B736D8" w14:textId="34BC9DE7" w:rsidR="000B66E4" w:rsidRPr="00997CBA" w:rsidRDefault="000B66E4" w:rsidP="00D975AB">
      <w:pPr>
        <w:pStyle w:val="TITULOTablasyFiguras"/>
        <w:jc w:val="both"/>
        <w:rPr>
          <w:rFonts w:cs="Times New Roman"/>
          <w:b/>
          <w:bCs/>
          <w:i w:val="0"/>
          <w:iCs w:val="0"/>
          <w:color w:val="auto"/>
        </w:rPr>
      </w:pPr>
      <w:r w:rsidRPr="00997CBA">
        <w:rPr>
          <w:rFonts w:cs="Times New Roman"/>
          <w:b/>
          <w:bCs/>
          <w:i w:val="0"/>
          <w:iCs w:val="0"/>
          <w:color w:val="auto"/>
        </w:rPr>
        <w:t xml:space="preserve">Tabla </w:t>
      </w:r>
      <w:r w:rsidRPr="00997CBA">
        <w:rPr>
          <w:rFonts w:cs="Times New Roman"/>
          <w:b/>
          <w:bCs/>
          <w:i w:val="0"/>
          <w:iCs w:val="0"/>
          <w:color w:val="auto"/>
        </w:rPr>
        <w:fldChar w:fldCharType="begin"/>
      </w:r>
      <w:r w:rsidRPr="00997CBA">
        <w:rPr>
          <w:rFonts w:cs="Times New Roman"/>
          <w:b/>
          <w:bCs/>
          <w:i w:val="0"/>
          <w:iCs w:val="0"/>
          <w:color w:val="auto"/>
        </w:rPr>
        <w:instrText xml:space="preserve"> SEQ Tabla \* ARABIC </w:instrText>
      </w:r>
      <w:r w:rsidRPr="00997CBA">
        <w:rPr>
          <w:rFonts w:cs="Times New Roman"/>
          <w:b/>
          <w:bCs/>
          <w:i w:val="0"/>
          <w:iCs w:val="0"/>
          <w:color w:val="auto"/>
        </w:rPr>
        <w:fldChar w:fldCharType="separate"/>
      </w:r>
      <w:r w:rsidR="00383437">
        <w:rPr>
          <w:rFonts w:cs="Times New Roman"/>
          <w:b/>
          <w:bCs/>
          <w:i w:val="0"/>
          <w:iCs w:val="0"/>
          <w:noProof/>
          <w:color w:val="auto"/>
        </w:rPr>
        <w:t>2</w:t>
      </w:r>
      <w:r w:rsidRPr="00997CBA">
        <w:rPr>
          <w:rFonts w:cs="Times New Roman"/>
          <w:b/>
          <w:bCs/>
          <w:i w:val="0"/>
          <w:iCs w:val="0"/>
          <w:color w:val="auto"/>
        </w:rPr>
        <w:fldChar w:fldCharType="end"/>
      </w:r>
      <w:r w:rsidRPr="00997CBA">
        <w:rPr>
          <w:rFonts w:cs="Times New Roman"/>
          <w:b/>
          <w:bCs/>
          <w:i w:val="0"/>
          <w:iCs w:val="0"/>
          <w:color w:val="auto"/>
        </w:rPr>
        <w:t xml:space="preserve"> </w:t>
      </w:r>
    </w:p>
    <w:p w14:paraId="395C0F0F" w14:textId="309968B0" w:rsidR="000B66E4" w:rsidRPr="00997CBA" w:rsidRDefault="000B66E4" w:rsidP="00D975AB">
      <w:pPr>
        <w:pStyle w:val="TITULOTablasyFiguras"/>
        <w:jc w:val="both"/>
        <w:rPr>
          <w:rFonts w:cs="Times New Roman"/>
          <w:color w:val="auto"/>
        </w:rPr>
      </w:pPr>
      <w:r w:rsidRPr="00997CBA">
        <w:rPr>
          <w:rFonts w:cs="Times New Roman"/>
          <w:color w:val="auto"/>
        </w:rPr>
        <w:t>Tasa de desempleo (Promedio anual)</w:t>
      </w:r>
    </w:p>
    <w:tbl>
      <w:tblPr>
        <w:tblStyle w:val="TablasAPAseptimaedicion"/>
        <w:tblW w:w="8828" w:type="dxa"/>
        <w:tblInd w:w="699" w:type="dxa"/>
        <w:tblLook w:val="04A0" w:firstRow="1" w:lastRow="0" w:firstColumn="1" w:lastColumn="0" w:noHBand="0" w:noVBand="1"/>
      </w:tblPr>
      <w:tblGrid>
        <w:gridCol w:w="2207"/>
        <w:gridCol w:w="2207"/>
        <w:gridCol w:w="2207"/>
        <w:gridCol w:w="2207"/>
      </w:tblGrid>
      <w:tr w:rsidR="006220C0" w14:paraId="4BD43937" w14:textId="77777777" w:rsidTr="000B6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47DA27F" w14:textId="46E4D42E" w:rsidR="006220C0" w:rsidRPr="00FB3D96" w:rsidRDefault="000B66E4" w:rsidP="00D975AB">
            <w:pPr>
              <w:pStyle w:val="APAPrrafo"/>
              <w:ind w:firstLine="0"/>
              <w:jc w:val="both"/>
              <w:rPr>
                <w:b/>
              </w:rPr>
            </w:pPr>
            <w:r w:rsidRPr="00FB3D96">
              <w:rPr>
                <w:b/>
              </w:rPr>
              <w:t>País</w:t>
            </w:r>
          </w:p>
        </w:tc>
        <w:tc>
          <w:tcPr>
            <w:tcW w:w="2207" w:type="dxa"/>
          </w:tcPr>
          <w:p w14:paraId="42CFE017" w14:textId="26C015F4" w:rsidR="006220C0" w:rsidRPr="00FB3D96" w:rsidRDefault="006220C0" w:rsidP="00D975AB">
            <w:pPr>
              <w:pStyle w:val="APAPrrafo"/>
              <w:ind w:firstLine="0"/>
              <w:jc w:val="both"/>
              <w:cnfStyle w:val="100000000000" w:firstRow="1" w:lastRow="0" w:firstColumn="0" w:lastColumn="0" w:oddVBand="0" w:evenVBand="0" w:oddHBand="0" w:evenHBand="0" w:firstRowFirstColumn="0" w:firstRowLastColumn="0" w:lastRowFirstColumn="0" w:lastRowLastColumn="0"/>
              <w:rPr>
                <w:b/>
              </w:rPr>
            </w:pPr>
            <w:r w:rsidRPr="00FB3D96">
              <w:rPr>
                <w:b/>
              </w:rPr>
              <w:t>1963-</w:t>
            </w:r>
            <w:r w:rsidR="00B3349F" w:rsidRPr="00FB3D96">
              <w:rPr>
                <w:b/>
              </w:rPr>
              <w:t>1973</w:t>
            </w:r>
          </w:p>
        </w:tc>
        <w:tc>
          <w:tcPr>
            <w:tcW w:w="2207" w:type="dxa"/>
          </w:tcPr>
          <w:p w14:paraId="3BD4B928" w14:textId="4A2280CA" w:rsidR="006220C0" w:rsidRPr="00FB3D96" w:rsidRDefault="00B3349F" w:rsidP="00D975AB">
            <w:pPr>
              <w:pStyle w:val="APAPrrafo"/>
              <w:ind w:firstLine="0"/>
              <w:jc w:val="both"/>
              <w:cnfStyle w:val="100000000000" w:firstRow="1" w:lastRow="0" w:firstColumn="0" w:lastColumn="0" w:oddVBand="0" w:evenVBand="0" w:oddHBand="0" w:evenHBand="0" w:firstRowFirstColumn="0" w:firstRowLastColumn="0" w:lastRowFirstColumn="0" w:lastRowLastColumn="0"/>
              <w:rPr>
                <w:b/>
              </w:rPr>
            </w:pPr>
            <w:r w:rsidRPr="00FB3D96">
              <w:rPr>
                <w:b/>
              </w:rPr>
              <w:t>1974-1979</w:t>
            </w:r>
          </w:p>
        </w:tc>
        <w:tc>
          <w:tcPr>
            <w:tcW w:w="2207" w:type="dxa"/>
          </w:tcPr>
          <w:p w14:paraId="6AD01576" w14:textId="28C0243F" w:rsidR="006220C0" w:rsidRPr="00FB3D96" w:rsidRDefault="00B3349F" w:rsidP="00D975AB">
            <w:pPr>
              <w:pStyle w:val="APAPrrafo"/>
              <w:ind w:firstLine="0"/>
              <w:jc w:val="both"/>
              <w:cnfStyle w:val="100000000000" w:firstRow="1" w:lastRow="0" w:firstColumn="0" w:lastColumn="0" w:oddVBand="0" w:evenVBand="0" w:oddHBand="0" w:evenHBand="0" w:firstRowFirstColumn="0" w:firstRowLastColumn="0" w:lastRowFirstColumn="0" w:lastRowLastColumn="0"/>
              <w:rPr>
                <w:b/>
              </w:rPr>
            </w:pPr>
            <w:r w:rsidRPr="00FB3D96">
              <w:rPr>
                <w:b/>
              </w:rPr>
              <w:t>1980-1</w:t>
            </w:r>
            <w:r w:rsidR="00C44FE5" w:rsidRPr="00FB3D96">
              <w:rPr>
                <w:b/>
              </w:rPr>
              <w:t>986</w:t>
            </w:r>
          </w:p>
        </w:tc>
      </w:tr>
      <w:tr w:rsidR="006220C0" w14:paraId="3C782BEE" w14:textId="77777777" w:rsidTr="00D975AB">
        <w:trPr>
          <w:trHeight w:val="400"/>
        </w:trPr>
        <w:tc>
          <w:tcPr>
            <w:cnfStyle w:val="001000000000" w:firstRow="0" w:lastRow="0" w:firstColumn="1" w:lastColumn="0" w:oddVBand="0" w:evenVBand="0" w:oddHBand="0" w:evenHBand="0" w:firstRowFirstColumn="0" w:firstRowLastColumn="0" w:lastRowFirstColumn="0" w:lastRowLastColumn="0"/>
            <w:tcW w:w="2207" w:type="dxa"/>
          </w:tcPr>
          <w:p w14:paraId="455F45F1" w14:textId="7DB3CCBA" w:rsidR="006220C0" w:rsidRDefault="00D975AB" w:rsidP="00D975AB">
            <w:pPr>
              <w:pStyle w:val="APAPrrafo"/>
              <w:ind w:firstLine="0"/>
              <w:jc w:val="both"/>
            </w:pPr>
            <w:r>
              <w:t>EE. UU.</w:t>
            </w:r>
          </w:p>
        </w:tc>
        <w:tc>
          <w:tcPr>
            <w:tcW w:w="2207" w:type="dxa"/>
          </w:tcPr>
          <w:p w14:paraId="730B10B4" w14:textId="32B8B970" w:rsidR="006220C0" w:rsidRDefault="00C44FE5" w:rsidP="00D975AB">
            <w:pPr>
              <w:pStyle w:val="APAPrrafo"/>
              <w:ind w:firstLine="0"/>
              <w:jc w:val="both"/>
              <w:cnfStyle w:val="000000000000" w:firstRow="0" w:lastRow="0" w:firstColumn="0" w:lastColumn="0" w:oddVBand="0" w:evenVBand="0" w:oddHBand="0" w:evenHBand="0" w:firstRowFirstColumn="0" w:firstRowLastColumn="0" w:lastRowFirstColumn="0" w:lastRowLastColumn="0"/>
            </w:pPr>
            <w:r>
              <w:t>4.</w:t>
            </w:r>
            <w:r w:rsidR="000B66E4">
              <w:t>5</w:t>
            </w:r>
          </w:p>
        </w:tc>
        <w:tc>
          <w:tcPr>
            <w:tcW w:w="2207" w:type="dxa"/>
          </w:tcPr>
          <w:p w14:paraId="0A8CC7A6" w14:textId="1AC969F5" w:rsidR="006220C0" w:rsidRDefault="000B66E4" w:rsidP="00D975AB">
            <w:pPr>
              <w:pStyle w:val="APAPrrafo"/>
              <w:ind w:firstLine="0"/>
              <w:jc w:val="both"/>
              <w:cnfStyle w:val="000000000000" w:firstRow="0" w:lastRow="0" w:firstColumn="0" w:lastColumn="0" w:oddVBand="0" w:evenVBand="0" w:oddHBand="0" w:evenHBand="0" w:firstRowFirstColumn="0" w:firstRowLastColumn="0" w:lastRowFirstColumn="0" w:lastRowLastColumn="0"/>
            </w:pPr>
            <w:r>
              <w:t>6.7</w:t>
            </w:r>
          </w:p>
        </w:tc>
        <w:tc>
          <w:tcPr>
            <w:tcW w:w="2207" w:type="dxa"/>
          </w:tcPr>
          <w:p w14:paraId="55D3E154" w14:textId="67011BDF" w:rsidR="006220C0" w:rsidRDefault="000B66E4" w:rsidP="00D975AB">
            <w:pPr>
              <w:pStyle w:val="APAPrrafo"/>
              <w:ind w:firstLine="0"/>
              <w:jc w:val="both"/>
              <w:cnfStyle w:val="000000000000" w:firstRow="0" w:lastRow="0" w:firstColumn="0" w:lastColumn="0" w:oddVBand="0" w:evenVBand="0" w:oddHBand="0" w:evenHBand="0" w:firstRowFirstColumn="0" w:firstRowLastColumn="0" w:lastRowFirstColumn="0" w:lastRowLastColumn="0"/>
            </w:pPr>
            <w:r>
              <w:t>7.8</w:t>
            </w:r>
          </w:p>
        </w:tc>
      </w:tr>
    </w:tbl>
    <w:p w14:paraId="194C6F66" w14:textId="40E36F7E" w:rsidR="00767727" w:rsidRDefault="00767727" w:rsidP="00D975AB">
      <w:pPr>
        <w:pStyle w:val="APAPrrafo"/>
        <w:ind w:firstLine="0"/>
        <w:jc w:val="both"/>
      </w:pPr>
    </w:p>
    <w:p w14:paraId="24C60FF0" w14:textId="216B9C23" w:rsidR="00293D4C" w:rsidRPr="000C1B80" w:rsidRDefault="00293D4C" w:rsidP="00D975AB">
      <w:pPr>
        <w:pStyle w:val="APAPrrafo"/>
        <w:ind w:firstLine="0"/>
        <w:jc w:val="both"/>
      </w:pPr>
      <w:r>
        <w:t>En la primera parte de los 80, el problema ocupacional se agudizó, por ejemplo, en 1982 la tasa de desempleo llegó al medio punto 7%.</w:t>
      </w:r>
      <w:r w:rsidR="0070279B">
        <w:t xml:space="preserve"> Para luego </w:t>
      </w:r>
      <w:r w:rsidR="0026361D">
        <w:t>atemperar sin el segundo quinquenio, aunque con la crisis de 1990 1991 vuelve a empeorar. Entre 1980 1985 empleo total, subió de 1.5% anual entre. 1905 1,991.9% promedio anual.</w:t>
      </w:r>
    </w:p>
    <w:p w14:paraId="4778954D" w14:textId="49117515" w:rsidR="009101C9" w:rsidRPr="00E33246" w:rsidRDefault="009101C9" w:rsidP="64F402DB">
      <w:pPr>
        <w:pStyle w:val="APAPrrafo"/>
        <w:ind w:firstLine="0"/>
        <w:jc w:val="both"/>
        <w:rPr>
          <w:szCs w:val="24"/>
          <w:lang w:val="es-MX"/>
        </w:rPr>
      </w:pPr>
    </w:p>
    <w:p w14:paraId="5C53B7A6" w14:textId="7C08A03C" w:rsidR="00946D38" w:rsidRPr="00103100" w:rsidRDefault="00946D38" w:rsidP="00D975AB">
      <w:pPr>
        <w:pStyle w:val="Ttulo2"/>
        <w:jc w:val="both"/>
      </w:pPr>
      <w:bookmarkStart w:id="29" w:name="_Toc91548319"/>
      <w:r w:rsidRPr="00103100">
        <w:t xml:space="preserve">Periodo 1991 </w:t>
      </w:r>
      <w:r w:rsidR="00FC46BC">
        <w:t>–</w:t>
      </w:r>
      <w:r w:rsidR="16FC8E02">
        <w:t xml:space="preserve"> </w:t>
      </w:r>
      <w:r w:rsidRPr="00103100">
        <w:t>2010</w:t>
      </w:r>
      <w:bookmarkEnd w:id="29"/>
    </w:p>
    <w:p w14:paraId="63C01333" w14:textId="270BD772" w:rsidR="00723BF9" w:rsidRDefault="00723BF9" w:rsidP="00D975AB">
      <w:pPr>
        <w:pStyle w:val="APAPrrafo"/>
        <w:jc w:val="both"/>
        <w:rPr>
          <w:rFonts w:cs="Roboto"/>
          <w:lang w:val="es-MX"/>
        </w:rPr>
      </w:pPr>
      <w:r w:rsidRPr="6DF4FA6F">
        <w:rPr>
          <w:rFonts w:cs="Roboto"/>
          <w:lang w:val="es-MX"/>
        </w:rPr>
        <w:t xml:space="preserve">El crecimiento acumulativo de las exportaciones de los Estados Unidos durante 2000–2005, en comparación con el crecimiento de las exportaciones de otras economías de ingresos altos y otros exportadores importantes. Claramente, el crecimiento de las exportaciones estadounidenses a principios de la década de 2000 fue débil en relación con el crecimiento de las exportaciones en otras economías importantes. </w:t>
      </w:r>
    </w:p>
    <w:p w14:paraId="5AAD7DB7" w14:textId="270BD772" w:rsidR="00723BF9" w:rsidRPr="0061704D" w:rsidRDefault="00723BF9" w:rsidP="00D975AB">
      <w:pPr>
        <w:pStyle w:val="APAPrrafo"/>
        <w:jc w:val="both"/>
        <w:rPr>
          <w:rFonts w:cs="Roboto"/>
          <w:lang w:val="es-MX"/>
        </w:rPr>
      </w:pPr>
      <w:r w:rsidRPr="6DF4FA6F">
        <w:rPr>
          <w:rFonts w:cs="Roboto"/>
          <w:lang w:val="es-MX"/>
        </w:rPr>
        <w:t>Para ayudar a la inversión empresarial a recuperar este papel como impulsor clave del crecimiento, la Administración ha realizado grandes esfuerzos para alentar a las empresas a invertir en casa, a través de la política fiscal, la política crediticia y las inversiones públicas donde hacen que los Estados Unidos siga siendo un lugar atractivo para hacer negocios.</w:t>
      </w:r>
    </w:p>
    <w:p w14:paraId="4CBCCECA" w14:textId="77777777" w:rsidR="00723BF9" w:rsidRDefault="00723BF9" w:rsidP="00D975AB">
      <w:pPr>
        <w:pStyle w:val="APAPrrafo"/>
        <w:jc w:val="both"/>
        <w:rPr>
          <w:rFonts w:cs="Roboto"/>
          <w:lang w:val="es-MX"/>
        </w:rPr>
      </w:pPr>
      <w:r w:rsidRPr="7F837570">
        <w:rPr>
          <w:rFonts w:cs="Roboto"/>
          <w:lang w:val="es-MX"/>
        </w:rPr>
        <w:t xml:space="preserve">Asimismo, Bill Clinton durante su primer mandato de 1993-1997 propuso algunas reformas; donde, el 22 de septiembre de 1993 pronunció un importante discurso ante el Congreso sobre un plan de reforma del sistema de salud; el programa tenía como objetivo lograr la cobertura universal a través de un plan nacional de salud. </w:t>
      </w:r>
    </w:p>
    <w:p w14:paraId="2B7614BE" w14:textId="6D8BACAD" w:rsidR="00DA5312" w:rsidRPr="009B3030" w:rsidRDefault="00723BF9" w:rsidP="00A971C0">
      <w:pPr>
        <w:pStyle w:val="APAPrrafo"/>
        <w:jc w:val="both"/>
        <w:rPr>
          <w:rFonts w:cs="Roboto"/>
          <w:lang w:val="es-MX"/>
        </w:rPr>
      </w:pPr>
      <w:r w:rsidRPr="7F837570">
        <w:rPr>
          <w:rFonts w:cs="Roboto"/>
          <w:lang w:val="es-MX"/>
        </w:rPr>
        <w:t xml:space="preserve">Además, los autores </w:t>
      </w:r>
      <w:proofErr w:type="spellStart"/>
      <w:r w:rsidRPr="7F837570">
        <w:rPr>
          <w:rFonts w:cs="Roboto"/>
          <w:lang w:val="es-MX"/>
        </w:rPr>
        <w:t>Frankel</w:t>
      </w:r>
      <w:proofErr w:type="spellEnd"/>
      <w:r w:rsidRPr="7F837570">
        <w:rPr>
          <w:rFonts w:cs="Roboto"/>
          <w:lang w:val="es-MX"/>
        </w:rPr>
        <w:t xml:space="preserve"> y </w:t>
      </w:r>
      <w:proofErr w:type="spellStart"/>
      <w:r w:rsidRPr="7F837570">
        <w:rPr>
          <w:rFonts w:cs="Roboto"/>
          <w:lang w:val="es-MX"/>
        </w:rPr>
        <w:t>Orszag</w:t>
      </w:r>
      <w:proofErr w:type="spellEnd"/>
      <w:r w:rsidRPr="7F837570">
        <w:rPr>
          <w:rFonts w:cs="Roboto"/>
          <w:lang w:val="es-MX"/>
        </w:rPr>
        <w:t xml:space="preserve"> (2002), hacen referencia respecto a algunos de los factores explicativos que tuvieron que ver con el desempeño económico de Estados Unidos durante los años de mandato del presidente Bill Clinton.</w:t>
      </w:r>
    </w:p>
    <w:p w14:paraId="46347C6D" w14:textId="7AF96C6A" w:rsidR="00DA5312" w:rsidRPr="006714D9" w:rsidRDefault="00723BF9" w:rsidP="00A971C0">
      <w:pPr>
        <w:pStyle w:val="APAPrrafo"/>
        <w:jc w:val="both"/>
        <w:rPr>
          <w:rFonts w:cs="Roboto"/>
          <w:i/>
          <w:lang w:val="es-MX"/>
        </w:rPr>
      </w:pPr>
      <w:r w:rsidRPr="7F837570">
        <w:rPr>
          <w:rFonts w:cs="Roboto"/>
          <w:i/>
          <w:lang w:val="es-MX"/>
        </w:rPr>
        <w:t xml:space="preserve">En primer lugar, y conviene precisarlo cuanto antes, un poco de suerte. Por una parte, porque, hasta el año 1999, los precios del petróleo se mantuvieron relativamente bajos. Además, porque a partir de 1995, la conjunción de un dólar apreciado junto con la incipiente deflación en algunos países importantes como Japón, hicieron que resultara más fácil la contención de la inflación en </w:t>
      </w:r>
      <w:r w:rsidR="00281AE2" w:rsidRPr="7F837570">
        <w:rPr>
          <w:rFonts w:cs="Roboto"/>
          <w:i/>
          <w:lang w:val="es-MX"/>
        </w:rPr>
        <w:t>EE. UU</w:t>
      </w:r>
      <w:r w:rsidR="7F837570" w:rsidRPr="7F837570">
        <w:rPr>
          <w:rFonts w:cs="Roboto"/>
          <w:i/>
          <w:lang w:val="es-MX"/>
        </w:rPr>
        <w:t>.</w:t>
      </w:r>
      <w:r w:rsidRPr="7F837570">
        <w:rPr>
          <w:rFonts w:cs="Roboto"/>
          <w:i/>
          <w:lang w:val="es-MX"/>
        </w:rPr>
        <w:t xml:space="preserve"> Como segundo punto hay que referirse a la correcta </w:t>
      </w:r>
      <w:r w:rsidRPr="7F837570">
        <w:rPr>
          <w:rFonts w:cs="Roboto"/>
          <w:i/>
          <w:lang w:val="es-MX"/>
        </w:rPr>
        <w:lastRenderedPageBreak/>
        <w:t xml:space="preserve">mezcla de política económica llevada a cabo durante sus ocho años de mandato, básicamente una política económica consistente en una política fiscal contractiva asociada a una política monetaria expansiva llevada a cabo por la Fed. </w:t>
      </w:r>
    </w:p>
    <w:p w14:paraId="1D21FC93" w14:textId="02498491" w:rsidR="308DF756" w:rsidRPr="00997CBA" w:rsidRDefault="00723BF9" w:rsidP="00EE6FE0">
      <w:pPr>
        <w:pStyle w:val="APAPrrafo"/>
        <w:jc w:val="both"/>
        <w:rPr>
          <w:rFonts w:eastAsia="Calibri Light"/>
          <w:szCs w:val="24"/>
          <w:lang w:val="es-MX"/>
        </w:rPr>
      </w:pPr>
      <w:r w:rsidRPr="00997CBA">
        <w:rPr>
          <w:rFonts w:cs="Roboto"/>
          <w:szCs w:val="24"/>
          <w:lang w:val="es-MX"/>
        </w:rPr>
        <w:t>Por consiguiente, en ese sentido se produjo junto con la contención del gasto, y también gracias al crecimiento económico sostenido y al boom de la Bolsa de Valores que produjo importantes ingresos fiscales en concepto de plusvalías, el comienzo del fin del período de déficits fiscales y el comienzo de un breve período de superávits fiscales.</w:t>
      </w:r>
    </w:p>
    <w:p w14:paraId="1DAAED4D" w14:textId="581686FD" w:rsidR="308DF756" w:rsidRPr="00997CBA" w:rsidRDefault="308DF756" w:rsidP="00EE6FE0">
      <w:pPr>
        <w:pStyle w:val="APAPrrafo"/>
        <w:jc w:val="both"/>
        <w:rPr>
          <w:rFonts w:eastAsia="Calibri Light"/>
          <w:szCs w:val="24"/>
          <w:lang w:val="es-MX"/>
        </w:rPr>
      </w:pPr>
      <w:r w:rsidRPr="00997CBA">
        <w:rPr>
          <w:lang w:val="es-MX"/>
        </w:rPr>
        <w:t xml:space="preserve">La política monetaria ha tenido un papel central en la salida de la economía de </w:t>
      </w:r>
      <w:r w:rsidR="00E54DC0" w:rsidRPr="00997CBA">
        <w:rPr>
          <w:lang w:val="es-MX"/>
        </w:rPr>
        <w:t>EE. UU.</w:t>
      </w:r>
      <w:r w:rsidRPr="00997CBA">
        <w:rPr>
          <w:lang w:val="es-MX"/>
        </w:rPr>
        <w:t xml:space="preserve"> </w:t>
      </w:r>
      <w:r w:rsidR="00FC46BC" w:rsidRPr="00997CBA">
        <w:rPr>
          <w:lang w:val="es-MX"/>
        </w:rPr>
        <w:t>T</w:t>
      </w:r>
      <w:r w:rsidRPr="00997CBA">
        <w:rPr>
          <w:lang w:val="es-MX"/>
        </w:rPr>
        <w:t>ras la crisis. Durante la recesión inicial la Reserva Federal (FED) puso en marcha una serie de programas de rescate extraordinarios, seguidos de importantes medidas de estímulo no convencionales durante la recuperación, t</w:t>
      </w:r>
      <w:r w:rsidRPr="00997CBA">
        <w:rPr>
          <w:rFonts w:eastAsia="Roboto" w:cs="Roboto"/>
          <w:szCs w:val="24"/>
          <w:lang w:val="es-MX"/>
        </w:rPr>
        <w:t>ras situar la tasa de interés de referencia en el límite inferior efectivo (0 % - 0,25%) en diciembre de 2008, la Reserva Federal puso en marcha una serie de programas y mecanismos de apoyo al funcionamiento de los mercados financieros, combinados con medidas orientadas al rescate de ese sector.</w:t>
      </w:r>
    </w:p>
    <w:p w14:paraId="240BDAFF" w14:textId="1651320F" w:rsidR="308DF756" w:rsidRPr="00997CBA" w:rsidRDefault="308DF756" w:rsidP="00EE6FE0">
      <w:pPr>
        <w:pStyle w:val="APAPrrafo"/>
        <w:jc w:val="both"/>
        <w:rPr>
          <w:lang w:val="es-MX"/>
        </w:rPr>
      </w:pPr>
      <w:r w:rsidRPr="00997CBA">
        <w:rPr>
          <w:lang w:val="es-MX"/>
        </w:rPr>
        <w:t>En materia de política fiscal, el primero de los paquetes fiscales se aprobó e implementó en el primer trimestre de 2008, mediante un conjunto de medidas de estímulo fiscal, por valor de 1,2 % del PIB, orientado fundamentalmente a devoluciones impositivas a individuos y empresas. El plan benefició a más de cien millones de personas y tuvo un impacto positivo sobre la economía en ese año.</w:t>
      </w:r>
    </w:p>
    <w:p w14:paraId="7DE2C5AC" w14:textId="1651320F" w:rsidR="00DA5312" w:rsidRPr="00997CBA" w:rsidRDefault="308DF756" w:rsidP="00EE6FE0">
      <w:pPr>
        <w:pStyle w:val="APAPrrafo"/>
        <w:jc w:val="both"/>
        <w:rPr>
          <w:lang w:val="es-MX"/>
        </w:rPr>
      </w:pPr>
      <w:r w:rsidRPr="00997CBA">
        <w:rPr>
          <w:lang w:val="es-MX"/>
        </w:rPr>
        <w:t xml:space="preserve">En febrero de 2009, el presidente Obama promulgó un segundo paquete de estímulo económico, la American </w:t>
      </w:r>
      <w:proofErr w:type="spellStart"/>
      <w:r w:rsidRPr="00997CBA">
        <w:rPr>
          <w:lang w:val="es-MX"/>
        </w:rPr>
        <w:t>Recovery</w:t>
      </w:r>
      <w:proofErr w:type="spellEnd"/>
      <w:r w:rsidRPr="00997CBA">
        <w:rPr>
          <w:lang w:val="es-MX"/>
        </w:rPr>
        <w:t xml:space="preserve"> and </w:t>
      </w:r>
      <w:proofErr w:type="spellStart"/>
      <w:r w:rsidRPr="00997CBA">
        <w:rPr>
          <w:lang w:val="es-MX"/>
        </w:rPr>
        <w:t>Reinvestment</w:t>
      </w:r>
      <w:proofErr w:type="spellEnd"/>
      <w:r w:rsidRPr="00997CBA">
        <w:rPr>
          <w:lang w:val="es-MX"/>
        </w:rPr>
        <w:t xml:space="preserve"> </w:t>
      </w:r>
      <w:proofErr w:type="spellStart"/>
      <w:r w:rsidRPr="00997CBA">
        <w:rPr>
          <w:lang w:val="es-MX"/>
        </w:rPr>
        <w:t>Act</w:t>
      </w:r>
      <w:proofErr w:type="spellEnd"/>
      <w:r w:rsidRPr="00997CBA">
        <w:rPr>
          <w:lang w:val="es-MX"/>
        </w:rPr>
        <w:t xml:space="preserve"> (Ley de Recuperación y Reinversión), que combinaba, a partes iguales, recortes de impuestos, nuevo gasto (prestaciones de desempleo e infraestructura) y ayuda a los Gobiernos estatales y locales.</w:t>
      </w:r>
    </w:p>
    <w:p w14:paraId="6552B43D" w14:textId="77777777" w:rsidR="000C62D5" w:rsidRPr="00997CBA" w:rsidRDefault="000C62D5" w:rsidP="00EE6FE0">
      <w:pPr>
        <w:pStyle w:val="APAPrrafo"/>
        <w:jc w:val="both"/>
        <w:rPr>
          <w:rFonts w:cs="Times New Roman"/>
          <w:szCs w:val="24"/>
          <w:lang w:val="es-MX"/>
        </w:rPr>
      </w:pPr>
      <w:r w:rsidRPr="00997CBA">
        <w:rPr>
          <w:rFonts w:cs="Times New Roman"/>
          <w:szCs w:val="24"/>
          <w:lang w:val="es-MX"/>
        </w:rPr>
        <w:lastRenderedPageBreak/>
        <w:t>Asimismo, debemos recordar que en el año 2008 estados unidos ha tenido una crisis financiera, la mayor desde la gran depresión del 1929, y está crisis no solamente afecto a su economía sino también a países de la unión europea y otros con quienes mantenía una relación comercial.</w:t>
      </w:r>
    </w:p>
    <w:p w14:paraId="30F16DD2" w14:textId="24738F04" w:rsidR="00E54DC0" w:rsidRPr="00E54DC0" w:rsidRDefault="000C62D5" w:rsidP="00997CBA">
      <w:pPr>
        <w:pStyle w:val="APAPrrafo"/>
        <w:jc w:val="both"/>
        <w:rPr>
          <w:lang w:val="es-MX"/>
        </w:rPr>
      </w:pPr>
      <w:r w:rsidRPr="00997CBA">
        <w:rPr>
          <w:rFonts w:cs="Times New Roman"/>
          <w:szCs w:val="24"/>
          <w:lang w:val="es-MX"/>
        </w:rPr>
        <w:t xml:space="preserve"> La crisis de produjo cuando empezaron a caer los precios de los bienes raíces, al incumplir los deudores con los pagos de sus hipotecas, en su mayoría, de baja calidad crediticia (</w:t>
      </w:r>
      <w:proofErr w:type="spellStart"/>
      <w:r w:rsidRPr="00997CBA">
        <w:rPr>
          <w:rFonts w:cs="Times New Roman"/>
          <w:i/>
          <w:iCs/>
          <w:szCs w:val="24"/>
          <w:lang w:val="es-MX"/>
        </w:rPr>
        <w:t>subprime</w:t>
      </w:r>
      <w:proofErr w:type="spellEnd"/>
      <w:r w:rsidRPr="00997CBA">
        <w:rPr>
          <w:rFonts w:cs="Times New Roman"/>
          <w:szCs w:val="24"/>
          <w:lang w:val="es-MX"/>
        </w:rPr>
        <w:t>), el castillo de naipes empezó a derrumbarse (Lane, 2013)</w:t>
      </w:r>
    </w:p>
    <w:p w14:paraId="445EA4B2" w14:textId="4AED1BA1" w:rsidR="00946D38" w:rsidRPr="00E54DC0" w:rsidRDefault="00946D38" w:rsidP="00D975AB">
      <w:pPr>
        <w:pStyle w:val="Ttulo2"/>
        <w:jc w:val="both"/>
        <w:rPr>
          <w:rFonts w:eastAsia="Calibri Light"/>
        </w:rPr>
      </w:pPr>
      <w:bookmarkStart w:id="30" w:name="_Toc91548320"/>
      <w:r w:rsidRPr="00103100">
        <w:t xml:space="preserve">Periodo 2011 </w:t>
      </w:r>
      <w:r w:rsidR="00FC46BC">
        <w:t>–</w:t>
      </w:r>
      <w:r w:rsidR="662BF274">
        <w:t xml:space="preserve"> </w:t>
      </w:r>
      <w:r w:rsidRPr="00103100">
        <w:t>2015</w:t>
      </w:r>
      <w:bookmarkEnd w:id="30"/>
    </w:p>
    <w:p w14:paraId="1A26D244" w14:textId="77777777" w:rsidR="00391C35" w:rsidRPr="00997CBA" w:rsidRDefault="00391C35" w:rsidP="00EE6FE0">
      <w:pPr>
        <w:pStyle w:val="APAPrrafo"/>
        <w:jc w:val="both"/>
        <w:rPr>
          <w:rFonts w:cs="Times New Roman"/>
          <w:szCs w:val="24"/>
          <w:lang w:val="es-MX"/>
        </w:rPr>
      </w:pPr>
      <w:r w:rsidRPr="00997CBA">
        <w:rPr>
          <w:rFonts w:cs="Times New Roman"/>
          <w:szCs w:val="24"/>
          <w:lang w:val="es-MX"/>
        </w:rPr>
        <w:t xml:space="preserve">La economía de estados unidos en el periodo 2011-2015 aún no se había recuperado de los efectos ocasionados por la crisis financiera del 2008-2009. </w:t>
      </w:r>
    </w:p>
    <w:p w14:paraId="5E5D281C" w14:textId="77777777" w:rsidR="00391C35" w:rsidRPr="00997CBA" w:rsidRDefault="00391C35" w:rsidP="00EE6FE0">
      <w:pPr>
        <w:pStyle w:val="APAPrrafo"/>
        <w:jc w:val="both"/>
        <w:rPr>
          <w:rFonts w:cs="Times New Roman"/>
          <w:szCs w:val="24"/>
          <w:lang w:val="es-MX"/>
        </w:rPr>
      </w:pPr>
      <w:r w:rsidRPr="00997CBA">
        <w:rPr>
          <w:rFonts w:cs="Times New Roman"/>
          <w:szCs w:val="24"/>
          <w:lang w:val="es-MX"/>
        </w:rPr>
        <w:t>Ahora, si uno revisa la información que hubo después de seis años de la crisis financiera en estados unidos, la recuperación de la económica de Estados Unidos fue muy débil que cualquier otra de la época de la posguerra. Además, como señalan algunos especialistas del Fondo Monetario Internacional es que el crecimiento económico de Estados Unidos ha decepcionado a los agentes económicos una y otra vez, y este ha sido golpeado por cierres del gobierno y peleas por el tope de la deuda.</w:t>
      </w:r>
    </w:p>
    <w:p w14:paraId="36D896DC" w14:textId="77777777" w:rsidR="00391C35" w:rsidRPr="00997CBA" w:rsidRDefault="00391C35" w:rsidP="00EE6FE0">
      <w:pPr>
        <w:pStyle w:val="APAPrrafo"/>
        <w:jc w:val="both"/>
        <w:rPr>
          <w:rFonts w:cs="Times New Roman"/>
          <w:b/>
          <w:szCs w:val="24"/>
          <w:lang w:val="es-MX"/>
        </w:rPr>
      </w:pPr>
      <w:r w:rsidRPr="00997CBA">
        <w:rPr>
          <w:rFonts w:cs="Times New Roman"/>
          <w:szCs w:val="24"/>
          <w:lang w:val="es-MX"/>
        </w:rPr>
        <w:t xml:space="preserve">Según </w:t>
      </w:r>
      <w:proofErr w:type="spellStart"/>
      <w:r w:rsidRPr="00997CBA">
        <w:rPr>
          <w:rFonts w:cs="Times New Roman"/>
          <w:szCs w:val="24"/>
          <w:lang w:val="es-MX"/>
        </w:rPr>
        <w:t>Igan</w:t>
      </w:r>
      <w:proofErr w:type="spellEnd"/>
      <w:r w:rsidRPr="00997CBA">
        <w:rPr>
          <w:rFonts w:cs="Times New Roman"/>
          <w:szCs w:val="24"/>
          <w:lang w:val="es-MX"/>
        </w:rPr>
        <w:t xml:space="preserve"> (2014), para frenar el declive del crecimiento potencial, es crucial que el gobierno y el congreso de Estados Unidos estén dispuestos a adoptar un programa de medidas que alienten la inversión productiva y la innovación, reviertan la caída del aumento de la productividad y amplíen la oferta de mano de obra.</w:t>
      </w:r>
    </w:p>
    <w:p w14:paraId="2E2043D9" w14:textId="77777777" w:rsidR="00391C35" w:rsidRPr="00997CBA" w:rsidRDefault="00391C35" w:rsidP="00EE6FE0">
      <w:pPr>
        <w:pStyle w:val="APAPrrafo"/>
        <w:jc w:val="both"/>
        <w:rPr>
          <w:rFonts w:cs="Times New Roman"/>
          <w:szCs w:val="24"/>
          <w:lang w:val="es-MX"/>
        </w:rPr>
      </w:pPr>
      <w:r w:rsidRPr="00997CBA">
        <w:rPr>
          <w:rFonts w:cs="Times New Roman"/>
          <w:szCs w:val="24"/>
          <w:lang w:val="es-MX"/>
        </w:rPr>
        <w:t xml:space="preserve">Asimismo, </w:t>
      </w:r>
      <w:proofErr w:type="spellStart"/>
      <w:r w:rsidRPr="00997CBA">
        <w:rPr>
          <w:rFonts w:cs="Times New Roman"/>
          <w:szCs w:val="24"/>
          <w:lang w:val="es-MX"/>
        </w:rPr>
        <w:t>Igan</w:t>
      </w:r>
      <w:proofErr w:type="spellEnd"/>
      <w:r w:rsidRPr="00997CBA">
        <w:rPr>
          <w:rFonts w:cs="Times New Roman"/>
          <w:szCs w:val="24"/>
          <w:lang w:val="es-MX"/>
        </w:rPr>
        <w:t xml:space="preserve"> (2014) señala una lista de cinco prioridades o reformas que deben realizarse para lograr ese objetivo:</w:t>
      </w:r>
    </w:p>
    <w:p w14:paraId="26D7B214" w14:textId="77777777" w:rsidR="00391C35" w:rsidRPr="00997CBA" w:rsidRDefault="00391C35" w:rsidP="00EE6FE0">
      <w:pPr>
        <w:pStyle w:val="APAPrrafo"/>
        <w:numPr>
          <w:ilvl w:val="0"/>
          <w:numId w:val="27"/>
        </w:numPr>
        <w:jc w:val="both"/>
        <w:rPr>
          <w:rFonts w:cs="Times New Roman"/>
          <w:szCs w:val="24"/>
          <w:lang w:val="es-MX"/>
        </w:rPr>
      </w:pPr>
      <w:r w:rsidRPr="00997CBA">
        <w:rPr>
          <w:rFonts w:cs="Times New Roman"/>
          <w:szCs w:val="24"/>
          <w:lang w:val="es-MX"/>
        </w:rPr>
        <w:lastRenderedPageBreak/>
        <w:t>Inversión en infraestructura para revertir la tendencia descendente de la cantidad y la calidad del capital público en Estados Unidos.</w:t>
      </w:r>
    </w:p>
    <w:p w14:paraId="3BD75F5D" w14:textId="77777777" w:rsidR="00391C35" w:rsidRPr="00997CBA" w:rsidRDefault="00391C35" w:rsidP="00EE6FE0">
      <w:pPr>
        <w:pStyle w:val="APAPrrafo"/>
        <w:numPr>
          <w:ilvl w:val="0"/>
          <w:numId w:val="27"/>
        </w:numPr>
        <w:jc w:val="both"/>
        <w:rPr>
          <w:rFonts w:cs="Times New Roman"/>
          <w:szCs w:val="24"/>
          <w:lang w:val="es-MX"/>
        </w:rPr>
      </w:pPr>
      <w:r w:rsidRPr="00997CBA">
        <w:rPr>
          <w:rFonts w:cs="Times New Roman"/>
          <w:szCs w:val="24"/>
          <w:lang w:val="es-MX"/>
        </w:rPr>
        <w:t>Reforma tributaria para simplificar el código, ampliar la base y reducir las tasas marginales, sobre todo del impuesto sobre la renta de las sociedades.</w:t>
      </w:r>
    </w:p>
    <w:p w14:paraId="5072522B" w14:textId="77777777" w:rsidR="00391C35" w:rsidRPr="00997CBA" w:rsidRDefault="00391C35" w:rsidP="00EE6FE0">
      <w:pPr>
        <w:pStyle w:val="APAPrrafo"/>
        <w:numPr>
          <w:ilvl w:val="0"/>
          <w:numId w:val="27"/>
        </w:numPr>
        <w:jc w:val="both"/>
        <w:rPr>
          <w:rFonts w:cs="Times New Roman"/>
          <w:szCs w:val="24"/>
          <w:lang w:val="es-MX"/>
        </w:rPr>
      </w:pPr>
      <w:r w:rsidRPr="00997CBA">
        <w:rPr>
          <w:rFonts w:cs="Times New Roman"/>
          <w:szCs w:val="24"/>
          <w:lang w:val="es-MX"/>
        </w:rPr>
        <w:t>Promoción de la innovación y mejora de los resultados educativos restituyendo el crédito impositivo por investigación y desarrollo, fomentando y financiando la educación en la primera infancia, y proporcionando más respaldo a los programas dedicados a las ciencias, la tecnología, la ingeniería y las matemáticas.</w:t>
      </w:r>
    </w:p>
    <w:p w14:paraId="4CC71E3A" w14:textId="77777777" w:rsidR="00391C35" w:rsidRPr="00997CBA" w:rsidRDefault="00391C35" w:rsidP="00EE6FE0">
      <w:pPr>
        <w:pStyle w:val="APAPrrafo"/>
        <w:numPr>
          <w:ilvl w:val="0"/>
          <w:numId w:val="27"/>
        </w:numPr>
        <w:jc w:val="both"/>
        <w:rPr>
          <w:rFonts w:cs="Times New Roman"/>
          <w:szCs w:val="24"/>
          <w:lang w:val="es-MX"/>
        </w:rPr>
      </w:pPr>
      <w:r w:rsidRPr="00997CBA">
        <w:rPr>
          <w:rFonts w:cs="Times New Roman"/>
          <w:szCs w:val="24"/>
          <w:lang w:val="es-MX"/>
        </w:rPr>
        <w:t>Reforma inmigratoria integral y basada en las aptitudes para mantener una fuerza laboral que responda a las necesidades de los empleadores ofreciéndoles trabajadores sumamente preparados e innovadores.</w:t>
      </w:r>
    </w:p>
    <w:p w14:paraId="0DDF7269" w14:textId="77777777" w:rsidR="00391C35" w:rsidRPr="00997CBA" w:rsidRDefault="00391C35" w:rsidP="00EE6FE0">
      <w:pPr>
        <w:pStyle w:val="APAPrrafo"/>
        <w:numPr>
          <w:ilvl w:val="0"/>
          <w:numId w:val="27"/>
        </w:numPr>
        <w:jc w:val="both"/>
        <w:rPr>
          <w:rFonts w:cs="Times New Roman"/>
          <w:szCs w:val="24"/>
          <w:lang w:val="es-MX"/>
        </w:rPr>
      </w:pPr>
      <w:r w:rsidRPr="00997CBA">
        <w:rPr>
          <w:rFonts w:cs="Times New Roman"/>
          <w:szCs w:val="24"/>
          <w:lang w:val="es-MX"/>
        </w:rPr>
        <w:t>Políticas laborales activas que mejoren los programas de capacitación, brinden una asistencia más eficaz en la búsqueda de empleo, ofrezcan mejores prestaciones familiares (incluido el cuidado de los niños), hagan extensivo el crédito impositivo por ingreso del trabajo a los jóvenes para promover el empleo, modifiquen el programa de seguro por discapacidad para que el empleo a tiempo parcial no implique una pérdida de las prestaciones, y brinden incentivos a quienes contraten a los afectados por el desempleo a largo plazo.</w:t>
      </w:r>
    </w:p>
    <w:p w14:paraId="35A5B237" w14:textId="5A461675" w:rsidR="236F5BA1" w:rsidRPr="00997CBA" w:rsidRDefault="00391C35" w:rsidP="00EE6FE0">
      <w:pPr>
        <w:pStyle w:val="APAPrrafo"/>
        <w:jc w:val="both"/>
        <w:rPr>
          <w:rFonts w:cs="Times New Roman"/>
          <w:lang w:val="es-MX"/>
        </w:rPr>
      </w:pPr>
      <w:r w:rsidRPr="00997CBA">
        <w:rPr>
          <w:rFonts w:cs="Times New Roman"/>
          <w:lang w:val="es-MX"/>
        </w:rPr>
        <w:t xml:space="preserve">Como se señala en la lista 5 prioridades muchas de estas políticas tienen un precio, con la destacada excepción de la reforma inmigratoria, que probablemente produciría una pequeña reducción de los déficits fiscales. Sin embargo, el costo global no es tan grande: según sus estimaciones de </w:t>
      </w:r>
      <w:proofErr w:type="spellStart"/>
      <w:r w:rsidRPr="00997CBA">
        <w:rPr>
          <w:rFonts w:cs="Times New Roman"/>
          <w:lang w:val="es-MX"/>
        </w:rPr>
        <w:t>Igan</w:t>
      </w:r>
      <w:proofErr w:type="spellEnd"/>
      <w:r w:rsidRPr="00997CBA">
        <w:rPr>
          <w:rFonts w:cs="Times New Roman"/>
          <w:lang w:val="es-MX"/>
        </w:rPr>
        <w:t xml:space="preserve"> (2014), rondaría ⅓% del PIB por año en los 2–3 próximos años. Pero parte </w:t>
      </w:r>
      <w:r w:rsidRPr="00997CBA">
        <w:rPr>
          <w:rFonts w:cs="Times New Roman"/>
          <w:lang w:val="es-MX"/>
        </w:rPr>
        <w:lastRenderedPageBreak/>
        <w:t>de ese costo fiscal se vería compensado por la aceleración del crecimiento impulsada por estas políticas. En circunstancias ideales, estas medidas irían acompañadas de un plan de consolidación fiscal a mediano plazo más amplio y muy necesario.</w:t>
      </w:r>
    </w:p>
    <w:p w14:paraId="2C2F83D6" w14:textId="7B96483C" w:rsidR="00946D38" w:rsidRPr="00997CBA" w:rsidRDefault="308DF756" w:rsidP="00EE6FE0">
      <w:pPr>
        <w:pStyle w:val="APAPrrafo"/>
        <w:jc w:val="both"/>
        <w:rPr>
          <w:rFonts w:eastAsia="Calibri Light"/>
        </w:rPr>
      </w:pPr>
      <w:r w:rsidRPr="00997CBA">
        <w:rPr>
          <w:rFonts w:eastAsia="Roboto" w:cs="Roboto"/>
        </w:rPr>
        <w:t>Según el BCE</w:t>
      </w:r>
      <w:r w:rsidR="5C655591" w:rsidRPr="00997CBA">
        <w:rPr>
          <w:rFonts w:eastAsia="Roboto" w:cs="Roboto"/>
        </w:rPr>
        <w:t xml:space="preserve"> (2018</w:t>
      </w:r>
      <w:r w:rsidR="747E9EB5" w:rsidRPr="00997CBA">
        <w:rPr>
          <w:rFonts w:eastAsia="Roboto" w:cs="Roboto"/>
        </w:rPr>
        <w:t>),</w:t>
      </w:r>
      <w:r w:rsidRPr="00997CBA">
        <w:rPr>
          <w:rFonts w:eastAsia="Roboto" w:cs="Roboto"/>
        </w:rPr>
        <w:t xml:space="preserve"> El paso de la presidencia de Barack Obama (2009-2016) a la de Donald Trump, en enero de 2017, ha supuesto un giro radical en la orientación política de </w:t>
      </w:r>
      <w:proofErr w:type="gramStart"/>
      <w:r w:rsidRPr="00997CBA">
        <w:rPr>
          <w:rFonts w:eastAsia="Roboto" w:cs="Roboto"/>
        </w:rPr>
        <w:t>EE UU</w:t>
      </w:r>
      <w:proofErr w:type="gramEnd"/>
      <w:r w:rsidRPr="00997CBA">
        <w:rPr>
          <w:rFonts w:eastAsia="Roboto" w:cs="Roboto"/>
        </w:rPr>
        <w:t>, en general, y en las políticas económicas, como la fiscal, la energética, la comercial y la migratoria, en particular.</w:t>
      </w:r>
      <w:r w:rsidR="236F5BA1" w:rsidRPr="00997CBA">
        <w:rPr>
          <w:rFonts w:eastAsia="Roboto" w:cs="Roboto"/>
        </w:rPr>
        <w:t xml:space="preserve"> </w:t>
      </w:r>
    </w:p>
    <w:p w14:paraId="2E27B9BC" w14:textId="78F181E0" w:rsidR="00946D38" w:rsidRPr="00997CBA" w:rsidRDefault="308DF756" w:rsidP="00EE6FE0">
      <w:pPr>
        <w:pStyle w:val="APAPrrafo"/>
        <w:jc w:val="both"/>
        <w:rPr>
          <w:rFonts w:eastAsia="Calibri Light"/>
        </w:rPr>
      </w:pPr>
      <w:r w:rsidRPr="00997CBA">
        <w:rPr>
          <w:rFonts w:eastAsia="Roboto" w:cs="Roboto"/>
        </w:rPr>
        <w:t>Por otra parte, durante el periodo 2010</w:t>
      </w:r>
      <w:r w:rsidR="1D5B1140" w:rsidRPr="00997CBA">
        <w:rPr>
          <w:rFonts w:eastAsia="Roboto" w:cs="Roboto"/>
        </w:rPr>
        <w:t xml:space="preserve"> </w:t>
      </w:r>
      <w:r w:rsidR="00FC46BC" w:rsidRPr="00997CBA">
        <w:rPr>
          <w:rFonts w:eastAsia="Roboto" w:cs="Roboto"/>
        </w:rPr>
        <w:t>–</w:t>
      </w:r>
      <w:r w:rsidR="1D5B1140" w:rsidRPr="00997CBA">
        <w:rPr>
          <w:rFonts w:eastAsia="Roboto" w:cs="Roboto"/>
        </w:rPr>
        <w:t xml:space="preserve"> </w:t>
      </w:r>
      <w:r w:rsidRPr="00997CBA">
        <w:rPr>
          <w:rFonts w:eastAsia="Roboto" w:cs="Roboto"/>
        </w:rPr>
        <w:t>2017 se produjeron cambios relevantes en la composición de la actividad productiva en EE UU.</w:t>
      </w:r>
    </w:p>
    <w:p w14:paraId="2FFABE02" w14:textId="2097E31F" w:rsidR="00946D38" w:rsidRPr="00997CBA" w:rsidRDefault="308DF756" w:rsidP="00EE6FE0">
      <w:pPr>
        <w:pStyle w:val="APAPrrafo"/>
        <w:jc w:val="both"/>
        <w:rPr>
          <w:rFonts w:eastAsia="Calibri Light"/>
        </w:rPr>
      </w:pPr>
      <w:r w:rsidRPr="00997CBA">
        <w:rPr>
          <w:rFonts w:eastAsia="Roboto" w:cs="Roboto"/>
        </w:rPr>
        <w:t>En septiembre de 2014, la Reserva Federal revisó sus principios de normalización monetaria, tratando de prevenir nuevos episodios de turbulencias financieras mediante una estrategia de comunicación más clara y precisa</w:t>
      </w:r>
      <w:r w:rsidR="3BC3E7C6" w:rsidRPr="00997CBA">
        <w:rPr>
          <w:rFonts w:eastAsia="Roboto" w:cs="Roboto"/>
        </w:rPr>
        <w:t>.</w:t>
      </w:r>
    </w:p>
    <w:p w14:paraId="084B6905" w14:textId="4BF9A0A1" w:rsidR="00946D38" w:rsidRPr="00997CBA" w:rsidRDefault="5C6EA3DD" w:rsidP="00EE6FE0">
      <w:pPr>
        <w:pStyle w:val="APAPrrafo"/>
        <w:jc w:val="both"/>
      </w:pPr>
      <w:r w:rsidRPr="00997CBA">
        <w:t xml:space="preserve">Según el </w:t>
      </w:r>
      <w:r w:rsidR="1E8F141E" w:rsidRPr="00997CBA">
        <w:t xml:space="preserve">Departamento de </w:t>
      </w:r>
      <w:r w:rsidRPr="00997CBA">
        <w:t xml:space="preserve">educación </w:t>
      </w:r>
      <w:r w:rsidR="77ADED4A" w:rsidRPr="00997CBA">
        <w:t>(</w:t>
      </w:r>
      <w:r w:rsidR="6BC5EFBC" w:rsidRPr="00997CBA">
        <w:t>2017</w:t>
      </w:r>
      <w:r w:rsidR="53BE4711" w:rsidRPr="00997CBA">
        <w:t>),</w:t>
      </w:r>
      <w:r w:rsidRPr="00997CBA">
        <w:t xml:space="preserve"> La</w:t>
      </w:r>
      <w:r w:rsidR="524BBA48" w:rsidRPr="00997CBA">
        <w:t xml:space="preserve"> Ley Cada Estudiante Triunfa (</w:t>
      </w:r>
      <w:proofErr w:type="spellStart"/>
      <w:r w:rsidR="524BBA48" w:rsidRPr="00997CBA">
        <w:t>Every</w:t>
      </w:r>
      <w:proofErr w:type="spellEnd"/>
      <w:r w:rsidR="524BBA48" w:rsidRPr="00997CBA">
        <w:t xml:space="preserve"> </w:t>
      </w:r>
      <w:proofErr w:type="spellStart"/>
      <w:r w:rsidR="524BBA48" w:rsidRPr="00997CBA">
        <w:t>Student</w:t>
      </w:r>
      <w:proofErr w:type="spellEnd"/>
      <w:r w:rsidR="524BBA48" w:rsidRPr="00997CBA">
        <w:t xml:space="preserve"> </w:t>
      </w:r>
      <w:proofErr w:type="spellStart"/>
      <w:r w:rsidR="524BBA48" w:rsidRPr="00997CBA">
        <w:t>Succeeds</w:t>
      </w:r>
      <w:proofErr w:type="spellEnd"/>
      <w:r w:rsidR="524BBA48" w:rsidRPr="00997CBA">
        <w:t xml:space="preserve"> </w:t>
      </w:r>
      <w:proofErr w:type="spellStart"/>
      <w:r w:rsidR="524BBA48" w:rsidRPr="00997CBA">
        <w:t>Act</w:t>
      </w:r>
      <w:proofErr w:type="spellEnd"/>
      <w:r w:rsidR="524BBA48" w:rsidRPr="00997CBA">
        <w:t xml:space="preserve">, </w:t>
      </w:r>
      <w:r w:rsidR="00FC46BC" w:rsidRPr="00997CBA">
        <w:t>“</w:t>
      </w:r>
      <w:proofErr w:type="spellStart"/>
      <w:r w:rsidR="524BBA48" w:rsidRPr="00997CBA">
        <w:t>ESSA</w:t>
      </w:r>
      <w:proofErr w:type="spellEnd"/>
      <w:r w:rsidR="00FC46BC" w:rsidRPr="00997CBA">
        <w:t>”</w:t>
      </w:r>
      <w:r w:rsidR="524BBA48" w:rsidRPr="00997CBA">
        <w:t>) fue firmada por el presidente Obama el 10 de diciembre de 2015</w:t>
      </w:r>
      <w:r w:rsidR="156F4DDB" w:rsidRPr="00997CBA">
        <w:t>.</w:t>
      </w:r>
      <w:r w:rsidR="524BBA48" w:rsidRPr="00997CBA">
        <w:t xml:space="preserve"> Esta medida bipartidista reautoriza la Ley de Educación Primaria y Secundaria (ESEA), la legislación de educación nacional que se compromete a la igualdad de oportunidades para todos los estudiantes de la nación, y vigente desde hace 50 años.</w:t>
      </w:r>
      <w:r w:rsidR="53BE4711" w:rsidRPr="00997CBA">
        <w:t xml:space="preserve"> </w:t>
      </w:r>
      <w:r w:rsidR="524BBA48" w:rsidRPr="00997CBA">
        <w:t>La nueva ley se basa en áreas clave del progreso en los últimos años, que ha sido posible por los esfuerzos de los educadores, comunidades, padres y estudiantes en todo el país.</w:t>
      </w:r>
    </w:p>
    <w:p w14:paraId="051D138D" w14:textId="0283C099" w:rsidR="00946D38" w:rsidRDefault="00946D38" w:rsidP="00D975AB">
      <w:pPr>
        <w:jc w:val="both"/>
        <w:rPr>
          <w:rFonts w:eastAsia="Calibri" w:cs="Arial"/>
          <w:szCs w:val="24"/>
        </w:rPr>
      </w:pPr>
    </w:p>
    <w:p w14:paraId="77CCBEF2" w14:textId="6FBD491C" w:rsidR="238A28A8" w:rsidRDefault="238A28A8" w:rsidP="00D975AB">
      <w:pPr>
        <w:jc w:val="both"/>
        <w:rPr>
          <w:rFonts w:eastAsia="Calibri" w:cs="Arial"/>
          <w:szCs w:val="24"/>
        </w:rPr>
      </w:pPr>
    </w:p>
    <w:p w14:paraId="217D58BF" w14:textId="77777777" w:rsidR="00A971C0" w:rsidRDefault="00A971C0" w:rsidP="00D975AB">
      <w:pPr>
        <w:jc w:val="both"/>
        <w:rPr>
          <w:rFonts w:eastAsia="Calibri" w:cs="Arial"/>
          <w:szCs w:val="24"/>
        </w:rPr>
      </w:pPr>
    </w:p>
    <w:p w14:paraId="3DF3611D" w14:textId="4097A457" w:rsidR="00FC46BC" w:rsidRPr="00FC46BC" w:rsidRDefault="00946D38" w:rsidP="00E42DEF">
      <w:pPr>
        <w:pStyle w:val="Ttulo1"/>
        <w:numPr>
          <w:ilvl w:val="0"/>
          <w:numId w:val="0"/>
        </w:numPr>
        <w:ind w:left="432"/>
      </w:pPr>
      <w:bookmarkStart w:id="31" w:name="_Toc91548321"/>
      <w:r w:rsidRPr="00103100">
        <w:lastRenderedPageBreak/>
        <w:t>CONCLUSIONES</w:t>
      </w:r>
      <w:bookmarkEnd w:id="31"/>
    </w:p>
    <w:p w14:paraId="51215CDA" w14:textId="4EA5DC60" w:rsidR="00A14510" w:rsidRDefault="56307890" w:rsidP="00EE6FE0">
      <w:pPr>
        <w:pStyle w:val="APAPrrafo"/>
        <w:jc w:val="both"/>
      </w:pPr>
      <w:r>
        <w:t>Estados Unidos es la economía más grande a nivel mundial, en el 2019 presento un PBI de 21.43 USD billones de dólares y un alto nivel de PBI per cápita de 65,279.53 USD, es altamente industrializado con elevados niveles de productividad y uso de tecnología moderna, es el mayor productor industrial del mundo, y el país comercial más grande</w:t>
      </w:r>
      <w:r w:rsidR="3135AD6F">
        <w:t xml:space="preserve"> </w:t>
      </w:r>
      <w:r w:rsidR="714CDC15">
        <w:t>que</w:t>
      </w:r>
      <w:r w:rsidR="449056B4">
        <w:t xml:space="preserve"> representó </w:t>
      </w:r>
      <w:r w:rsidR="45723BC5">
        <w:t xml:space="preserve">en el 2019 </w:t>
      </w:r>
      <w:r w:rsidR="449056B4">
        <w:t>el 16 % del PBI mundial.</w:t>
      </w:r>
      <w:r w:rsidR="45723BC5">
        <w:t xml:space="preserve"> </w:t>
      </w:r>
      <w:r w:rsidR="6462330A">
        <w:t xml:space="preserve"> Los sectores claves</w:t>
      </w:r>
      <w:r w:rsidR="45723BC5">
        <w:t xml:space="preserve"> que impulsan el crecimiento económico es el sector servicios</w:t>
      </w:r>
      <w:r w:rsidR="77A14C75">
        <w:t xml:space="preserve"> (76.89</w:t>
      </w:r>
      <w:r w:rsidR="15CE4883">
        <w:t>% PBI),</w:t>
      </w:r>
      <w:r w:rsidR="1CE403DE">
        <w:t xml:space="preserve"> industria</w:t>
      </w:r>
      <w:r w:rsidR="15CE4883">
        <w:t xml:space="preserve"> (18.64% PBI</w:t>
      </w:r>
      <w:r w:rsidR="2F062612">
        <w:t>),</w:t>
      </w:r>
      <w:r w:rsidR="1CE403DE">
        <w:t xml:space="preserve"> agricultura</w:t>
      </w:r>
      <w:r w:rsidR="2F062612">
        <w:t xml:space="preserve"> (</w:t>
      </w:r>
      <w:r w:rsidR="471F0A8F">
        <w:t xml:space="preserve">3.67% </w:t>
      </w:r>
      <w:r w:rsidR="2F062612">
        <w:t>PBI).</w:t>
      </w:r>
    </w:p>
    <w:p w14:paraId="1ABF63D3" w14:textId="0A3EAEED" w:rsidR="00A14510" w:rsidRDefault="00714433" w:rsidP="00DB6A17">
      <w:pPr>
        <w:pStyle w:val="APAPrrafo"/>
        <w:jc w:val="both"/>
      </w:pPr>
      <w:r>
        <w:t>Estados Unidos</w:t>
      </w:r>
      <w:r w:rsidR="00B50092">
        <w:t xml:space="preserve"> es</w:t>
      </w:r>
      <w:r>
        <w:t xml:space="preserve"> </w:t>
      </w:r>
      <w:r w:rsidR="00B50092" w:rsidRPr="00103100">
        <w:t>uno de los países líderes por gasto bruto en investigación y desarrollo (I + D) en todo el mundo</w:t>
      </w:r>
      <w:r w:rsidR="006B2067">
        <w:t xml:space="preserve"> con un gasto</w:t>
      </w:r>
      <w:r w:rsidR="00B50092" w:rsidRPr="00103100">
        <w:t xml:space="preserve"> para el 20</w:t>
      </w:r>
      <w:r w:rsidR="00B50092">
        <w:t>19</w:t>
      </w:r>
      <w:r w:rsidR="00C873D0">
        <w:t xml:space="preserve"> </w:t>
      </w:r>
      <w:r w:rsidR="002F2958">
        <w:t xml:space="preserve">de </w:t>
      </w:r>
      <w:r w:rsidR="00E96573">
        <w:t>2.</w:t>
      </w:r>
      <w:r w:rsidR="006B2067">
        <w:t>88% de</w:t>
      </w:r>
      <w:r w:rsidR="002F2958">
        <w:t xml:space="preserve"> su</w:t>
      </w:r>
      <w:r w:rsidR="006B2067">
        <w:t xml:space="preserve"> PBI</w:t>
      </w:r>
      <w:r w:rsidR="002F2958">
        <w:t>.</w:t>
      </w:r>
      <w:r w:rsidR="00FD757D">
        <w:t xml:space="preserve"> </w:t>
      </w:r>
      <w:r w:rsidR="009D344E">
        <w:t>Además,</w:t>
      </w:r>
      <w:r w:rsidR="00FD757D">
        <w:t xml:space="preserve"> las </w:t>
      </w:r>
      <w:r w:rsidR="00065229">
        <w:t xml:space="preserve">compañías </w:t>
      </w:r>
      <w:r w:rsidR="00065229" w:rsidRPr="00103100">
        <w:t>tuvieron</w:t>
      </w:r>
      <w:r w:rsidR="00FD757D" w:rsidRPr="00103100">
        <w:t xml:space="preserve"> un gasto superior a los 26.000 millones</w:t>
      </w:r>
      <w:r w:rsidR="00065229">
        <w:t xml:space="preserve"> en investigación y desarrollo</w:t>
      </w:r>
      <w:r w:rsidR="002D07C5">
        <w:t xml:space="preserve">, </w:t>
      </w:r>
      <w:r w:rsidR="00601485">
        <w:t xml:space="preserve">por </w:t>
      </w:r>
      <w:r w:rsidR="009D344E">
        <w:t>tanto,</w:t>
      </w:r>
      <w:r w:rsidR="00601485">
        <w:t xml:space="preserve"> </w:t>
      </w:r>
      <w:r w:rsidR="00A4338F">
        <w:t xml:space="preserve">una mayor investigación y desarrollo </w:t>
      </w:r>
      <w:r w:rsidR="00DB6A17">
        <w:t>permitirá</w:t>
      </w:r>
      <w:r w:rsidR="00AD5BA1">
        <w:t xml:space="preserve"> </w:t>
      </w:r>
      <w:r w:rsidR="00DB6A17">
        <w:t>obtener mayores ingresos en el futuro.</w:t>
      </w:r>
    </w:p>
    <w:p w14:paraId="14579D82" w14:textId="0E8124A3" w:rsidR="00540C68" w:rsidRPr="00997CBA" w:rsidRDefault="005A11EA" w:rsidP="00EE6FE0">
      <w:pPr>
        <w:pStyle w:val="APAPrrafo"/>
        <w:jc w:val="both"/>
        <w:rPr>
          <w:rFonts w:cs="Times New Roman"/>
          <w:rPrChange w:id="32" w:author="E. Edison Achalma Mendoza" w:date="2021-12-28T00:52:00Z">
            <w:rPr>
              <w:color w:val="000000" w:themeColor="text1"/>
            </w:rPr>
          </w:rPrChange>
        </w:rPr>
      </w:pPr>
      <w:r>
        <w:t>En este país, las grandes empresas corporativas tienen departamentos de investigación y desarrollo (I</w:t>
      </w:r>
      <w:r w:rsidR="00FC46BC">
        <w:t xml:space="preserve"> + </w:t>
      </w:r>
      <w:r>
        <w:t>D), que no sólo contratan estudiantes graduados de las universidades, sino que, además, junto con algunas agencias gubernamentales, financian, mediante diversos mecanismos, proyectos de investigación científica y tecnológica en universidades e institutos de investigación.</w:t>
      </w:r>
    </w:p>
    <w:p w14:paraId="5C1D780B" w14:textId="77777777" w:rsidR="0069673F" w:rsidRPr="00997CBA" w:rsidRDefault="00946D38" w:rsidP="00D975AB">
      <w:pPr>
        <w:pStyle w:val="APAPrrafo"/>
        <w:jc w:val="both"/>
        <w:rPr>
          <w:rFonts w:cs="Times New Roman"/>
          <w:szCs w:val="24"/>
          <w:lang w:val="es-MX"/>
        </w:rPr>
      </w:pPr>
      <w:r w:rsidRPr="00103100">
        <w:rPr>
          <w:rFonts w:cs="Roboto"/>
          <w:szCs w:val="24"/>
        </w:rPr>
        <w:t xml:space="preserve"> </w:t>
      </w:r>
      <w:r w:rsidR="0069673F" w:rsidRPr="00997CBA">
        <w:rPr>
          <w:rFonts w:cs="Times New Roman"/>
          <w:szCs w:val="24"/>
          <w:lang w:val="es-MX"/>
        </w:rPr>
        <w:t>En el análisis de la población para el periodo 2015-2019, se encontró que el crecimiento poblacional para la economía estadounidense es positivo; sin embargo, ese crecimiento es cada vez menor. Además, la tasa de fertilidad que está relacionado con el número de hijos al nacer para dicho periodo se ve un ligero descenso.</w:t>
      </w:r>
    </w:p>
    <w:p w14:paraId="207937CD" w14:textId="71C0C234" w:rsidR="00315901" w:rsidRPr="00997CBA" w:rsidRDefault="0069673F" w:rsidP="004758EF">
      <w:pPr>
        <w:pStyle w:val="APAPrrafo"/>
        <w:jc w:val="both"/>
        <w:rPr>
          <w:rFonts w:cs="Times New Roman"/>
          <w:lang w:val="es-MX"/>
        </w:rPr>
      </w:pPr>
      <w:r w:rsidRPr="00997CBA">
        <w:rPr>
          <w:rFonts w:cs="Times New Roman"/>
          <w:lang w:val="es-MX"/>
        </w:rPr>
        <w:t xml:space="preserve">El Programa de las Naciones Unidas para el Desarrollo (PNUD), usa el Índice de Desarrollo Humano como indicador de desarrollo económico y este considera los indicadores de PBI per cápita, esperanza de vida al nacer y mortalidad infantil; por consiguiente, al revisar </w:t>
      </w:r>
      <w:r w:rsidRPr="00997CBA">
        <w:rPr>
          <w:rFonts w:cs="Times New Roman"/>
          <w:lang w:val="es-MX"/>
        </w:rPr>
        <w:lastRenderedPageBreak/>
        <w:t>los indicadores para Estados Unidos, se encontró un crecimiento sostenido del PBI per cápita, mayor esperanza de vida al nacer y menores tasas de mortalidad infantil.</w:t>
      </w:r>
    </w:p>
    <w:p w14:paraId="33A62C31" w14:textId="6B46203B" w:rsidR="00656F36" w:rsidRPr="00997CBA" w:rsidRDefault="00315901" w:rsidP="004F3545">
      <w:pPr>
        <w:pStyle w:val="APAPrrafo"/>
        <w:jc w:val="both"/>
        <w:rPr>
          <w:rFonts w:cs="Times New Roman"/>
          <w:lang w:val="es-MX"/>
        </w:rPr>
      </w:pPr>
      <w:r w:rsidRPr="00997CBA">
        <w:rPr>
          <w:rFonts w:cs="Times New Roman"/>
          <w:lang w:val="es-MX"/>
        </w:rPr>
        <w:t>En el periodo de análisis de 1950 al 1970 se dio una de la reforma educativa más importantes que permitió el crecimiento económico de la economía</w:t>
      </w:r>
      <w:r w:rsidR="00656F36" w:rsidRPr="00997CBA">
        <w:rPr>
          <w:rFonts w:cs="Times New Roman"/>
          <w:lang w:val="es-MX"/>
        </w:rPr>
        <w:t>, En 1965 durante el gobierno de Lyndon Johnson se aprobó la ley de educación primaria y secundaria (</w:t>
      </w:r>
      <w:proofErr w:type="spellStart"/>
      <w:r w:rsidR="00656F36" w:rsidRPr="00997CBA">
        <w:rPr>
          <w:rFonts w:cs="Times New Roman"/>
          <w:lang w:val="es-MX"/>
        </w:rPr>
        <w:t>ESEA</w:t>
      </w:r>
      <w:proofErr w:type="spellEnd"/>
      <w:r w:rsidR="00656F36" w:rsidRPr="00997CBA">
        <w:rPr>
          <w:rFonts w:cs="Times New Roman"/>
          <w:lang w:val="es-MX"/>
        </w:rPr>
        <w:t>), esta medida fue parte de la “guerra contra la pobreza” donde el gobierno empieza a inyectar dinero federal en los distritos escolares locales. Ese dinero debía ser destinado para el desarrollo profesional, materiales de instrucción, recursos para apoyar programas educativos y promoción de la participación de los padres.</w:t>
      </w:r>
      <w:r w:rsidR="004F3545" w:rsidRPr="00997CBA">
        <w:rPr>
          <w:rFonts w:cs="Times New Roman"/>
          <w:lang w:val="es-MX"/>
        </w:rPr>
        <w:t xml:space="preserve"> La economía crece a tasas mayores a las que se explicarían por el crecimiento de los Factores tradicionales de producción.</w:t>
      </w:r>
    </w:p>
    <w:p w14:paraId="69AF30D3" w14:textId="34B606BF" w:rsidR="00B30E43" w:rsidRPr="00997CBA" w:rsidRDefault="00252598" w:rsidP="00D975AB">
      <w:pPr>
        <w:pStyle w:val="APAPrrafo"/>
        <w:jc w:val="both"/>
        <w:rPr>
          <w:rFonts w:cs="Times New Roman"/>
          <w:lang w:val="es-MX"/>
        </w:rPr>
      </w:pPr>
      <w:r w:rsidRPr="00997CBA">
        <w:rPr>
          <w:rFonts w:cs="Times New Roman"/>
          <w:lang w:val="es-MX"/>
        </w:rPr>
        <w:t xml:space="preserve">Entre los periodos 1971 y 1990 </w:t>
      </w:r>
      <w:r w:rsidR="005E3294" w:rsidRPr="00997CBA">
        <w:rPr>
          <w:rFonts w:cs="Times New Roman"/>
          <w:lang w:val="es-MX"/>
        </w:rPr>
        <w:t>hubo</w:t>
      </w:r>
      <w:r w:rsidR="00B0296B" w:rsidRPr="00997CBA">
        <w:rPr>
          <w:rFonts w:cs="Times New Roman"/>
          <w:lang w:val="es-MX"/>
        </w:rPr>
        <w:t xml:space="preserve"> </w:t>
      </w:r>
      <w:r w:rsidR="000D4C44" w:rsidRPr="00997CBA">
        <w:rPr>
          <w:rFonts w:cs="Times New Roman"/>
          <w:lang w:val="es-MX"/>
        </w:rPr>
        <w:t>transformaciones sectoriales</w:t>
      </w:r>
      <w:r w:rsidR="003605E2" w:rsidRPr="00997CBA">
        <w:rPr>
          <w:rFonts w:cs="Times New Roman"/>
          <w:lang w:val="es-MX"/>
        </w:rPr>
        <w:t xml:space="preserve"> como en la </w:t>
      </w:r>
      <w:r w:rsidR="00A53D89" w:rsidRPr="00997CBA">
        <w:rPr>
          <w:rFonts w:cs="Times New Roman"/>
          <w:lang w:val="es-MX"/>
        </w:rPr>
        <w:t xml:space="preserve">industria </w:t>
      </w:r>
      <w:r w:rsidR="004D5B48" w:rsidRPr="00997CBA">
        <w:rPr>
          <w:rFonts w:cs="Times New Roman"/>
          <w:lang w:val="es-MX"/>
        </w:rPr>
        <w:t>manufacturera</w:t>
      </w:r>
      <w:r w:rsidR="006B3B8A" w:rsidRPr="00997CBA">
        <w:rPr>
          <w:rFonts w:cs="Times New Roman"/>
          <w:lang w:val="es-MX"/>
        </w:rPr>
        <w:t xml:space="preserve"> que </w:t>
      </w:r>
      <w:r w:rsidR="004D5B48" w:rsidRPr="00997CBA">
        <w:rPr>
          <w:rFonts w:cs="Times New Roman"/>
          <w:lang w:val="es-MX"/>
        </w:rPr>
        <w:t>impulsó</w:t>
      </w:r>
      <w:r w:rsidR="006B3B8A" w:rsidRPr="00997CBA">
        <w:rPr>
          <w:rFonts w:cs="Times New Roman"/>
          <w:lang w:val="es-MX"/>
        </w:rPr>
        <w:t xml:space="preserve"> el crecimiento económico</w:t>
      </w:r>
      <w:r w:rsidR="004D5B48" w:rsidRPr="00997CBA">
        <w:rPr>
          <w:rFonts w:cs="Times New Roman"/>
          <w:lang w:val="es-MX"/>
        </w:rPr>
        <w:t xml:space="preserve">, sin </w:t>
      </w:r>
      <w:r w:rsidR="00D34264" w:rsidRPr="00997CBA">
        <w:rPr>
          <w:rFonts w:cs="Times New Roman"/>
          <w:lang w:val="es-MX"/>
        </w:rPr>
        <w:t>embargo,</w:t>
      </w:r>
      <w:r w:rsidR="004D5B48" w:rsidRPr="00997CBA">
        <w:rPr>
          <w:rFonts w:cs="Times New Roman"/>
          <w:lang w:val="es-MX"/>
        </w:rPr>
        <w:t xml:space="preserve"> </w:t>
      </w:r>
      <w:r w:rsidR="00AE422D">
        <w:t>hubo cierta tendencia al aumento de la tasa de desocupación.</w:t>
      </w:r>
    </w:p>
    <w:p w14:paraId="487D3DF1" w14:textId="77777777" w:rsidR="009F773C" w:rsidRDefault="00386254" w:rsidP="009F773C">
      <w:pPr>
        <w:pStyle w:val="APAPrrafo"/>
        <w:jc w:val="both"/>
        <w:rPr>
          <w:szCs w:val="24"/>
          <w:lang w:val="es-MX"/>
        </w:rPr>
      </w:pPr>
      <w:r>
        <w:rPr>
          <w:szCs w:val="24"/>
          <w:lang w:val="es-MX"/>
        </w:rPr>
        <w:t>Para</w:t>
      </w:r>
      <w:r w:rsidR="001B057B" w:rsidRPr="001B057B">
        <w:rPr>
          <w:szCs w:val="24"/>
          <w:lang w:val="es-MX"/>
        </w:rPr>
        <w:t xml:space="preserve"> el periodo 1991-2010 se rescata las dos etapas de gobierno</w:t>
      </w:r>
      <w:r w:rsidR="001B057B">
        <w:rPr>
          <w:szCs w:val="24"/>
          <w:lang w:val="es-MX"/>
        </w:rPr>
        <w:t xml:space="preserve"> </w:t>
      </w:r>
      <w:r w:rsidR="001B057B" w:rsidRPr="001B057B">
        <w:rPr>
          <w:szCs w:val="24"/>
          <w:lang w:val="es-MX"/>
        </w:rPr>
        <w:t>de Bill Clinton (8 años de gobierno). Donde se dio la correcta coordinación de políticas</w:t>
      </w:r>
      <w:r w:rsidR="001B057B">
        <w:rPr>
          <w:szCs w:val="24"/>
          <w:lang w:val="es-MX"/>
        </w:rPr>
        <w:t xml:space="preserve"> </w:t>
      </w:r>
      <w:r w:rsidR="001B057B" w:rsidRPr="001B057B">
        <w:rPr>
          <w:szCs w:val="24"/>
          <w:lang w:val="es-MX"/>
        </w:rPr>
        <w:t>económicas, fundamentalmente entre política económica consistente en una política fiscal</w:t>
      </w:r>
      <w:r w:rsidR="001B057B">
        <w:rPr>
          <w:szCs w:val="24"/>
          <w:lang w:val="es-MX"/>
        </w:rPr>
        <w:t xml:space="preserve"> </w:t>
      </w:r>
      <w:r w:rsidR="001B057B" w:rsidRPr="001B057B">
        <w:rPr>
          <w:szCs w:val="24"/>
          <w:lang w:val="es-MX"/>
        </w:rPr>
        <w:t>contractiva asociada a una política monetaria expansiva llevada a cabo por el Banco Central</w:t>
      </w:r>
      <w:r w:rsidR="001B057B">
        <w:rPr>
          <w:szCs w:val="24"/>
          <w:lang w:val="es-MX"/>
        </w:rPr>
        <w:t xml:space="preserve"> </w:t>
      </w:r>
      <w:r w:rsidR="001B057B" w:rsidRPr="001B057B">
        <w:rPr>
          <w:szCs w:val="24"/>
          <w:lang w:val="es-MX"/>
        </w:rPr>
        <w:t>de los Estados Unidos (FED).</w:t>
      </w:r>
    </w:p>
    <w:p w14:paraId="49D7146C" w14:textId="77090E8F" w:rsidR="00636E5C" w:rsidRPr="00997CBA" w:rsidRDefault="00D34264" w:rsidP="00E42DEF">
      <w:pPr>
        <w:pStyle w:val="APAPrrafo"/>
        <w:jc w:val="both"/>
        <w:rPr>
          <w:rFonts w:cs="Times New Roman"/>
          <w:szCs w:val="24"/>
          <w:lang w:val="es-MX"/>
        </w:rPr>
      </w:pPr>
      <w:r w:rsidRPr="009F773C">
        <w:rPr>
          <w:szCs w:val="24"/>
          <w:lang w:val="es-MX"/>
        </w:rPr>
        <w:t>En los periodos 201</w:t>
      </w:r>
      <w:r w:rsidR="00420908" w:rsidRPr="009F773C">
        <w:rPr>
          <w:szCs w:val="24"/>
          <w:lang w:val="es-MX"/>
        </w:rPr>
        <w:t>1 a 201</w:t>
      </w:r>
      <w:r w:rsidR="00E94342" w:rsidRPr="009F773C">
        <w:rPr>
          <w:szCs w:val="24"/>
          <w:lang w:val="es-MX"/>
        </w:rPr>
        <w:t>5</w:t>
      </w:r>
      <w:r w:rsidR="00EF1E4F">
        <w:rPr>
          <w:szCs w:val="24"/>
          <w:lang w:val="es-MX"/>
        </w:rPr>
        <w:t xml:space="preserve"> se implementó la</w:t>
      </w:r>
      <w:r w:rsidRPr="009F773C">
        <w:rPr>
          <w:szCs w:val="24"/>
          <w:lang w:val="es-MX"/>
        </w:rPr>
        <w:t xml:space="preserve"> </w:t>
      </w:r>
      <w:r w:rsidR="004758EF" w:rsidRPr="00997CBA">
        <w:rPr>
          <w:rFonts w:cs="Times New Roman"/>
          <w:szCs w:val="24"/>
          <w:lang w:val="es-MX"/>
        </w:rPr>
        <w:t>reforma tributaria para simplificar el código, ampliar la base y reducir las tasas marginales, sobre todo del impuesto sobre la renta de las sociedades</w:t>
      </w:r>
      <w:r w:rsidR="005F64E3" w:rsidRPr="00997CBA">
        <w:rPr>
          <w:rFonts w:cs="Times New Roman"/>
          <w:szCs w:val="24"/>
          <w:lang w:val="es-MX"/>
        </w:rPr>
        <w:t xml:space="preserve">, además </w:t>
      </w:r>
      <w:r w:rsidR="00184A9F" w:rsidRPr="00997CBA">
        <w:rPr>
          <w:rFonts w:cs="Times New Roman"/>
          <w:szCs w:val="24"/>
          <w:lang w:val="es-MX"/>
        </w:rPr>
        <w:t xml:space="preserve">se </w:t>
      </w:r>
      <w:r w:rsidR="00347F9B" w:rsidRPr="00997CBA">
        <w:rPr>
          <w:rFonts w:cs="Times New Roman"/>
          <w:szCs w:val="24"/>
          <w:lang w:val="es-MX"/>
        </w:rPr>
        <w:t>implementó</w:t>
      </w:r>
      <w:r w:rsidR="00184A9F" w:rsidRPr="00997CBA">
        <w:rPr>
          <w:rFonts w:cs="Times New Roman"/>
          <w:szCs w:val="24"/>
          <w:lang w:val="es-MX"/>
        </w:rPr>
        <w:t xml:space="preserve"> una r</w:t>
      </w:r>
      <w:r w:rsidR="005F64E3" w:rsidRPr="00997CBA">
        <w:rPr>
          <w:rFonts w:cs="Times New Roman"/>
          <w:szCs w:val="24"/>
          <w:lang w:val="es-MX"/>
        </w:rPr>
        <w:t xml:space="preserve">eforma </w:t>
      </w:r>
      <w:r w:rsidR="00347F9B" w:rsidRPr="00997CBA">
        <w:rPr>
          <w:rFonts w:cs="Times New Roman"/>
          <w:szCs w:val="24"/>
          <w:lang w:val="es-MX"/>
        </w:rPr>
        <w:t xml:space="preserve">de </w:t>
      </w:r>
      <w:r w:rsidR="005F64E3" w:rsidRPr="00997CBA">
        <w:rPr>
          <w:rFonts w:cs="Times New Roman"/>
          <w:szCs w:val="24"/>
          <w:lang w:val="es-MX"/>
        </w:rPr>
        <w:t>inmigra</w:t>
      </w:r>
      <w:r w:rsidR="00347F9B" w:rsidRPr="00997CBA">
        <w:rPr>
          <w:rFonts w:cs="Times New Roman"/>
          <w:szCs w:val="24"/>
          <w:lang w:val="es-MX"/>
        </w:rPr>
        <w:t>ción</w:t>
      </w:r>
      <w:r w:rsidR="005F64E3" w:rsidRPr="00997CBA">
        <w:rPr>
          <w:rFonts w:cs="Times New Roman"/>
          <w:szCs w:val="24"/>
          <w:lang w:val="es-MX"/>
        </w:rPr>
        <w:t xml:space="preserve"> integral basada en las aptitudes para mantener una fuerza laboral que responda a las necesidades de los empleadores ofreciéndoles trabajadores sumamente preparados e innovadores.</w:t>
      </w:r>
    </w:p>
    <w:bookmarkStart w:id="33" w:name="_Toc91548322" w:displacedByCustomXml="next"/>
    <w:sdt>
      <w:sdtPr>
        <w:rPr>
          <w:rFonts w:eastAsiaTheme="minorHAnsi" w:cstheme="minorBidi"/>
          <w:b w:val="0"/>
          <w:szCs w:val="22"/>
          <w:lang w:val="es-ES"/>
        </w:rPr>
        <w:id w:val="429784124"/>
        <w:docPartObj>
          <w:docPartGallery w:val="Bibliographies"/>
          <w:docPartUnique/>
        </w:docPartObj>
      </w:sdtPr>
      <w:sdtEndPr>
        <w:rPr>
          <w:lang w:val="es-PE"/>
        </w:rPr>
      </w:sdtEndPr>
      <w:sdtContent>
        <w:p w14:paraId="308035C1" w14:textId="36DE2A10" w:rsidR="00E10F77" w:rsidRDefault="00A971C0" w:rsidP="00A971C0">
          <w:pPr>
            <w:pStyle w:val="Ttulo1"/>
            <w:numPr>
              <w:ilvl w:val="0"/>
              <w:numId w:val="0"/>
            </w:numPr>
            <w:ind w:left="432"/>
            <w:jc w:val="both"/>
            <w:rPr>
              <w:lang w:val="es-ES"/>
            </w:rPr>
          </w:pPr>
          <w:r>
            <w:rPr>
              <w:lang w:val="es-ES"/>
            </w:rPr>
            <w:t>REFERENCIAS BIBLIOGRÁFICAS</w:t>
          </w:r>
          <w:bookmarkEnd w:id="33"/>
        </w:p>
        <w:sdt>
          <w:sdtPr>
            <w:id w:val="111145805"/>
            <w:bibliography/>
          </w:sdtPr>
          <w:sdtEndPr/>
          <w:sdtContent>
            <w:p w14:paraId="6AB0DE3A" w14:textId="77777777" w:rsidR="00997CBA" w:rsidRDefault="00E10F77" w:rsidP="00997CBA">
              <w:pPr>
                <w:pStyle w:val="Bibliografa"/>
                <w:ind w:left="720" w:hanging="720"/>
                <w:rPr>
                  <w:noProof/>
                  <w:szCs w:val="24"/>
                  <w:lang w:val="es-ES"/>
                </w:rPr>
              </w:pPr>
              <w:r>
                <w:fldChar w:fldCharType="begin"/>
              </w:r>
              <w:r w:rsidRPr="00F71544">
                <w:rPr>
                  <w:lang w:val="en-US"/>
                </w:rPr>
                <w:instrText>BIBLIOGRAPHY</w:instrText>
              </w:r>
              <w:r>
                <w:fldChar w:fldCharType="separate"/>
              </w:r>
              <w:r w:rsidR="00997CBA" w:rsidRPr="00997CBA">
                <w:rPr>
                  <w:noProof/>
                  <w:lang w:val="en-US"/>
                </w:rPr>
                <w:t xml:space="preserve">Aghion, P., Boustan, L., Hoxby, C., &amp; Vandenbussche, J. (2009). The causal impact of education on economic growth: evidence from US. </w:t>
              </w:r>
              <w:r w:rsidR="00997CBA">
                <w:rPr>
                  <w:i/>
                  <w:iCs/>
                  <w:noProof/>
                  <w:lang w:val="es-ES"/>
                </w:rPr>
                <w:t>Brookings papers on economic activity, 1</w:t>
              </w:r>
              <w:r w:rsidR="00997CBA">
                <w:rPr>
                  <w:noProof/>
                  <w:lang w:val="es-ES"/>
                </w:rPr>
                <w:t>(1), 1-73.</w:t>
              </w:r>
            </w:p>
            <w:p w14:paraId="1E4A5913" w14:textId="77777777" w:rsidR="00997CBA" w:rsidRDefault="00997CBA" w:rsidP="00997CBA">
              <w:pPr>
                <w:pStyle w:val="Bibliografa"/>
                <w:ind w:left="720" w:hanging="720"/>
                <w:rPr>
                  <w:noProof/>
                  <w:lang w:val="es-ES"/>
                </w:rPr>
              </w:pPr>
              <w:r>
                <w:rPr>
                  <w:noProof/>
                  <w:lang w:val="es-ES"/>
                </w:rPr>
                <w:t xml:space="preserve">Banco central europeo . (2018). </w:t>
              </w:r>
              <w:r>
                <w:rPr>
                  <w:i/>
                  <w:iCs/>
                  <w:noProof/>
                  <w:lang w:val="es-ES"/>
                </w:rPr>
                <w:t>La economía de Estados Unidos, diez años después de la crisis.</w:t>
              </w:r>
              <w:r>
                <w:rPr>
                  <w:noProof/>
                  <w:lang w:val="es-ES"/>
                </w:rPr>
                <w:t xml:space="preserve"> </w:t>
              </w:r>
            </w:p>
            <w:p w14:paraId="2547E700" w14:textId="77777777" w:rsidR="00997CBA" w:rsidRDefault="00997CBA" w:rsidP="00997CBA">
              <w:pPr>
                <w:pStyle w:val="Bibliografa"/>
                <w:ind w:left="720" w:hanging="720"/>
                <w:rPr>
                  <w:noProof/>
                  <w:lang w:val="es-ES"/>
                </w:rPr>
              </w:pPr>
              <w:r>
                <w:rPr>
                  <w:noProof/>
                  <w:lang w:val="es-ES"/>
                </w:rPr>
                <w:t xml:space="preserve">BBVA . (2015). </w:t>
              </w:r>
              <w:r>
                <w:rPr>
                  <w:i/>
                  <w:iCs/>
                  <w:noProof/>
                  <w:lang w:val="es-ES"/>
                </w:rPr>
                <w:t>Research informe situatio de EE.UU. .</w:t>
              </w:r>
              <w:r>
                <w:rPr>
                  <w:noProof/>
                  <w:lang w:val="es-ES"/>
                </w:rPr>
                <w:t xml:space="preserve"> </w:t>
              </w:r>
            </w:p>
            <w:p w14:paraId="5275AE36" w14:textId="77777777" w:rsidR="00997CBA" w:rsidRDefault="00997CBA" w:rsidP="00997CBA">
              <w:pPr>
                <w:pStyle w:val="Bibliografa"/>
                <w:ind w:left="720" w:hanging="720"/>
                <w:rPr>
                  <w:noProof/>
                  <w:lang w:val="es-ES"/>
                </w:rPr>
              </w:pPr>
              <w:r>
                <w:rPr>
                  <w:noProof/>
                  <w:lang w:val="es-ES"/>
                </w:rPr>
                <w:t xml:space="preserve">BBVA. (2016). </w:t>
              </w:r>
              <w:r>
                <w:rPr>
                  <w:i/>
                  <w:iCs/>
                  <w:noProof/>
                  <w:lang w:val="es-ES"/>
                </w:rPr>
                <w:t>Research Informe situation de EE. UU. .</w:t>
              </w:r>
              <w:r>
                <w:rPr>
                  <w:noProof/>
                  <w:lang w:val="es-ES"/>
                </w:rPr>
                <w:t xml:space="preserve"> </w:t>
              </w:r>
            </w:p>
            <w:p w14:paraId="07A924D6" w14:textId="77777777" w:rsidR="00997CBA" w:rsidRDefault="00997CBA" w:rsidP="00997CBA">
              <w:pPr>
                <w:pStyle w:val="Bibliografa"/>
                <w:ind w:left="720" w:hanging="720"/>
                <w:rPr>
                  <w:noProof/>
                  <w:lang w:val="es-ES"/>
                </w:rPr>
              </w:pPr>
              <w:r>
                <w:rPr>
                  <w:noProof/>
                  <w:lang w:val="es-ES"/>
                </w:rPr>
                <w:t xml:space="preserve">BBVA. (2017). </w:t>
              </w:r>
              <w:r>
                <w:rPr>
                  <w:i/>
                  <w:iCs/>
                  <w:noProof/>
                  <w:lang w:val="es-ES"/>
                </w:rPr>
                <w:t>Research Informe situation de EEUU.</w:t>
              </w:r>
              <w:r>
                <w:rPr>
                  <w:noProof/>
                  <w:lang w:val="es-ES"/>
                </w:rPr>
                <w:t xml:space="preserve"> </w:t>
              </w:r>
            </w:p>
            <w:p w14:paraId="7EF6E9B3" w14:textId="77777777" w:rsidR="00997CBA" w:rsidRDefault="00997CBA" w:rsidP="00997CBA">
              <w:pPr>
                <w:pStyle w:val="Bibliografa"/>
                <w:ind w:left="720" w:hanging="720"/>
                <w:rPr>
                  <w:noProof/>
                  <w:lang w:val="es-ES"/>
                </w:rPr>
              </w:pPr>
              <w:r>
                <w:rPr>
                  <w:noProof/>
                  <w:lang w:val="es-ES"/>
                </w:rPr>
                <w:t xml:space="preserve">BBVA. (2018). </w:t>
              </w:r>
              <w:r>
                <w:rPr>
                  <w:i/>
                  <w:iCs/>
                  <w:noProof/>
                  <w:lang w:val="es-ES"/>
                </w:rPr>
                <w:t>Research Informe situation de EEUU .</w:t>
              </w:r>
              <w:r>
                <w:rPr>
                  <w:noProof/>
                  <w:lang w:val="es-ES"/>
                </w:rPr>
                <w:t xml:space="preserve"> </w:t>
              </w:r>
            </w:p>
            <w:p w14:paraId="61706E90" w14:textId="77777777" w:rsidR="00997CBA" w:rsidRDefault="00997CBA" w:rsidP="00997CBA">
              <w:pPr>
                <w:pStyle w:val="Bibliografa"/>
                <w:ind w:left="720" w:hanging="720"/>
                <w:rPr>
                  <w:noProof/>
                  <w:lang w:val="es-ES"/>
                </w:rPr>
              </w:pPr>
              <w:r>
                <w:rPr>
                  <w:noProof/>
                  <w:lang w:val="es-ES"/>
                </w:rPr>
                <w:t xml:space="preserve">BBVA. (2019). </w:t>
              </w:r>
              <w:r>
                <w:rPr>
                  <w:i/>
                  <w:iCs/>
                  <w:noProof/>
                  <w:lang w:val="es-ES"/>
                </w:rPr>
                <w:t>Research Informe situation de EEUU.</w:t>
              </w:r>
              <w:r>
                <w:rPr>
                  <w:noProof/>
                  <w:lang w:val="es-ES"/>
                </w:rPr>
                <w:t xml:space="preserve"> </w:t>
              </w:r>
            </w:p>
            <w:p w14:paraId="314E71F1" w14:textId="77777777" w:rsidR="00997CBA" w:rsidRDefault="00997CBA" w:rsidP="00997CBA">
              <w:pPr>
                <w:pStyle w:val="Bibliografa"/>
                <w:ind w:left="720" w:hanging="720"/>
                <w:rPr>
                  <w:noProof/>
                  <w:lang w:val="es-ES"/>
                </w:rPr>
              </w:pPr>
              <w:r>
                <w:rPr>
                  <w:noProof/>
                  <w:lang w:val="es-ES"/>
                </w:rPr>
                <w:t xml:space="preserve">Berntein, I. (1996). Armas de matequilla. </w:t>
              </w:r>
              <w:r>
                <w:rPr>
                  <w:i/>
                  <w:iCs/>
                  <w:noProof/>
                  <w:lang w:val="es-ES"/>
                </w:rPr>
                <w:t>La presedencia de Lyndon Johnson.</w:t>
              </w:r>
              <w:r>
                <w:rPr>
                  <w:noProof/>
                  <w:lang w:val="es-ES"/>
                </w:rPr>
                <w:t xml:space="preserve"> </w:t>
              </w:r>
            </w:p>
            <w:p w14:paraId="2975E60C" w14:textId="77777777" w:rsidR="00997CBA" w:rsidRDefault="00997CBA" w:rsidP="00997CBA">
              <w:pPr>
                <w:pStyle w:val="Bibliografa"/>
                <w:ind w:left="720" w:hanging="720"/>
                <w:rPr>
                  <w:noProof/>
                  <w:lang w:val="es-ES"/>
                </w:rPr>
              </w:pPr>
              <w:r>
                <w:rPr>
                  <w:noProof/>
                  <w:lang w:val="es-ES"/>
                </w:rPr>
                <w:t xml:space="preserve">CaixaBank Research. (2018). </w:t>
              </w:r>
              <w:r>
                <w:rPr>
                  <w:i/>
                  <w:iCs/>
                  <w:noProof/>
                  <w:lang w:val="es-ES"/>
                </w:rPr>
                <w:t>Impacto de la educación en el crecimiento económico.</w:t>
              </w:r>
              <w:r>
                <w:rPr>
                  <w:noProof/>
                  <w:lang w:val="es-ES"/>
                </w:rPr>
                <w:t xml:space="preserve"> </w:t>
              </w:r>
            </w:p>
            <w:p w14:paraId="2B071661" w14:textId="77777777" w:rsidR="00997CBA" w:rsidRPr="00997CBA" w:rsidRDefault="00997CBA" w:rsidP="00997CBA">
              <w:pPr>
                <w:pStyle w:val="Bibliografa"/>
                <w:ind w:left="720" w:hanging="720"/>
                <w:rPr>
                  <w:noProof/>
                  <w:lang w:val="en-US"/>
                </w:rPr>
              </w:pPr>
              <w:r w:rsidRPr="00997CBA">
                <w:rPr>
                  <w:noProof/>
                  <w:lang w:val="en-US"/>
                </w:rPr>
                <w:t xml:space="preserve">Denison, E. (1962). The sources of economic grows in the united states and alternatives befores us. </w:t>
              </w:r>
              <w:r w:rsidRPr="00997CBA">
                <w:rPr>
                  <w:i/>
                  <w:iCs/>
                  <w:noProof/>
                  <w:lang w:val="en-US"/>
                </w:rPr>
                <w:t>Committe for economic develploment</w:t>
              </w:r>
              <w:r w:rsidRPr="00997CBA">
                <w:rPr>
                  <w:noProof/>
                  <w:lang w:val="en-US"/>
                </w:rPr>
                <w:t>.</w:t>
              </w:r>
            </w:p>
            <w:p w14:paraId="49F24DAC" w14:textId="77777777" w:rsidR="00997CBA" w:rsidRDefault="00997CBA" w:rsidP="00997CBA">
              <w:pPr>
                <w:pStyle w:val="Bibliografa"/>
                <w:ind w:left="720" w:hanging="720"/>
                <w:rPr>
                  <w:noProof/>
                  <w:lang w:val="es-ES"/>
                </w:rPr>
              </w:pPr>
              <w:r w:rsidRPr="00997CBA">
                <w:rPr>
                  <w:noProof/>
                  <w:lang w:val="en-US"/>
                </w:rPr>
                <w:t xml:space="preserve">Dirven , B. B., Pérez, R., Cáceres, R. J., Tito, A. T., Gómez , R. K., &amp; Ticona, A. (2018). </w:t>
              </w:r>
              <w:r>
                <w:rPr>
                  <w:i/>
                  <w:iCs/>
                  <w:noProof/>
                  <w:lang w:val="es-ES"/>
                </w:rPr>
                <w:t>El desarrollo rural establecido en las áreas Vulnerables.</w:t>
              </w:r>
              <w:r>
                <w:rPr>
                  <w:noProof/>
                  <w:lang w:val="es-ES"/>
                </w:rPr>
                <w:t xml:space="preserve"> Lima: Colección Racso.</w:t>
              </w:r>
            </w:p>
            <w:p w14:paraId="6F9A8F6E" w14:textId="77777777" w:rsidR="00997CBA" w:rsidRDefault="00997CBA" w:rsidP="00997CBA">
              <w:pPr>
                <w:pStyle w:val="Bibliografa"/>
                <w:ind w:left="720" w:hanging="720"/>
                <w:rPr>
                  <w:noProof/>
                  <w:lang w:val="es-ES"/>
                </w:rPr>
              </w:pPr>
              <w:r>
                <w:rPr>
                  <w:noProof/>
                  <w:lang w:val="es-ES"/>
                </w:rPr>
                <w:t xml:space="preserve">Hanson, M. (2 de agosto de 2021). Estadísticas de gasto en educación pública de EE. UU. </w:t>
              </w:r>
              <w:r>
                <w:rPr>
                  <w:i/>
                  <w:iCs/>
                  <w:noProof/>
                  <w:lang w:val="es-ES"/>
                </w:rPr>
                <w:t>EducationData.org</w:t>
              </w:r>
              <w:r>
                <w:rPr>
                  <w:noProof/>
                  <w:lang w:val="es-ES"/>
                </w:rPr>
                <w:t>. Obtenido de https://educationdata.org/public-education-spending-statistics</w:t>
              </w:r>
            </w:p>
            <w:p w14:paraId="177D67E6" w14:textId="77777777" w:rsidR="00997CBA" w:rsidRDefault="00997CBA" w:rsidP="00997CBA">
              <w:pPr>
                <w:pStyle w:val="Bibliografa"/>
                <w:ind w:left="720" w:hanging="720"/>
                <w:rPr>
                  <w:noProof/>
                  <w:lang w:val="es-ES"/>
                </w:rPr>
              </w:pPr>
              <w:r>
                <w:rPr>
                  <w:noProof/>
                  <w:lang w:val="es-ES"/>
                </w:rPr>
                <w:t xml:space="preserve">Igan, D. (2014). Cinco prioridades para mejorar el futuro económico de Estados Unidos. </w:t>
              </w:r>
              <w:r>
                <w:rPr>
                  <w:i/>
                  <w:iCs/>
                  <w:noProof/>
                  <w:lang w:val="es-ES"/>
                </w:rPr>
                <w:t>Blog dialogoafondo</w:t>
              </w:r>
              <w:r>
                <w:rPr>
                  <w:noProof/>
                  <w:lang w:val="es-ES"/>
                </w:rPr>
                <w:t>, htts://blog-dialogoafondo.imf.org/?p=4611.</w:t>
              </w:r>
            </w:p>
            <w:p w14:paraId="41079CA0" w14:textId="77777777" w:rsidR="00997CBA" w:rsidRDefault="00997CBA" w:rsidP="00997CBA">
              <w:pPr>
                <w:pStyle w:val="Bibliografa"/>
                <w:ind w:left="720" w:hanging="720"/>
                <w:rPr>
                  <w:noProof/>
                  <w:lang w:val="es-ES"/>
                </w:rPr>
              </w:pPr>
              <w:r>
                <w:rPr>
                  <w:noProof/>
                  <w:lang w:val="es-ES"/>
                </w:rPr>
                <w:t xml:space="preserve">Lane, P. R. (2014). </w:t>
              </w:r>
              <w:r w:rsidRPr="00997CBA">
                <w:rPr>
                  <w:noProof/>
                  <w:lang w:val="en-US"/>
                </w:rPr>
                <w:t xml:space="preserve">Financial globalization and the crisis. </w:t>
              </w:r>
              <w:r>
                <w:rPr>
                  <w:i/>
                  <w:iCs/>
                  <w:noProof/>
                  <w:lang w:val="es-ES"/>
                </w:rPr>
                <w:t>Open economy review, 24</w:t>
              </w:r>
              <w:r>
                <w:rPr>
                  <w:noProof/>
                  <w:lang w:val="es-ES"/>
                </w:rPr>
                <w:t>, 555-580.</w:t>
              </w:r>
            </w:p>
            <w:p w14:paraId="5C107732" w14:textId="77777777" w:rsidR="00997CBA" w:rsidRDefault="00997CBA" w:rsidP="00997CBA">
              <w:pPr>
                <w:pStyle w:val="Bibliografa"/>
                <w:ind w:left="720" w:hanging="720"/>
                <w:rPr>
                  <w:noProof/>
                  <w:lang w:val="es-ES"/>
                </w:rPr>
              </w:pPr>
              <w:r>
                <w:rPr>
                  <w:noProof/>
                  <w:lang w:val="es-ES"/>
                </w:rPr>
                <w:lastRenderedPageBreak/>
                <w:t>Psacharopoulos. (1985). Educación para el desarrollo. 27.</w:t>
              </w:r>
            </w:p>
            <w:p w14:paraId="7EB9A788" w14:textId="77777777" w:rsidR="00997CBA" w:rsidRDefault="00997CBA" w:rsidP="00997CBA">
              <w:pPr>
                <w:pStyle w:val="Bibliografa"/>
                <w:ind w:left="720" w:hanging="720"/>
                <w:rPr>
                  <w:noProof/>
                  <w:lang w:val="es-ES"/>
                </w:rPr>
              </w:pPr>
              <w:r>
                <w:rPr>
                  <w:noProof/>
                  <w:lang w:val="es-ES"/>
                </w:rPr>
                <w:t>Santandertrade. (s.f.). Política y economía de Estados Unidos. Obtenido de https://santandertrade.com/es/portal/analizar-mercados/estados-unidos/politica-y-economia.</w:t>
              </w:r>
            </w:p>
            <w:p w14:paraId="335CFB9A" w14:textId="77777777" w:rsidR="00997CBA" w:rsidRPr="00997CBA" w:rsidRDefault="00997CBA" w:rsidP="00997CBA">
              <w:pPr>
                <w:pStyle w:val="Bibliografa"/>
                <w:ind w:left="720" w:hanging="720"/>
                <w:rPr>
                  <w:noProof/>
                  <w:lang w:val="en-US"/>
                </w:rPr>
              </w:pPr>
              <w:r w:rsidRPr="00997CBA">
                <w:rPr>
                  <w:noProof/>
                  <w:lang w:val="en-US"/>
                </w:rPr>
                <w:t xml:space="preserve">Schultz, T. (1961). Investment in human capital. </w:t>
              </w:r>
              <w:r w:rsidRPr="00997CBA">
                <w:rPr>
                  <w:i/>
                  <w:iCs/>
                  <w:noProof/>
                  <w:lang w:val="en-US"/>
                </w:rPr>
                <w:t>American economic review</w:t>
              </w:r>
              <w:r w:rsidRPr="00997CBA">
                <w:rPr>
                  <w:noProof/>
                  <w:lang w:val="en-US"/>
                </w:rPr>
                <w:t>.</w:t>
              </w:r>
            </w:p>
            <w:p w14:paraId="112D0BB4" w14:textId="77777777" w:rsidR="00997CBA" w:rsidRDefault="00997CBA" w:rsidP="00997CBA">
              <w:pPr>
                <w:pStyle w:val="Bibliografa"/>
                <w:ind w:left="720" w:hanging="720"/>
                <w:rPr>
                  <w:noProof/>
                  <w:lang w:val="es-ES"/>
                </w:rPr>
              </w:pPr>
              <w:r w:rsidRPr="00997CBA">
                <w:rPr>
                  <w:noProof/>
                  <w:lang w:val="en-US"/>
                </w:rPr>
                <w:t xml:space="preserve">Serrano, J. (1997). </w:t>
              </w:r>
              <w:r>
                <w:rPr>
                  <w:noProof/>
                  <w:lang w:val="es-ES"/>
                </w:rPr>
                <w:t>Llegada de inmigrantes a Estados Unidos.</w:t>
              </w:r>
            </w:p>
            <w:p w14:paraId="0826BA2E" w14:textId="77777777" w:rsidR="00997CBA" w:rsidRPr="00997CBA" w:rsidRDefault="00997CBA" w:rsidP="00997CBA">
              <w:pPr>
                <w:pStyle w:val="Bibliografa"/>
                <w:ind w:left="720" w:hanging="720"/>
                <w:rPr>
                  <w:noProof/>
                  <w:lang w:val="en-US"/>
                </w:rPr>
              </w:pPr>
              <w:r>
                <w:rPr>
                  <w:noProof/>
                  <w:lang w:val="es-ES"/>
                </w:rPr>
                <w:t xml:space="preserve">Tovar, G. L. (1986). </w:t>
              </w:r>
              <w:r>
                <w:rPr>
                  <w:i/>
                  <w:iCs/>
                  <w:noProof/>
                  <w:lang w:val="es-ES"/>
                </w:rPr>
                <w:t>El asentamiento y la segregación de los Blancos y Mestizos.</w:t>
              </w:r>
              <w:r>
                <w:rPr>
                  <w:noProof/>
                  <w:lang w:val="es-ES"/>
                </w:rPr>
                <w:t xml:space="preserve"> </w:t>
              </w:r>
              <w:r w:rsidRPr="00997CBA">
                <w:rPr>
                  <w:noProof/>
                  <w:lang w:val="en-US"/>
                </w:rPr>
                <w:t>Bogotá: Cengage.</w:t>
              </w:r>
            </w:p>
            <w:p w14:paraId="50C13C9E" w14:textId="77777777" w:rsidR="00997CBA" w:rsidRDefault="00997CBA" w:rsidP="00997CBA">
              <w:pPr>
                <w:pStyle w:val="Bibliografa"/>
                <w:ind w:left="720" w:hanging="720"/>
                <w:rPr>
                  <w:noProof/>
                  <w:lang w:val="es-ES"/>
                </w:rPr>
              </w:pPr>
              <w:r w:rsidRPr="00997CBA">
                <w:rPr>
                  <w:noProof/>
                  <w:lang w:val="en-US"/>
                </w:rPr>
                <w:t xml:space="preserve">Vitelli, G. (2011). The Morphology of US five crisis after 1970. </w:t>
              </w:r>
              <w:r>
                <w:rPr>
                  <w:i/>
                  <w:iCs/>
                  <w:noProof/>
                  <w:lang w:val="es-ES"/>
                </w:rPr>
                <w:t>Economía UNAM, 8</w:t>
              </w:r>
              <w:r>
                <w:rPr>
                  <w:noProof/>
                  <w:lang w:val="es-ES"/>
                </w:rPr>
                <w:t>(23).</w:t>
              </w:r>
            </w:p>
            <w:p w14:paraId="419B0CF2" w14:textId="18C5478D" w:rsidR="00E10F77" w:rsidRDefault="00E10F77" w:rsidP="00997CBA">
              <w:pPr>
                <w:jc w:val="both"/>
              </w:pPr>
              <w:r>
                <w:rPr>
                  <w:b/>
                </w:rPr>
                <w:fldChar w:fldCharType="end"/>
              </w:r>
            </w:p>
          </w:sdtContent>
        </w:sdt>
      </w:sdtContent>
    </w:sdt>
    <w:p w14:paraId="2C2E97C9" w14:textId="5A878699" w:rsidR="00946D38" w:rsidRPr="00704A07" w:rsidRDefault="00946D38" w:rsidP="00D975AB">
      <w:pPr>
        <w:jc w:val="both"/>
        <w:rPr>
          <w:rFonts w:eastAsia="Calibri"/>
          <w:szCs w:val="24"/>
          <w:lang w:val="es-MX"/>
        </w:rPr>
      </w:pPr>
    </w:p>
    <w:p w14:paraId="1281CF97" w14:textId="77777777" w:rsidR="00946D38" w:rsidRPr="00704A07" w:rsidRDefault="00946D38" w:rsidP="00D975AB">
      <w:pPr>
        <w:jc w:val="both"/>
        <w:rPr>
          <w:rFonts w:cs="Roboto"/>
          <w:szCs w:val="24"/>
          <w:lang w:val="es-MX"/>
        </w:rPr>
      </w:pPr>
    </w:p>
    <w:p w14:paraId="190597F8" w14:textId="77777777" w:rsidR="00946D38" w:rsidRPr="00704A07" w:rsidRDefault="00946D38" w:rsidP="00D975AB">
      <w:pPr>
        <w:jc w:val="both"/>
        <w:rPr>
          <w:rFonts w:cs="Roboto"/>
          <w:szCs w:val="24"/>
          <w:lang w:val="es-MX"/>
        </w:rPr>
      </w:pPr>
    </w:p>
    <w:p w14:paraId="06A3BCD8" w14:textId="77777777" w:rsidR="00946D38" w:rsidRPr="00704A07" w:rsidRDefault="00946D38" w:rsidP="00D975AB">
      <w:pPr>
        <w:jc w:val="both"/>
        <w:rPr>
          <w:rFonts w:cs="Roboto"/>
          <w:szCs w:val="24"/>
          <w:lang w:val="es-MX"/>
        </w:rPr>
      </w:pPr>
    </w:p>
    <w:p w14:paraId="52906357" w14:textId="77777777" w:rsidR="00946D38" w:rsidRPr="00704A07" w:rsidRDefault="00946D38" w:rsidP="00D975AB">
      <w:pPr>
        <w:jc w:val="both"/>
        <w:rPr>
          <w:rFonts w:cs="Roboto"/>
          <w:szCs w:val="24"/>
          <w:lang w:val="es-MX"/>
        </w:rPr>
      </w:pPr>
    </w:p>
    <w:p w14:paraId="083FD547" w14:textId="77777777" w:rsidR="00946D38" w:rsidRPr="00704A07" w:rsidRDefault="00946D38" w:rsidP="00D975AB">
      <w:pPr>
        <w:jc w:val="both"/>
        <w:rPr>
          <w:rFonts w:cs="Roboto"/>
          <w:szCs w:val="24"/>
          <w:lang w:val="es-MX"/>
        </w:rPr>
      </w:pPr>
    </w:p>
    <w:p w14:paraId="13E5C203" w14:textId="77777777" w:rsidR="00946D38" w:rsidRPr="00704A07" w:rsidRDefault="00946D38" w:rsidP="00D975AB">
      <w:pPr>
        <w:jc w:val="both"/>
        <w:rPr>
          <w:rFonts w:cs="Roboto"/>
          <w:szCs w:val="24"/>
          <w:lang w:val="es-MX"/>
        </w:rPr>
      </w:pPr>
    </w:p>
    <w:p w14:paraId="7050AFEC" w14:textId="77777777" w:rsidR="00946D38" w:rsidRPr="00704A07" w:rsidRDefault="00946D38" w:rsidP="00D975AB">
      <w:pPr>
        <w:jc w:val="both"/>
        <w:rPr>
          <w:rFonts w:cs="Roboto"/>
          <w:szCs w:val="24"/>
          <w:lang w:val="es-MX"/>
        </w:rPr>
      </w:pPr>
    </w:p>
    <w:p w14:paraId="6279F1D6" w14:textId="77777777" w:rsidR="00946D38" w:rsidRPr="00704A07" w:rsidRDefault="00946D38" w:rsidP="00D975AB">
      <w:pPr>
        <w:jc w:val="both"/>
        <w:rPr>
          <w:rFonts w:cs="Roboto"/>
          <w:szCs w:val="24"/>
          <w:lang w:val="es-MX"/>
        </w:rPr>
      </w:pPr>
    </w:p>
    <w:p w14:paraId="7B3F7761" w14:textId="77777777" w:rsidR="00946D38" w:rsidRPr="00704A07" w:rsidRDefault="00946D38" w:rsidP="00D975AB">
      <w:pPr>
        <w:jc w:val="both"/>
        <w:rPr>
          <w:rFonts w:cs="Roboto"/>
          <w:szCs w:val="24"/>
          <w:lang w:val="es-MX"/>
        </w:rPr>
      </w:pPr>
    </w:p>
    <w:p w14:paraId="4CD3BFDF" w14:textId="77777777" w:rsidR="00946D38" w:rsidRPr="00704A07" w:rsidRDefault="00946D38" w:rsidP="00D975AB">
      <w:pPr>
        <w:jc w:val="both"/>
        <w:rPr>
          <w:rFonts w:cs="Roboto"/>
          <w:szCs w:val="24"/>
          <w:lang w:val="es-MX"/>
        </w:rPr>
      </w:pPr>
    </w:p>
    <w:p w14:paraId="72749CC2" w14:textId="77777777" w:rsidR="00946D38" w:rsidRPr="00704A07" w:rsidRDefault="00946D38" w:rsidP="00D975AB">
      <w:pPr>
        <w:jc w:val="both"/>
        <w:rPr>
          <w:rFonts w:cs="Roboto"/>
          <w:szCs w:val="24"/>
          <w:lang w:val="es-MX"/>
        </w:rPr>
      </w:pPr>
    </w:p>
    <w:p w14:paraId="7EAEBB01" w14:textId="77777777" w:rsidR="00946D38" w:rsidRPr="00704A07" w:rsidRDefault="00946D38" w:rsidP="00D975AB">
      <w:pPr>
        <w:jc w:val="both"/>
        <w:rPr>
          <w:rFonts w:cs="Roboto"/>
          <w:szCs w:val="24"/>
          <w:lang w:val="es-MX"/>
        </w:rPr>
      </w:pPr>
    </w:p>
    <w:p w14:paraId="1049115F" w14:textId="77777777" w:rsidR="00946D38" w:rsidRPr="00704A07" w:rsidRDefault="00946D38" w:rsidP="00D975AB">
      <w:pPr>
        <w:jc w:val="both"/>
        <w:rPr>
          <w:rFonts w:cs="Roboto"/>
          <w:szCs w:val="24"/>
          <w:lang w:val="es-MX"/>
        </w:rPr>
      </w:pPr>
    </w:p>
    <w:p w14:paraId="5E2C34AA" w14:textId="77777777" w:rsidR="00946D38" w:rsidRPr="00704A07" w:rsidRDefault="00946D38" w:rsidP="00D975AB">
      <w:pPr>
        <w:jc w:val="both"/>
        <w:rPr>
          <w:rFonts w:cs="Roboto"/>
          <w:szCs w:val="24"/>
          <w:lang w:val="es-MX"/>
        </w:rPr>
      </w:pPr>
    </w:p>
    <w:p w14:paraId="60ED3EB7" w14:textId="77777777" w:rsidR="00946D38" w:rsidRPr="00704A07" w:rsidRDefault="00946D38" w:rsidP="00D975AB">
      <w:pPr>
        <w:jc w:val="both"/>
        <w:rPr>
          <w:rFonts w:cs="Roboto"/>
          <w:szCs w:val="24"/>
          <w:lang w:val="es-MX"/>
        </w:rPr>
      </w:pPr>
    </w:p>
    <w:p w14:paraId="088BCDF9" w14:textId="77777777" w:rsidR="00946D38" w:rsidRDefault="00946D38" w:rsidP="00D975AB">
      <w:pPr>
        <w:jc w:val="both"/>
        <w:rPr>
          <w:rFonts w:cs="Roboto"/>
          <w:szCs w:val="24"/>
          <w:lang w:val="es-MX"/>
        </w:rPr>
      </w:pPr>
    </w:p>
    <w:p w14:paraId="388CCF94" w14:textId="77777777" w:rsidR="00A971C0" w:rsidRDefault="00A971C0" w:rsidP="00D975AB">
      <w:pPr>
        <w:jc w:val="both"/>
        <w:rPr>
          <w:rFonts w:cs="Roboto"/>
          <w:szCs w:val="24"/>
          <w:lang w:val="es-MX"/>
        </w:rPr>
      </w:pPr>
    </w:p>
    <w:p w14:paraId="73A59C5F" w14:textId="77777777" w:rsidR="00A971C0" w:rsidRDefault="00A971C0" w:rsidP="00D975AB">
      <w:pPr>
        <w:jc w:val="both"/>
        <w:rPr>
          <w:rFonts w:cs="Roboto"/>
          <w:szCs w:val="24"/>
          <w:lang w:val="es-MX"/>
        </w:rPr>
      </w:pPr>
    </w:p>
    <w:p w14:paraId="6FBED920" w14:textId="77777777" w:rsidR="00A971C0" w:rsidRPr="00704A07" w:rsidRDefault="00A971C0" w:rsidP="00D975AB">
      <w:pPr>
        <w:jc w:val="both"/>
        <w:rPr>
          <w:rFonts w:cs="Roboto"/>
          <w:szCs w:val="24"/>
          <w:lang w:val="es-MX"/>
        </w:rPr>
      </w:pPr>
    </w:p>
    <w:p w14:paraId="7669749D" w14:textId="77777777" w:rsidR="00946D38" w:rsidRPr="00704A07" w:rsidRDefault="00946D38" w:rsidP="00D975AB">
      <w:pPr>
        <w:jc w:val="both"/>
        <w:rPr>
          <w:rFonts w:cs="Roboto"/>
          <w:szCs w:val="24"/>
          <w:lang w:val="es-MX"/>
        </w:rPr>
      </w:pPr>
    </w:p>
    <w:p w14:paraId="51B7739F" w14:textId="1D89A473" w:rsidR="02CFB343" w:rsidRDefault="02CFB343" w:rsidP="00D975AB">
      <w:pPr>
        <w:jc w:val="both"/>
        <w:rPr>
          <w:rFonts w:eastAsia="Calibri" w:cs="Arial"/>
          <w:szCs w:val="24"/>
          <w:lang w:val="es-MX"/>
        </w:rPr>
      </w:pPr>
    </w:p>
    <w:p w14:paraId="2D2B6FDB" w14:textId="77777777" w:rsidR="00946D38" w:rsidRPr="00103100" w:rsidRDefault="00946D38" w:rsidP="00824544">
      <w:pPr>
        <w:pStyle w:val="Ttulo1"/>
        <w:numPr>
          <w:ilvl w:val="0"/>
          <w:numId w:val="0"/>
        </w:numPr>
        <w:ind w:left="432"/>
        <w:rPr>
          <w:sz w:val="60"/>
          <w:szCs w:val="60"/>
        </w:rPr>
      </w:pPr>
      <w:bookmarkStart w:id="34" w:name="_Toc91548323"/>
      <w:r w:rsidRPr="2557D213">
        <w:rPr>
          <w:sz w:val="60"/>
          <w:szCs w:val="60"/>
        </w:rPr>
        <w:t>ANEXOS</w:t>
      </w:r>
      <w:bookmarkEnd w:id="34"/>
    </w:p>
    <w:p w14:paraId="766EF1CF" w14:textId="77777777" w:rsidR="00946D38" w:rsidRPr="00103100" w:rsidRDefault="00946D38" w:rsidP="00D975AB">
      <w:pPr>
        <w:jc w:val="both"/>
        <w:rPr>
          <w:rFonts w:cs="Roboto"/>
          <w:szCs w:val="24"/>
        </w:rPr>
      </w:pPr>
    </w:p>
    <w:p w14:paraId="193F7675" w14:textId="77777777" w:rsidR="00946D38" w:rsidRPr="00103100" w:rsidRDefault="00946D38" w:rsidP="00D975AB">
      <w:pPr>
        <w:jc w:val="both"/>
        <w:rPr>
          <w:rFonts w:cs="Roboto"/>
          <w:szCs w:val="24"/>
        </w:rPr>
      </w:pPr>
    </w:p>
    <w:p w14:paraId="32B01B7B" w14:textId="77777777" w:rsidR="00946D38" w:rsidRPr="00103100" w:rsidRDefault="00946D38" w:rsidP="00D975AB">
      <w:pPr>
        <w:jc w:val="both"/>
        <w:rPr>
          <w:rFonts w:cs="Roboto"/>
          <w:szCs w:val="24"/>
        </w:rPr>
      </w:pPr>
    </w:p>
    <w:p w14:paraId="291B0145" w14:textId="77777777" w:rsidR="00946D38" w:rsidRPr="00103100" w:rsidRDefault="00946D38" w:rsidP="00D975AB">
      <w:pPr>
        <w:jc w:val="both"/>
        <w:rPr>
          <w:rFonts w:cs="Roboto"/>
        </w:rPr>
      </w:pPr>
    </w:p>
    <w:p w14:paraId="52AC12E8" w14:textId="0F87E8C4" w:rsidR="092BE8F0" w:rsidRDefault="092BE8F0" w:rsidP="00D975AB">
      <w:pPr>
        <w:jc w:val="both"/>
        <w:rPr>
          <w:rFonts w:eastAsia="Calibri" w:cs="Arial"/>
          <w:szCs w:val="24"/>
        </w:rPr>
      </w:pPr>
    </w:p>
    <w:p w14:paraId="1786A68C" w14:textId="710DEC71" w:rsidR="092BE8F0" w:rsidRDefault="092BE8F0" w:rsidP="00D975AB">
      <w:pPr>
        <w:jc w:val="both"/>
        <w:rPr>
          <w:rFonts w:eastAsia="Calibri" w:cs="Arial"/>
          <w:szCs w:val="24"/>
        </w:rPr>
      </w:pPr>
    </w:p>
    <w:p w14:paraId="2D7FF8EA" w14:textId="4FD50513" w:rsidR="092BE8F0" w:rsidRDefault="092BE8F0" w:rsidP="00D975AB">
      <w:pPr>
        <w:jc w:val="both"/>
        <w:rPr>
          <w:rFonts w:eastAsia="Calibri" w:cs="Arial"/>
          <w:szCs w:val="24"/>
        </w:rPr>
      </w:pPr>
    </w:p>
    <w:p w14:paraId="33A64727" w14:textId="05CB08B5" w:rsidR="092BE8F0" w:rsidRDefault="092BE8F0" w:rsidP="00D975AB">
      <w:pPr>
        <w:jc w:val="both"/>
        <w:rPr>
          <w:rFonts w:eastAsia="Calibri" w:cs="Arial"/>
          <w:szCs w:val="24"/>
        </w:rPr>
      </w:pPr>
    </w:p>
    <w:p w14:paraId="4AB1969B" w14:textId="74ACEA92" w:rsidR="092BE8F0" w:rsidRDefault="092BE8F0" w:rsidP="00D975AB">
      <w:pPr>
        <w:jc w:val="both"/>
        <w:rPr>
          <w:rFonts w:eastAsia="Calibri" w:cs="Arial"/>
          <w:szCs w:val="24"/>
        </w:rPr>
      </w:pPr>
    </w:p>
    <w:p w14:paraId="5864F645" w14:textId="384E1485" w:rsidR="092BE8F0" w:rsidRDefault="092BE8F0" w:rsidP="00D975AB">
      <w:pPr>
        <w:jc w:val="both"/>
        <w:rPr>
          <w:rFonts w:eastAsia="Calibri" w:cs="Arial"/>
          <w:szCs w:val="24"/>
        </w:rPr>
      </w:pPr>
    </w:p>
    <w:p w14:paraId="61147022" w14:textId="1C48DE42" w:rsidR="092BE8F0" w:rsidRDefault="092BE8F0" w:rsidP="00D975AB">
      <w:pPr>
        <w:jc w:val="both"/>
        <w:rPr>
          <w:rFonts w:eastAsia="Calibri" w:cs="Arial"/>
          <w:szCs w:val="24"/>
        </w:rPr>
      </w:pPr>
    </w:p>
    <w:p w14:paraId="50C53B0D" w14:textId="260F94EF" w:rsidR="092BE8F0" w:rsidRDefault="092BE8F0" w:rsidP="00D975AB">
      <w:pPr>
        <w:jc w:val="both"/>
        <w:rPr>
          <w:rFonts w:eastAsia="Calibri" w:cs="Arial"/>
          <w:szCs w:val="24"/>
        </w:rPr>
      </w:pPr>
    </w:p>
    <w:p w14:paraId="0C0C87C4" w14:textId="5441CFF1" w:rsidR="00946D38" w:rsidRPr="00997CBA" w:rsidRDefault="1C7FA1C9" w:rsidP="00D975AB">
      <w:pPr>
        <w:pStyle w:val="TITULOTablasyFiguras"/>
        <w:jc w:val="both"/>
        <w:rPr>
          <w:rFonts w:eastAsia="Calibri" w:cs="Times New Roman"/>
          <w:color w:val="auto"/>
          <w:szCs w:val="24"/>
        </w:rPr>
      </w:pPr>
      <w:r w:rsidRPr="00997CBA">
        <w:rPr>
          <w:rFonts w:cs="Times New Roman"/>
          <w:color w:val="auto"/>
        </w:rPr>
        <w:lastRenderedPageBreak/>
        <w:t>Anexo 01</w:t>
      </w:r>
    </w:p>
    <w:p w14:paraId="323A15C3" w14:textId="02FADF95" w:rsidR="1C7FA1C9" w:rsidRPr="00997CBA" w:rsidRDefault="00EE6FE0" w:rsidP="00D975AB">
      <w:pPr>
        <w:pStyle w:val="TITULOTablasyFiguras"/>
        <w:jc w:val="both"/>
        <w:rPr>
          <w:rFonts w:eastAsia="Calibri" w:cs="Times New Roman"/>
          <w:color w:val="auto"/>
        </w:rPr>
      </w:pPr>
      <w:r w:rsidRPr="00997CBA">
        <w:rPr>
          <w:rFonts w:cs="Times New Roman"/>
          <w:noProof/>
          <w:color w:val="auto"/>
        </w:rPr>
        <w:drawing>
          <wp:anchor distT="0" distB="0" distL="114300" distR="114300" simplePos="0" relativeHeight="251658252" behindDoc="0" locked="0" layoutInCell="1" allowOverlap="1" wp14:anchorId="6C060F85" wp14:editId="1021B9DA">
            <wp:simplePos x="0" y="0"/>
            <wp:positionH relativeFrom="column">
              <wp:posOffset>451812</wp:posOffset>
            </wp:positionH>
            <wp:positionV relativeFrom="paragraph">
              <wp:posOffset>349250</wp:posOffset>
            </wp:positionV>
            <wp:extent cx="4680000" cy="2880000"/>
            <wp:effectExtent l="0" t="0" r="6350" b="15875"/>
            <wp:wrapSquare wrapText="bothSides"/>
            <wp:docPr id="25" name="Gráfico 25">
              <a:extLst xmlns:a="http://schemas.openxmlformats.org/drawingml/2006/main">
                <a:ext uri="{FF2B5EF4-FFF2-40B4-BE49-F238E27FC236}">
                  <a16:creationId xmlns:a16="http://schemas.microsoft.com/office/drawing/2014/main" id="{8367A18B-D7F9-4F43-A6F4-5E04A451C6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237F2A1F" w:rsidRPr="00997CBA">
        <w:rPr>
          <w:rFonts w:cs="Times New Roman"/>
          <w:color w:val="auto"/>
        </w:rPr>
        <w:t xml:space="preserve">Producto Bruto Interno </w:t>
      </w:r>
      <w:r w:rsidR="6B1DD6BB" w:rsidRPr="00997CBA">
        <w:rPr>
          <w:rFonts w:cs="Times New Roman"/>
          <w:color w:val="auto"/>
        </w:rPr>
        <w:t xml:space="preserve">de </w:t>
      </w:r>
      <w:r w:rsidR="096F7E1E" w:rsidRPr="00997CBA">
        <w:rPr>
          <w:rFonts w:cs="Times New Roman"/>
          <w:color w:val="auto"/>
        </w:rPr>
        <w:t xml:space="preserve">Estados Unidos 1960 </w:t>
      </w:r>
      <w:r w:rsidR="4B9D2965" w:rsidRPr="00997CBA">
        <w:rPr>
          <w:rFonts w:cs="Times New Roman"/>
          <w:color w:val="auto"/>
        </w:rPr>
        <w:t>– 2019 (MM</w:t>
      </w:r>
      <w:r w:rsidR="2CC88491" w:rsidRPr="00997CBA">
        <w:rPr>
          <w:rFonts w:cs="Times New Roman"/>
          <w:color w:val="auto"/>
        </w:rPr>
        <w:t xml:space="preserve"> USD)</w:t>
      </w:r>
    </w:p>
    <w:p w14:paraId="2B69A54F" w14:textId="08ECE431" w:rsidR="2CC88491" w:rsidRDefault="2CC88491" w:rsidP="00D975AB">
      <w:pPr>
        <w:jc w:val="both"/>
        <w:rPr>
          <w:rFonts w:eastAsia="Calibri" w:cs="Arial"/>
        </w:rPr>
      </w:pPr>
    </w:p>
    <w:p w14:paraId="35BD5A82" w14:textId="22568EB8" w:rsidR="007E3C91" w:rsidRDefault="007E3C91" w:rsidP="00D975AB">
      <w:pPr>
        <w:jc w:val="both"/>
        <w:rPr>
          <w:rFonts w:eastAsia="Calibri" w:cs="Arial"/>
        </w:rPr>
      </w:pPr>
    </w:p>
    <w:p w14:paraId="607805FE" w14:textId="77777777" w:rsidR="00EE6FE0" w:rsidRPr="00997CBA" w:rsidRDefault="00EE6FE0" w:rsidP="00D975AB">
      <w:pPr>
        <w:pStyle w:val="TITULOTablasyFiguras"/>
        <w:jc w:val="both"/>
        <w:rPr>
          <w:rFonts w:cs="Times New Roman"/>
          <w:color w:val="auto"/>
        </w:rPr>
      </w:pPr>
    </w:p>
    <w:p w14:paraId="20F110EF" w14:textId="77777777" w:rsidR="00EE6FE0" w:rsidRPr="00997CBA" w:rsidRDefault="00EE6FE0" w:rsidP="00D975AB">
      <w:pPr>
        <w:pStyle w:val="TITULOTablasyFiguras"/>
        <w:jc w:val="both"/>
        <w:rPr>
          <w:rFonts w:cs="Times New Roman"/>
          <w:color w:val="auto"/>
        </w:rPr>
      </w:pPr>
    </w:p>
    <w:p w14:paraId="761257E2" w14:textId="77777777" w:rsidR="00EE6FE0" w:rsidRPr="00997CBA" w:rsidRDefault="00EE6FE0" w:rsidP="00D975AB">
      <w:pPr>
        <w:pStyle w:val="TITULOTablasyFiguras"/>
        <w:jc w:val="both"/>
        <w:rPr>
          <w:rFonts w:cs="Times New Roman"/>
          <w:color w:val="auto"/>
        </w:rPr>
      </w:pPr>
    </w:p>
    <w:p w14:paraId="1513D559" w14:textId="77777777" w:rsidR="00EE6FE0" w:rsidRPr="00997CBA" w:rsidRDefault="00EE6FE0" w:rsidP="00D975AB">
      <w:pPr>
        <w:pStyle w:val="TITULOTablasyFiguras"/>
        <w:jc w:val="both"/>
        <w:rPr>
          <w:rFonts w:cs="Times New Roman"/>
          <w:color w:val="auto"/>
        </w:rPr>
      </w:pPr>
    </w:p>
    <w:p w14:paraId="6E8DA490" w14:textId="77777777" w:rsidR="00EE6FE0" w:rsidRPr="00997CBA" w:rsidRDefault="00EE6FE0" w:rsidP="00D975AB">
      <w:pPr>
        <w:pStyle w:val="TITULOTablasyFiguras"/>
        <w:jc w:val="both"/>
        <w:rPr>
          <w:rFonts w:cs="Times New Roman"/>
          <w:color w:val="auto"/>
        </w:rPr>
      </w:pPr>
    </w:p>
    <w:p w14:paraId="54A739A0" w14:textId="77777777" w:rsidR="00EE6FE0" w:rsidRPr="00997CBA" w:rsidRDefault="00EE6FE0" w:rsidP="00D975AB">
      <w:pPr>
        <w:pStyle w:val="TITULOTablasyFiguras"/>
        <w:jc w:val="both"/>
        <w:rPr>
          <w:rFonts w:cs="Times New Roman"/>
          <w:color w:val="auto"/>
        </w:rPr>
      </w:pPr>
    </w:p>
    <w:p w14:paraId="65A0B6BB" w14:textId="77777777" w:rsidR="00EE6FE0" w:rsidRPr="00997CBA" w:rsidRDefault="00EE6FE0" w:rsidP="00D975AB">
      <w:pPr>
        <w:pStyle w:val="TITULOTablasyFiguras"/>
        <w:jc w:val="both"/>
        <w:rPr>
          <w:rFonts w:cs="Times New Roman"/>
          <w:color w:val="auto"/>
        </w:rPr>
      </w:pPr>
    </w:p>
    <w:p w14:paraId="4AA98D0D" w14:textId="77777777" w:rsidR="00EE6FE0" w:rsidRPr="00997CBA" w:rsidRDefault="00EE6FE0" w:rsidP="00D975AB">
      <w:pPr>
        <w:pStyle w:val="TITULOTablasyFiguras"/>
        <w:jc w:val="both"/>
        <w:rPr>
          <w:rFonts w:cs="Times New Roman"/>
          <w:color w:val="auto"/>
        </w:rPr>
      </w:pPr>
    </w:p>
    <w:p w14:paraId="58217D56" w14:textId="38268B3C" w:rsidR="1C7FA1C9" w:rsidRPr="00997CBA" w:rsidRDefault="1C7FA1C9" w:rsidP="00D975AB">
      <w:pPr>
        <w:pStyle w:val="TITULOTablasyFiguras"/>
        <w:jc w:val="both"/>
        <w:rPr>
          <w:rFonts w:eastAsia="Calibri" w:cs="Times New Roman"/>
          <w:color w:val="auto"/>
          <w:szCs w:val="24"/>
        </w:rPr>
      </w:pPr>
      <w:r w:rsidRPr="00997CBA">
        <w:rPr>
          <w:rFonts w:cs="Times New Roman"/>
          <w:color w:val="auto"/>
        </w:rPr>
        <w:t>Anexo 02</w:t>
      </w:r>
    </w:p>
    <w:p w14:paraId="1B922D55" w14:textId="23955683" w:rsidR="00946D38" w:rsidRPr="00997CBA" w:rsidRDefault="00EE6FE0" w:rsidP="00D975AB">
      <w:pPr>
        <w:pStyle w:val="TITULOTablasyFiguras"/>
        <w:jc w:val="both"/>
        <w:rPr>
          <w:rFonts w:eastAsia="Calibri" w:cs="Times New Roman"/>
          <w:color w:val="auto"/>
          <w:szCs w:val="24"/>
        </w:rPr>
      </w:pPr>
      <w:r w:rsidRPr="00997CBA">
        <w:rPr>
          <w:rFonts w:cs="Times New Roman"/>
          <w:noProof/>
          <w:color w:val="auto"/>
        </w:rPr>
        <w:drawing>
          <wp:anchor distT="0" distB="0" distL="114300" distR="114300" simplePos="0" relativeHeight="251658253" behindDoc="0" locked="0" layoutInCell="1" allowOverlap="1" wp14:anchorId="6D766060" wp14:editId="3E49F3B3">
            <wp:simplePos x="0" y="0"/>
            <wp:positionH relativeFrom="column">
              <wp:posOffset>451811</wp:posOffset>
            </wp:positionH>
            <wp:positionV relativeFrom="paragraph">
              <wp:posOffset>353060</wp:posOffset>
            </wp:positionV>
            <wp:extent cx="4680000" cy="2880000"/>
            <wp:effectExtent l="0" t="0" r="6350" b="15875"/>
            <wp:wrapSquare wrapText="bothSides"/>
            <wp:docPr id="26" name="Gráfico 26">
              <a:extLst xmlns:a="http://schemas.openxmlformats.org/drawingml/2006/main">
                <a:ext uri="{FF2B5EF4-FFF2-40B4-BE49-F238E27FC236}">
                  <a16:creationId xmlns:a16="http://schemas.microsoft.com/office/drawing/2014/main" id="{0741D3D0-1275-4060-B49C-C4553DB288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470D4D70" w:rsidRPr="00997CBA">
        <w:rPr>
          <w:rFonts w:cs="Times New Roman"/>
          <w:color w:val="auto"/>
        </w:rPr>
        <w:t xml:space="preserve">Producto Bruto Interno </w:t>
      </w:r>
      <w:r w:rsidR="78E9C3C2" w:rsidRPr="00997CBA">
        <w:rPr>
          <w:rFonts w:cs="Times New Roman"/>
          <w:color w:val="auto"/>
        </w:rPr>
        <w:t xml:space="preserve">Per cápita </w:t>
      </w:r>
      <w:r w:rsidR="470D4D70" w:rsidRPr="00997CBA">
        <w:rPr>
          <w:rFonts w:cs="Times New Roman"/>
          <w:color w:val="auto"/>
        </w:rPr>
        <w:t xml:space="preserve">de Estados Unidos </w:t>
      </w:r>
      <w:r w:rsidR="45D4C65F" w:rsidRPr="00997CBA">
        <w:rPr>
          <w:rFonts w:cs="Times New Roman"/>
          <w:color w:val="auto"/>
        </w:rPr>
        <w:t>1986</w:t>
      </w:r>
      <w:r w:rsidR="470D4D70" w:rsidRPr="00997CBA">
        <w:rPr>
          <w:rFonts w:cs="Times New Roman"/>
          <w:color w:val="auto"/>
        </w:rPr>
        <w:t xml:space="preserve"> – 2019 (USD)</w:t>
      </w:r>
    </w:p>
    <w:p w14:paraId="20D82CD0" w14:textId="1AC21B13" w:rsidR="00A2671C" w:rsidRPr="00A971C0" w:rsidRDefault="00A2671C" w:rsidP="00D975AB">
      <w:pPr>
        <w:jc w:val="both"/>
        <w:rPr>
          <w:rFonts w:eastAsia="Calibri" w:cs="Arial"/>
          <w:szCs w:val="24"/>
        </w:rPr>
      </w:pPr>
    </w:p>
    <w:sectPr w:rsidR="00A2671C" w:rsidRPr="00A971C0" w:rsidSect="00A8499A">
      <w:pgSz w:w="12240" w:h="15840"/>
      <w:pgMar w:top="1440" w:right="1440" w:bottom="1440"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4A733" w14:textId="77777777" w:rsidR="0019619D" w:rsidRDefault="0019619D" w:rsidP="00501BF5">
      <w:pPr>
        <w:spacing w:line="240" w:lineRule="auto"/>
      </w:pPr>
      <w:r>
        <w:separator/>
      </w:r>
    </w:p>
  </w:endnote>
  <w:endnote w:type="continuationSeparator" w:id="0">
    <w:p w14:paraId="25AC3FD5" w14:textId="77777777" w:rsidR="0019619D" w:rsidRDefault="0019619D" w:rsidP="00501BF5">
      <w:pPr>
        <w:spacing w:line="240" w:lineRule="auto"/>
      </w:pPr>
      <w:r>
        <w:continuationSeparator/>
      </w:r>
    </w:p>
  </w:endnote>
  <w:endnote w:type="continuationNotice" w:id="1">
    <w:p w14:paraId="5E126CA1" w14:textId="77777777" w:rsidR="0019619D" w:rsidRDefault="001961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Yu Mincho">
    <w:altName w:val="游明朝"/>
    <w:charset w:val="80"/>
    <w:family w:val="roman"/>
    <w:pitch w:val="variable"/>
    <w:sig w:usb0="800002E7" w:usb1="2AC7FCFF" w:usb2="00000012" w:usb3="00000000" w:csb0="0002009F" w:csb1="00000000"/>
  </w:font>
  <w:font w:name="Time new rom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6F846" w14:textId="77777777" w:rsidR="0019619D" w:rsidRDefault="0019619D" w:rsidP="00501BF5">
      <w:pPr>
        <w:spacing w:line="240" w:lineRule="auto"/>
      </w:pPr>
      <w:r>
        <w:separator/>
      </w:r>
    </w:p>
  </w:footnote>
  <w:footnote w:type="continuationSeparator" w:id="0">
    <w:p w14:paraId="3D74AF87" w14:textId="77777777" w:rsidR="0019619D" w:rsidRDefault="0019619D" w:rsidP="00501BF5">
      <w:pPr>
        <w:spacing w:line="240" w:lineRule="auto"/>
      </w:pPr>
      <w:r>
        <w:continuationSeparator/>
      </w:r>
    </w:p>
  </w:footnote>
  <w:footnote w:type="continuationNotice" w:id="1">
    <w:p w14:paraId="52AB60EC" w14:textId="77777777" w:rsidR="0019619D" w:rsidRDefault="0019619D">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D56Y7kiHfkEpKe" int2:id="4VGPUuQk">
      <int2:state int2:value="Rejected" int2:type="LegacyProofing"/>
    </int2:textHash>
    <int2:textHash int2:hashCode="cOXWSd8VWWY6ve" int2:id="87JNkhc2">
      <int2:state int2:value="Rejected" int2:type="LegacyProofing"/>
    </int2:textHash>
    <int2:textHash int2:hashCode="BbOvnPZs0TRAZy" int2:id="B4s7HBlx">
      <int2:state int2:value="Rejected" int2:type="LegacyProofing"/>
    </int2:textHash>
    <int2:textHash int2:hashCode="i2Dp1zm1pb/YfL" int2:id="EXUC58ra">
      <int2:state int2:value="Rejected" int2:type="LegacyProofing"/>
    </int2:textHash>
    <int2:textHash int2:hashCode="LHvxt3eFm3Fkex" int2:id="EkMBJ5MW">
      <int2:state int2:value="Rejected" int2:type="LegacyProofing"/>
    </int2:textHash>
    <int2:textHash int2:hashCode="+iwO2mFj7P3kPt" int2:id="G0LPho5d">
      <int2:state int2:value="Rejected" int2:type="LegacyProofing"/>
    </int2:textHash>
    <int2:textHash int2:hashCode="yAWjH6VMtk3556" int2:id="GhzPRD83">
      <int2:state int2:value="Rejected" int2:type="LegacyProofing"/>
    </int2:textHash>
    <int2:textHash int2:hashCode="QE/p7F33FAXhmi" int2:id="KoM1oT1h">
      <int2:state int2:value="Rejected" int2:type="LegacyProofing"/>
    </int2:textHash>
    <int2:textHash int2:hashCode="wnIkz6g4bc0ruQ" int2:id="LJwbUVzk">
      <int2:state int2:value="Rejected" int2:type="LegacyProofing"/>
    </int2:textHash>
    <int2:textHash int2:hashCode="SMFY4AWGhIMr8Y" int2:id="PQAyb01l">
      <int2:state int2:value="Rejected" int2:type="LegacyProofing"/>
    </int2:textHash>
    <int2:textHash int2:hashCode="IEA2oe9uc2DlNj" int2:id="YtCTPCO9">
      <int2:state int2:value="Rejected" int2:type="LegacyProofing"/>
    </int2:textHash>
    <int2:textHash int2:hashCode="5/Z9AscGd17AHr" int2:id="aMPC91pV">
      <int2:state int2:value="Rejected" int2:type="LegacyProofing"/>
    </int2:textHash>
    <int2:textHash int2:hashCode="WHP2ZtA/s/s50N" int2:id="o6fbMoo8">
      <int2:state int2:value="Rejected" int2:type="LegacyProofing"/>
    </int2:textHash>
    <int2:textHash int2:hashCode="I3MBGq+DtEGus8" int2:id="obTPm6sr">
      <int2:state int2:value="Rejected" int2:type="LegacyProofing"/>
    </int2:textHash>
    <int2:textHash int2:hashCode="RNIVZXo+8j3wVU" int2:id="qbIiS9AR">
      <int2:state int2:value="Rejected" int2:type="LegacyProofing"/>
    </int2:textHash>
    <int2:textHash int2:hashCode="dvO1pxcKkiEqX1" int2:id="sGNDsz9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C1FCB"/>
    <w:multiLevelType w:val="hybridMultilevel"/>
    <w:tmpl w:val="B30EC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3E479A"/>
    <w:multiLevelType w:val="multilevel"/>
    <w:tmpl w:val="55BA41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BF445A6"/>
    <w:multiLevelType w:val="hybridMultilevel"/>
    <w:tmpl w:val="2E2E0130"/>
    <w:lvl w:ilvl="0" w:tplc="B04ABD20">
      <w:numFmt w:val="bullet"/>
      <w:lvlText w:val="-"/>
      <w:lvlJc w:val="left"/>
      <w:pPr>
        <w:ind w:left="720" w:hanging="360"/>
      </w:pPr>
      <w:rPr>
        <w:rFonts w:ascii="Times New Roman" w:eastAsiaTheme="minorHAns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3D97390"/>
    <w:multiLevelType w:val="hybridMultilevel"/>
    <w:tmpl w:val="6B6C70B4"/>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FFD18DE"/>
    <w:multiLevelType w:val="multilevel"/>
    <w:tmpl w:val="93C2EBEE"/>
    <w:lvl w:ilvl="0">
      <w:start w:val="1"/>
      <w:numFmt w:val="decimal"/>
      <w:pStyle w:val="Ttulo1"/>
      <w:lvlText w:val="%1."/>
      <w:lvlJc w:val="left"/>
      <w:pPr>
        <w:ind w:left="432" w:hanging="432"/>
      </w:pPr>
      <w:rPr>
        <w:rFonts w:hint="default"/>
        <w:color w:val="FFFFFF" w:themeColor="background1"/>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588" w:hanging="868"/>
      </w:pPr>
      <w:rPr>
        <w:rFonts w:hint="default"/>
      </w:rPr>
    </w:lvl>
    <w:lvl w:ilvl="4">
      <w:start w:val="1"/>
      <w:numFmt w:val="decimal"/>
      <w:pStyle w:val="Ttulo5"/>
      <w:lvlText w:val="%1.%2.%3.%4.%5."/>
      <w:lvlJc w:val="left"/>
      <w:pPr>
        <w:ind w:left="1758" w:hanging="103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 w15:restartNumberingAfterBreak="0">
    <w:nsid w:val="73E436A2"/>
    <w:multiLevelType w:val="hybridMultilevel"/>
    <w:tmpl w:val="6ADC130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77610D13"/>
    <w:multiLevelType w:val="hybridMultilevel"/>
    <w:tmpl w:val="A31CDE94"/>
    <w:lvl w:ilvl="0" w:tplc="3C144DBE">
      <w:start w:val="1"/>
      <w:numFmt w:val="decimal"/>
      <w:lvlText w:val="%1.1.1"/>
      <w:lvlJc w:val="left"/>
      <w:pPr>
        <w:ind w:left="1004" w:hanging="360"/>
      </w:pPr>
      <w:rPr>
        <w:rFonts w:hint="default"/>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7" w15:restartNumberingAfterBreak="0">
    <w:nsid w:val="7972656C"/>
    <w:multiLevelType w:val="hybridMultilevel"/>
    <w:tmpl w:val="403003E8"/>
    <w:lvl w:ilvl="0" w:tplc="9072E942">
      <w:numFmt w:val="bullet"/>
      <w:lvlText w:val="-"/>
      <w:lvlJc w:val="left"/>
      <w:pPr>
        <w:ind w:left="720" w:hanging="360"/>
      </w:pPr>
      <w:rPr>
        <w:rFonts w:ascii="Times New Roman" w:eastAsiaTheme="minorHAns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1"/>
  </w:num>
  <w:num w:numId="4">
    <w:abstractNumId w:val="4"/>
  </w:num>
  <w:num w:numId="5">
    <w:abstractNumId w:val="2"/>
  </w:num>
  <w:num w:numId="6">
    <w:abstractNumId w:val="7"/>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0"/>
  </w:num>
  <w:num w:numId="26">
    <w:abstractNumId w:val="3"/>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D38"/>
    <w:rsid w:val="000001BC"/>
    <w:rsid w:val="000010B1"/>
    <w:rsid w:val="00005A3E"/>
    <w:rsid w:val="000069FC"/>
    <w:rsid w:val="00007861"/>
    <w:rsid w:val="00015C0B"/>
    <w:rsid w:val="000160FC"/>
    <w:rsid w:val="0002263E"/>
    <w:rsid w:val="00022DCD"/>
    <w:rsid w:val="00023445"/>
    <w:rsid w:val="00025657"/>
    <w:rsid w:val="000267DA"/>
    <w:rsid w:val="00026FAF"/>
    <w:rsid w:val="0002760D"/>
    <w:rsid w:val="00034734"/>
    <w:rsid w:val="00034BBA"/>
    <w:rsid w:val="00036BFE"/>
    <w:rsid w:val="000406E3"/>
    <w:rsid w:val="00040F93"/>
    <w:rsid w:val="00046C9F"/>
    <w:rsid w:val="00050162"/>
    <w:rsid w:val="00053117"/>
    <w:rsid w:val="00053B72"/>
    <w:rsid w:val="00055DF5"/>
    <w:rsid w:val="000566CF"/>
    <w:rsid w:val="00057D8F"/>
    <w:rsid w:val="000602C6"/>
    <w:rsid w:val="0006031A"/>
    <w:rsid w:val="000604FD"/>
    <w:rsid w:val="00063004"/>
    <w:rsid w:val="00063437"/>
    <w:rsid w:val="00064C1E"/>
    <w:rsid w:val="00065229"/>
    <w:rsid w:val="00065DB6"/>
    <w:rsid w:val="0006785B"/>
    <w:rsid w:val="0007085E"/>
    <w:rsid w:val="00070ADB"/>
    <w:rsid w:val="00070CC6"/>
    <w:rsid w:val="00076B8F"/>
    <w:rsid w:val="00077747"/>
    <w:rsid w:val="00077AC6"/>
    <w:rsid w:val="0008160E"/>
    <w:rsid w:val="0008287C"/>
    <w:rsid w:val="0008452F"/>
    <w:rsid w:val="00084B3C"/>
    <w:rsid w:val="00084D30"/>
    <w:rsid w:val="00092D80"/>
    <w:rsid w:val="00093A2E"/>
    <w:rsid w:val="0009520D"/>
    <w:rsid w:val="00095F10"/>
    <w:rsid w:val="00097C38"/>
    <w:rsid w:val="000A0D6E"/>
    <w:rsid w:val="000A1CE8"/>
    <w:rsid w:val="000A3189"/>
    <w:rsid w:val="000A4E25"/>
    <w:rsid w:val="000A5228"/>
    <w:rsid w:val="000A59A3"/>
    <w:rsid w:val="000A6D0F"/>
    <w:rsid w:val="000A70E4"/>
    <w:rsid w:val="000B05B2"/>
    <w:rsid w:val="000B0C34"/>
    <w:rsid w:val="000B33C5"/>
    <w:rsid w:val="000B5349"/>
    <w:rsid w:val="000B5FDF"/>
    <w:rsid w:val="000B66E4"/>
    <w:rsid w:val="000C05EA"/>
    <w:rsid w:val="000C1B80"/>
    <w:rsid w:val="000C29D6"/>
    <w:rsid w:val="000C48AC"/>
    <w:rsid w:val="000C503B"/>
    <w:rsid w:val="000C62D5"/>
    <w:rsid w:val="000D2329"/>
    <w:rsid w:val="000D3977"/>
    <w:rsid w:val="000D418D"/>
    <w:rsid w:val="000D4C44"/>
    <w:rsid w:val="000D56A0"/>
    <w:rsid w:val="000E2028"/>
    <w:rsid w:val="000E2A97"/>
    <w:rsid w:val="000E392E"/>
    <w:rsid w:val="000E4C56"/>
    <w:rsid w:val="000E74ED"/>
    <w:rsid w:val="000F0F41"/>
    <w:rsid w:val="000F1B77"/>
    <w:rsid w:val="000F2CEE"/>
    <w:rsid w:val="000F5027"/>
    <w:rsid w:val="000F579E"/>
    <w:rsid w:val="000F5A71"/>
    <w:rsid w:val="000F5F3B"/>
    <w:rsid w:val="000F785A"/>
    <w:rsid w:val="0010055F"/>
    <w:rsid w:val="001008B4"/>
    <w:rsid w:val="001029B5"/>
    <w:rsid w:val="00103000"/>
    <w:rsid w:val="00103100"/>
    <w:rsid w:val="001040D3"/>
    <w:rsid w:val="00104B9B"/>
    <w:rsid w:val="00107851"/>
    <w:rsid w:val="001107FF"/>
    <w:rsid w:val="00110F81"/>
    <w:rsid w:val="00111239"/>
    <w:rsid w:val="00111CEE"/>
    <w:rsid w:val="001122D8"/>
    <w:rsid w:val="00112535"/>
    <w:rsid w:val="001141EC"/>
    <w:rsid w:val="00114FDB"/>
    <w:rsid w:val="001170D7"/>
    <w:rsid w:val="00124CA8"/>
    <w:rsid w:val="00125F85"/>
    <w:rsid w:val="00126D19"/>
    <w:rsid w:val="0013290C"/>
    <w:rsid w:val="00132B00"/>
    <w:rsid w:val="00134666"/>
    <w:rsid w:val="001355E1"/>
    <w:rsid w:val="00135B73"/>
    <w:rsid w:val="00137B0C"/>
    <w:rsid w:val="0014004D"/>
    <w:rsid w:val="0014059C"/>
    <w:rsid w:val="00140698"/>
    <w:rsid w:val="0014138C"/>
    <w:rsid w:val="00141D09"/>
    <w:rsid w:val="00141DC2"/>
    <w:rsid w:val="00142E6F"/>
    <w:rsid w:val="0014628D"/>
    <w:rsid w:val="001474C1"/>
    <w:rsid w:val="00150E7C"/>
    <w:rsid w:val="0015166B"/>
    <w:rsid w:val="00152EE7"/>
    <w:rsid w:val="001540EC"/>
    <w:rsid w:val="001545A1"/>
    <w:rsid w:val="00162090"/>
    <w:rsid w:val="00163F52"/>
    <w:rsid w:val="00164C14"/>
    <w:rsid w:val="001658F7"/>
    <w:rsid w:val="001663DE"/>
    <w:rsid w:val="001669BB"/>
    <w:rsid w:val="0017053B"/>
    <w:rsid w:val="001722F0"/>
    <w:rsid w:val="00172803"/>
    <w:rsid w:val="00173D18"/>
    <w:rsid w:val="00173F9A"/>
    <w:rsid w:val="00175D40"/>
    <w:rsid w:val="00180C1A"/>
    <w:rsid w:val="0018170A"/>
    <w:rsid w:val="00183CDA"/>
    <w:rsid w:val="00184A9F"/>
    <w:rsid w:val="00186044"/>
    <w:rsid w:val="00187FB9"/>
    <w:rsid w:val="00192D81"/>
    <w:rsid w:val="0019619D"/>
    <w:rsid w:val="001A2CFB"/>
    <w:rsid w:val="001A3830"/>
    <w:rsid w:val="001A3920"/>
    <w:rsid w:val="001A3B51"/>
    <w:rsid w:val="001A4622"/>
    <w:rsid w:val="001A5AE2"/>
    <w:rsid w:val="001A5FBA"/>
    <w:rsid w:val="001A6267"/>
    <w:rsid w:val="001A6DF5"/>
    <w:rsid w:val="001A6E4D"/>
    <w:rsid w:val="001B02FE"/>
    <w:rsid w:val="001B057B"/>
    <w:rsid w:val="001B0C72"/>
    <w:rsid w:val="001B2B2B"/>
    <w:rsid w:val="001B402F"/>
    <w:rsid w:val="001C25EE"/>
    <w:rsid w:val="001C308A"/>
    <w:rsid w:val="001C31C2"/>
    <w:rsid w:val="001C58AA"/>
    <w:rsid w:val="001C6CB1"/>
    <w:rsid w:val="001D2227"/>
    <w:rsid w:val="001D3271"/>
    <w:rsid w:val="001D3B6D"/>
    <w:rsid w:val="001D5CF8"/>
    <w:rsid w:val="001D6914"/>
    <w:rsid w:val="001E0DB2"/>
    <w:rsid w:val="001F014D"/>
    <w:rsid w:val="001F03D6"/>
    <w:rsid w:val="001F06D5"/>
    <w:rsid w:val="001F1ACB"/>
    <w:rsid w:val="001F7D93"/>
    <w:rsid w:val="002003F0"/>
    <w:rsid w:val="00200C52"/>
    <w:rsid w:val="0020154F"/>
    <w:rsid w:val="0020437E"/>
    <w:rsid w:val="0020785C"/>
    <w:rsid w:val="00211566"/>
    <w:rsid w:val="002117F3"/>
    <w:rsid w:val="00212E3A"/>
    <w:rsid w:val="00213049"/>
    <w:rsid w:val="002135F1"/>
    <w:rsid w:val="00213BD1"/>
    <w:rsid w:val="00214347"/>
    <w:rsid w:val="0021478D"/>
    <w:rsid w:val="00217F35"/>
    <w:rsid w:val="0022284F"/>
    <w:rsid w:val="00222B5C"/>
    <w:rsid w:val="00222D12"/>
    <w:rsid w:val="002243C8"/>
    <w:rsid w:val="00225BF9"/>
    <w:rsid w:val="002304BE"/>
    <w:rsid w:val="00234F50"/>
    <w:rsid w:val="00235147"/>
    <w:rsid w:val="00235D7B"/>
    <w:rsid w:val="00236AEB"/>
    <w:rsid w:val="00240350"/>
    <w:rsid w:val="0024053B"/>
    <w:rsid w:val="00245C4D"/>
    <w:rsid w:val="00251764"/>
    <w:rsid w:val="00251CCD"/>
    <w:rsid w:val="00252598"/>
    <w:rsid w:val="002550B5"/>
    <w:rsid w:val="00256B43"/>
    <w:rsid w:val="00256F1F"/>
    <w:rsid w:val="0026034F"/>
    <w:rsid w:val="00260783"/>
    <w:rsid w:val="00261818"/>
    <w:rsid w:val="00261C26"/>
    <w:rsid w:val="00261FB8"/>
    <w:rsid w:val="0026361D"/>
    <w:rsid w:val="00267F10"/>
    <w:rsid w:val="00270CCB"/>
    <w:rsid w:val="00271EFC"/>
    <w:rsid w:val="00275258"/>
    <w:rsid w:val="002763D2"/>
    <w:rsid w:val="00276CE8"/>
    <w:rsid w:val="00277E56"/>
    <w:rsid w:val="0028002D"/>
    <w:rsid w:val="002803EC"/>
    <w:rsid w:val="00281AE2"/>
    <w:rsid w:val="00284B84"/>
    <w:rsid w:val="002869F8"/>
    <w:rsid w:val="002905BD"/>
    <w:rsid w:val="00291770"/>
    <w:rsid w:val="00293D4C"/>
    <w:rsid w:val="002958CB"/>
    <w:rsid w:val="00295BCC"/>
    <w:rsid w:val="002A02E6"/>
    <w:rsid w:val="002A1C4E"/>
    <w:rsid w:val="002A24DF"/>
    <w:rsid w:val="002A29D4"/>
    <w:rsid w:val="002A52A8"/>
    <w:rsid w:val="002B18D3"/>
    <w:rsid w:val="002B213A"/>
    <w:rsid w:val="002B2A6E"/>
    <w:rsid w:val="002B3512"/>
    <w:rsid w:val="002B44FF"/>
    <w:rsid w:val="002B7EB6"/>
    <w:rsid w:val="002C021C"/>
    <w:rsid w:val="002C0400"/>
    <w:rsid w:val="002C0BAD"/>
    <w:rsid w:val="002C195C"/>
    <w:rsid w:val="002C392C"/>
    <w:rsid w:val="002C3A34"/>
    <w:rsid w:val="002C4737"/>
    <w:rsid w:val="002C47BF"/>
    <w:rsid w:val="002C4F1B"/>
    <w:rsid w:val="002C56A7"/>
    <w:rsid w:val="002C5B6C"/>
    <w:rsid w:val="002C72DE"/>
    <w:rsid w:val="002D07C5"/>
    <w:rsid w:val="002D0E07"/>
    <w:rsid w:val="002D19B9"/>
    <w:rsid w:val="002D2CAE"/>
    <w:rsid w:val="002D745E"/>
    <w:rsid w:val="002E5A39"/>
    <w:rsid w:val="002E6025"/>
    <w:rsid w:val="002E7256"/>
    <w:rsid w:val="002F00A2"/>
    <w:rsid w:val="002F12A6"/>
    <w:rsid w:val="002F1E0B"/>
    <w:rsid w:val="002F2958"/>
    <w:rsid w:val="002F3755"/>
    <w:rsid w:val="002F6554"/>
    <w:rsid w:val="003006E3"/>
    <w:rsid w:val="0030087E"/>
    <w:rsid w:val="0030142C"/>
    <w:rsid w:val="00301B1B"/>
    <w:rsid w:val="00303E4F"/>
    <w:rsid w:val="00307DC9"/>
    <w:rsid w:val="003105B8"/>
    <w:rsid w:val="00310CC6"/>
    <w:rsid w:val="00311D49"/>
    <w:rsid w:val="0031542E"/>
    <w:rsid w:val="00315901"/>
    <w:rsid w:val="00315FA3"/>
    <w:rsid w:val="0031610E"/>
    <w:rsid w:val="00317B89"/>
    <w:rsid w:val="00317BFF"/>
    <w:rsid w:val="00324246"/>
    <w:rsid w:val="00325377"/>
    <w:rsid w:val="0032549A"/>
    <w:rsid w:val="0032619A"/>
    <w:rsid w:val="00327779"/>
    <w:rsid w:val="00330806"/>
    <w:rsid w:val="00331C29"/>
    <w:rsid w:val="003327DD"/>
    <w:rsid w:val="003334D8"/>
    <w:rsid w:val="00347F9B"/>
    <w:rsid w:val="00350753"/>
    <w:rsid w:val="0035249A"/>
    <w:rsid w:val="003525AA"/>
    <w:rsid w:val="00353FA0"/>
    <w:rsid w:val="0035419A"/>
    <w:rsid w:val="003605E2"/>
    <w:rsid w:val="003619D6"/>
    <w:rsid w:val="003627D4"/>
    <w:rsid w:val="00363DCC"/>
    <w:rsid w:val="00364401"/>
    <w:rsid w:val="00365DAE"/>
    <w:rsid w:val="00366332"/>
    <w:rsid w:val="00366AB6"/>
    <w:rsid w:val="00370365"/>
    <w:rsid w:val="00370B77"/>
    <w:rsid w:val="003740AD"/>
    <w:rsid w:val="00383437"/>
    <w:rsid w:val="003846D4"/>
    <w:rsid w:val="00386254"/>
    <w:rsid w:val="00386315"/>
    <w:rsid w:val="00386695"/>
    <w:rsid w:val="00387F29"/>
    <w:rsid w:val="003903D1"/>
    <w:rsid w:val="00391085"/>
    <w:rsid w:val="00391C35"/>
    <w:rsid w:val="003962A5"/>
    <w:rsid w:val="0039752C"/>
    <w:rsid w:val="00397C60"/>
    <w:rsid w:val="003A08FD"/>
    <w:rsid w:val="003A35CE"/>
    <w:rsid w:val="003A3DEE"/>
    <w:rsid w:val="003A49B5"/>
    <w:rsid w:val="003A63E1"/>
    <w:rsid w:val="003A6CC4"/>
    <w:rsid w:val="003A74EA"/>
    <w:rsid w:val="003B118E"/>
    <w:rsid w:val="003B11E5"/>
    <w:rsid w:val="003B1B58"/>
    <w:rsid w:val="003B2826"/>
    <w:rsid w:val="003B2A1B"/>
    <w:rsid w:val="003B44D1"/>
    <w:rsid w:val="003B4C6B"/>
    <w:rsid w:val="003B5582"/>
    <w:rsid w:val="003C1182"/>
    <w:rsid w:val="003C378E"/>
    <w:rsid w:val="003C4512"/>
    <w:rsid w:val="003C4CB7"/>
    <w:rsid w:val="003C544E"/>
    <w:rsid w:val="003C580F"/>
    <w:rsid w:val="003C5881"/>
    <w:rsid w:val="003C7E94"/>
    <w:rsid w:val="003D0CF4"/>
    <w:rsid w:val="003D1108"/>
    <w:rsid w:val="003D1B15"/>
    <w:rsid w:val="003D2502"/>
    <w:rsid w:val="003D2A85"/>
    <w:rsid w:val="003D318A"/>
    <w:rsid w:val="003D6999"/>
    <w:rsid w:val="003D6A70"/>
    <w:rsid w:val="003D7BBD"/>
    <w:rsid w:val="003E1E71"/>
    <w:rsid w:val="003E35D4"/>
    <w:rsid w:val="003E3760"/>
    <w:rsid w:val="003E4239"/>
    <w:rsid w:val="003E4519"/>
    <w:rsid w:val="003E49B0"/>
    <w:rsid w:val="003E5B0B"/>
    <w:rsid w:val="003E6B6A"/>
    <w:rsid w:val="003E77FE"/>
    <w:rsid w:val="003E7EC0"/>
    <w:rsid w:val="003F0A5F"/>
    <w:rsid w:val="003F1017"/>
    <w:rsid w:val="003F177A"/>
    <w:rsid w:val="003F24E4"/>
    <w:rsid w:val="003F4F2C"/>
    <w:rsid w:val="003F692D"/>
    <w:rsid w:val="0040196B"/>
    <w:rsid w:val="00402C02"/>
    <w:rsid w:val="00405789"/>
    <w:rsid w:val="0040656E"/>
    <w:rsid w:val="00411058"/>
    <w:rsid w:val="004144F1"/>
    <w:rsid w:val="00414AD2"/>
    <w:rsid w:val="00414CD2"/>
    <w:rsid w:val="00417182"/>
    <w:rsid w:val="00417285"/>
    <w:rsid w:val="00420908"/>
    <w:rsid w:val="00421600"/>
    <w:rsid w:val="00421A50"/>
    <w:rsid w:val="00423411"/>
    <w:rsid w:val="00424D8E"/>
    <w:rsid w:val="0042515B"/>
    <w:rsid w:val="00425B2D"/>
    <w:rsid w:val="00425CE8"/>
    <w:rsid w:val="00426F26"/>
    <w:rsid w:val="00427192"/>
    <w:rsid w:val="00427B4D"/>
    <w:rsid w:val="00430772"/>
    <w:rsid w:val="004326B6"/>
    <w:rsid w:val="004328FB"/>
    <w:rsid w:val="0043361C"/>
    <w:rsid w:val="004339EB"/>
    <w:rsid w:val="004355EF"/>
    <w:rsid w:val="00435EB0"/>
    <w:rsid w:val="00437B7D"/>
    <w:rsid w:val="00437FF2"/>
    <w:rsid w:val="00440B95"/>
    <w:rsid w:val="00444A08"/>
    <w:rsid w:val="00444B4D"/>
    <w:rsid w:val="00444B83"/>
    <w:rsid w:val="004456D1"/>
    <w:rsid w:val="00445F0F"/>
    <w:rsid w:val="004515E8"/>
    <w:rsid w:val="00453925"/>
    <w:rsid w:val="00454115"/>
    <w:rsid w:val="0045429C"/>
    <w:rsid w:val="00454D82"/>
    <w:rsid w:val="00455103"/>
    <w:rsid w:val="00457791"/>
    <w:rsid w:val="004638E4"/>
    <w:rsid w:val="00463D1E"/>
    <w:rsid w:val="00464AD3"/>
    <w:rsid w:val="00464B76"/>
    <w:rsid w:val="0047435D"/>
    <w:rsid w:val="00474753"/>
    <w:rsid w:val="004758EF"/>
    <w:rsid w:val="00477477"/>
    <w:rsid w:val="00480B07"/>
    <w:rsid w:val="00480EF0"/>
    <w:rsid w:val="00482964"/>
    <w:rsid w:val="00482B99"/>
    <w:rsid w:val="00483808"/>
    <w:rsid w:val="004843B5"/>
    <w:rsid w:val="00487CDB"/>
    <w:rsid w:val="00490996"/>
    <w:rsid w:val="00490D75"/>
    <w:rsid w:val="00491368"/>
    <w:rsid w:val="00494EA9"/>
    <w:rsid w:val="004953F2"/>
    <w:rsid w:val="004A2B49"/>
    <w:rsid w:val="004A3519"/>
    <w:rsid w:val="004A7020"/>
    <w:rsid w:val="004A7DE3"/>
    <w:rsid w:val="004B1671"/>
    <w:rsid w:val="004B2189"/>
    <w:rsid w:val="004C0A63"/>
    <w:rsid w:val="004C16F3"/>
    <w:rsid w:val="004C1EAD"/>
    <w:rsid w:val="004C1F73"/>
    <w:rsid w:val="004C4C8B"/>
    <w:rsid w:val="004C5D7C"/>
    <w:rsid w:val="004C68D3"/>
    <w:rsid w:val="004D18FF"/>
    <w:rsid w:val="004D2341"/>
    <w:rsid w:val="004D3E65"/>
    <w:rsid w:val="004D455B"/>
    <w:rsid w:val="004D4958"/>
    <w:rsid w:val="004D57AC"/>
    <w:rsid w:val="004D5B48"/>
    <w:rsid w:val="004D5FF9"/>
    <w:rsid w:val="004E07D2"/>
    <w:rsid w:val="004E17EF"/>
    <w:rsid w:val="004E4245"/>
    <w:rsid w:val="004E48AF"/>
    <w:rsid w:val="004E60E8"/>
    <w:rsid w:val="004E6181"/>
    <w:rsid w:val="004E6D42"/>
    <w:rsid w:val="004E7634"/>
    <w:rsid w:val="004F19A1"/>
    <w:rsid w:val="004F3545"/>
    <w:rsid w:val="004F38A8"/>
    <w:rsid w:val="004F3918"/>
    <w:rsid w:val="004F3D7F"/>
    <w:rsid w:val="004F40DC"/>
    <w:rsid w:val="004F7237"/>
    <w:rsid w:val="004F7CE3"/>
    <w:rsid w:val="00500260"/>
    <w:rsid w:val="00501B7B"/>
    <w:rsid w:val="00501BF5"/>
    <w:rsid w:val="00502E81"/>
    <w:rsid w:val="0050353F"/>
    <w:rsid w:val="00506C35"/>
    <w:rsid w:val="00510E13"/>
    <w:rsid w:val="0051162E"/>
    <w:rsid w:val="0051174A"/>
    <w:rsid w:val="00513538"/>
    <w:rsid w:val="00513805"/>
    <w:rsid w:val="00514A41"/>
    <w:rsid w:val="005152D3"/>
    <w:rsid w:val="00521320"/>
    <w:rsid w:val="00522C15"/>
    <w:rsid w:val="00523BF6"/>
    <w:rsid w:val="0052442E"/>
    <w:rsid w:val="005245AB"/>
    <w:rsid w:val="00524E54"/>
    <w:rsid w:val="00525084"/>
    <w:rsid w:val="005250DA"/>
    <w:rsid w:val="00527B38"/>
    <w:rsid w:val="00527D98"/>
    <w:rsid w:val="00530364"/>
    <w:rsid w:val="00530D1F"/>
    <w:rsid w:val="005326DC"/>
    <w:rsid w:val="0053310A"/>
    <w:rsid w:val="0053385F"/>
    <w:rsid w:val="00533D46"/>
    <w:rsid w:val="005364FA"/>
    <w:rsid w:val="005379D2"/>
    <w:rsid w:val="00537D2D"/>
    <w:rsid w:val="00537EC0"/>
    <w:rsid w:val="00540C68"/>
    <w:rsid w:val="00541D48"/>
    <w:rsid w:val="00542701"/>
    <w:rsid w:val="005457E0"/>
    <w:rsid w:val="00546033"/>
    <w:rsid w:val="00550BA7"/>
    <w:rsid w:val="00552538"/>
    <w:rsid w:val="00553381"/>
    <w:rsid w:val="00553F64"/>
    <w:rsid w:val="00557303"/>
    <w:rsid w:val="00561385"/>
    <w:rsid w:val="00561DA1"/>
    <w:rsid w:val="00564355"/>
    <w:rsid w:val="0056641E"/>
    <w:rsid w:val="00566B91"/>
    <w:rsid w:val="0057205B"/>
    <w:rsid w:val="005720D0"/>
    <w:rsid w:val="00574EAB"/>
    <w:rsid w:val="00576282"/>
    <w:rsid w:val="00576295"/>
    <w:rsid w:val="0057718F"/>
    <w:rsid w:val="005800A0"/>
    <w:rsid w:val="0058377F"/>
    <w:rsid w:val="00584ECE"/>
    <w:rsid w:val="005853CA"/>
    <w:rsid w:val="00586100"/>
    <w:rsid w:val="0058632C"/>
    <w:rsid w:val="00591CF3"/>
    <w:rsid w:val="00594049"/>
    <w:rsid w:val="00594802"/>
    <w:rsid w:val="005951D7"/>
    <w:rsid w:val="0059664B"/>
    <w:rsid w:val="005A0261"/>
    <w:rsid w:val="005A11EA"/>
    <w:rsid w:val="005A315E"/>
    <w:rsid w:val="005A5D59"/>
    <w:rsid w:val="005A6713"/>
    <w:rsid w:val="005B03A8"/>
    <w:rsid w:val="005B103B"/>
    <w:rsid w:val="005B3E0E"/>
    <w:rsid w:val="005B48B5"/>
    <w:rsid w:val="005B5FC4"/>
    <w:rsid w:val="005B7F76"/>
    <w:rsid w:val="005C0E9A"/>
    <w:rsid w:val="005C1732"/>
    <w:rsid w:val="005C43F5"/>
    <w:rsid w:val="005C5C45"/>
    <w:rsid w:val="005C5FEE"/>
    <w:rsid w:val="005C75F1"/>
    <w:rsid w:val="005C774A"/>
    <w:rsid w:val="005D0224"/>
    <w:rsid w:val="005D1F3F"/>
    <w:rsid w:val="005D22FE"/>
    <w:rsid w:val="005D49E0"/>
    <w:rsid w:val="005D7767"/>
    <w:rsid w:val="005E1F05"/>
    <w:rsid w:val="005E3294"/>
    <w:rsid w:val="005E341D"/>
    <w:rsid w:val="005E4354"/>
    <w:rsid w:val="005E4A82"/>
    <w:rsid w:val="005E4B79"/>
    <w:rsid w:val="005E6DA8"/>
    <w:rsid w:val="005E735D"/>
    <w:rsid w:val="005F0785"/>
    <w:rsid w:val="005F1A45"/>
    <w:rsid w:val="005F20AB"/>
    <w:rsid w:val="005F2311"/>
    <w:rsid w:val="005F5830"/>
    <w:rsid w:val="005F64E3"/>
    <w:rsid w:val="00600596"/>
    <w:rsid w:val="00601321"/>
    <w:rsid w:val="00601485"/>
    <w:rsid w:val="00602FEF"/>
    <w:rsid w:val="00606F32"/>
    <w:rsid w:val="00612D3F"/>
    <w:rsid w:val="0061564E"/>
    <w:rsid w:val="006220C0"/>
    <w:rsid w:val="00626640"/>
    <w:rsid w:val="006324D7"/>
    <w:rsid w:val="0063496B"/>
    <w:rsid w:val="00635B8E"/>
    <w:rsid w:val="00636AD8"/>
    <w:rsid w:val="00636E5C"/>
    <w:rsid w:val="0064037F"/>
    <w:rsid w:val="006419D2"/>
    <w:rsid w:val="00642F49"/>
    <w:rsid w:val="00644F54"/>
    <w:rsid w:val="00645728"/>
    <w:rsid w:val="006460BB"/>
    <w:rsid w:val="00647354"/>
    <w:rsid w:val="00647534"/>
    <w:rsid w:val="00652530"/>
    <w:rsid w:val="00656F36"/>
    <w:rsid w:val="00661E98"/>
    <w:rsid w:val="00663D6D"/>
    <w:rsid w:val="00664AA4"/>
    <w:rsid w:val="006678C3"/>
    <w:rsid w:val="006709E3"/>
    <w:rsid w:val="00670AED"/>
    <w:rsid w:val="00670D24"/>
    <w:rsid w:val="006727D7"/>
    <w:rsid w:val="00672B9F"/>
    <w:rsid w:val="0067442C"/>
    <w:rsid w:val="006746AF"/>
    <w:rsid w:val="00674AB6"/>
    <w:rsid w:val="006750D4"/>
    <w:rsid w:val="0067531C"/>
    <w:rsid w:val="00680AB7"/>
    <w:rsid w:val="00680AF4"/>
    <w:rsid w:val="00682149"/>
    <w:rsid w:val="006824F4"/>
    <w:rsid w:val="006825AE"/>
    <w:rsid w:val="0069673F"/>
    <w:rsid w:val="00697052"/>
    <w:rsid w:val="00697DEA"/>
    <w:rsid w:val="006A0B94"/>
    <w:rsid w:val="006A12A9"/>
    <w:rsid w:val="006A1ABA"/>
    <w:rsid w:val="006A1B3A"/>
    <w:rsid w:val="006A1E74"/>
    <w:rsid w:val="006A2C8E"/>
    <w:rsid w:val="006A3021"/>
    <w:rsid w:val="006A3F4D"/>
    <w:rsid w:val="006A4703"/>
    <w:rsid w:val="006A653F"/>
    <w:rsid w:val="006A7817"/>
    <w:rsid w:val="006B2067"/>
    <w:rsid w:val="006B2306"/>
    <w:rsid w:val="006B3B8A"/>
    <w:rsid w:val="006B6EA2"/>
    <w:rsid w:val="006C08E6"/>
    <w:rsid w:val="006C0962"/>
    <w:rsid w:val="006C4F55"/>
    <w:rsid w:val="006D0680"/>
    <w:rsid w:val="006D15F8"/>
    <w:rsid w:val="006D299C"/>
    <w:rsid w:val="006D419E"/>
    <w:rsid w:val="006D47D4"/>
    <w:rsid w:val="006D4CC4"/>
    <w:rsid w:val="006D6064"/>
    <w:rsid w:val="006D62F0"/>
    <w:rsid w:val="006E00AF"/>
    <w:rsid w:val="006E3DC1"/>
    <w:rsid w:val="006E4181"/>
    <w:rsid w:val="006E4C3B"/>
    <w:rsid w:val="006E6EB5"/>
    <w:rsid w:val="006E75FF"/>
    <w:rsid w:val="006F000F"/>
    <w:rsid w:val="006F036C"/>
    <w:rsid w:val="006F1F76"/>
    <w:rsid w:val="006F41BB"/>
    <w:rsid w:val="006F48CF"/>
    <w:rsid w:val="006F4B1E"/>
    <w:rsid w:val="00701922"/>
    <w:rsid w:val="0070279B"/>
    <w:rsid w:val="0070318D"/>
    <w:rsid w:val="007044DD"/>
    <w:rsid w:val="00704A07"/>
    <w:rsid w:val="007075B3"/>
    <w:rsid w:val="00710E13"/>
    <w:rsid w:val="00712ACB"/>
    <w:rsid w:val="00714433"/>
    <w:rsid w:val="007146DA"/>
    <w:rsid w:val="00715379"/>
    <w:rsid w:val="0072234D"/>
    <w:rsid w:val="00722769"/>
    <w:rsid w:val="00722DD9"/>
    <w:rsid w:val="00723BF9"/>
    <w:rsid w:val="00724EB7"/>
    <w:rsid w:val="007254E0"/>
    <w:rsid w:val="00726859"/>
    <w:rsid w:val="0073053F"/>
    <w:rsid w:val="00732950"/>
    <w:rsid w:val="007355CA"/>
    <w:rsid w:val="00737601"/>
    <w:rsid w:val="0074078B"/>
    <w:rsid w:val="00743256"/>
    <w:rsid w:val="0074351A"/>
    <w:rsid w:val="00743E08"/>
    <w:rsid w:val="00744925"/>
    <w:rsid w:val="007449C4"/>
    <w:rsid w:val="00747B75"/>
    <w:rsid w:val="00747CED"/>
    <w:rsid w:val="00747FBA"/>
    <w:rsid w:val="00750164"/>
    <w:rsid w:val="0075082F"/>
    <w:rsid w:val="0075094A"/>
    <w:rsid w:val="0075105D"/>
    <w:rsid w:val="00751BC2"/>
    <w:rsid w:val="00752713"/>
    <w:rsid w:val="00756418"/>
    <w:rsid w:val="00756C45"/>
    <w:rsid w:val="00757F47"/>
    <w:rsid w:val="007607FE"/>
    <w:rsid w:val="00763FB2"/>
    <w:rsid w:val="0076451C"/>
    <w:rsid w:val="00765E18"/>
    <w:rsid w:val="007664D5"/>
    <w:rsid w:val="00767029"/>
    <w:rsid w:val="00767727"/>
    <w:rsid w:val="00767931"/>
    <w:rsid w:val="00767A6B"/>
    <w:rsid w:val="00775D3D"/>
    <w:rsid w:val="0077637E"/>
    <w:rsid w:val="007766F3"/>
    <w:rsid w:val="00776D0D"/>
    <w:rsid w:val="00781FCE"/>
    <w:rsid w:val="007856F9"/>
    <w:rsid w:val="00785A89"/>
    <w:rsid w:val="00785B6B"/>
    <w:rsid w:val="0078658A"/>
    <w:rsid w:val="00787E1B"/>
    <w:rsid w:val="00794DD1"/>
    <w:rsid w:val="0079615D"/>
    <w:rsid w:val="00796BCC"/>
    <w:rsid w:val="007A0002"/>
    <w:rsid w:val="007A1AA1"/>
    <w:rsid w:val="007A1C4B"/>
    <w:rsid w:val="007A23E2"/>
    <w:rsid w:val="007A3551"/>
    <w:rsid w:val="007A43C4"/>
    <w:rsid w:val="007B039B"/>
    <w:rsid w:val="007C1DA7"/>
    <w:rsid w:val="007C298E"/>
    <w:rsid w:val="007C2A11"/>
    <w:rsid w:val="007C5AA2"/>
    <w:rsid w:val="007D2D24"/>
    <w:rsid w:val="007D3CD7"/>
    <w:rsid w:val="007E0C6D"/>
    <w:rsid w:val="007E10DC"/>
    <w:rsid w:val="007E2406"/>
    <w:rsid w:val="007E3C91"/>
    <w:rsid w:val="007E460C"/>
    <w:rsid w:val="007F2305"/>
    <w:rsid w:val="007F2413"/>
    <w:rsid w:val="007F25B5"/>
    <w:rsid w:val="007F2C6F"/>
    <w:rsid w:val="007F3E58"/>
    <w:rsid w:val="007F481B"/>
    <w:rsid w:val="007F5995"/>
    <w:rsid w:val="007F7204"/>
    <w:rsid w:val="007F7981"/>
    <w:rsid w:val="008004C5"/>
    <w:rsid w:val="008011E8"/>
    <w:rsid w:val="0080191B"/>
    <w:rsid w:val="00801A3C"/>
    <w:rsid w:val="00802220"/>
    <w:rsid w:val="00803C9C"/>
    <w:rsid w:val="00810C3C"/>
    <w:rsid w:val="008121E5"/>
    <w:rsid w:val="00812574"/>
    <w:rsid w:val="00814387"/>
    <w:rsid w:val="008156F8"/>
    <w:rsid w:val="008160BC"/>
    <w:rsid w:val="0081635D"/>
    <w:rsid w:val="00816B67"/>
    <w:rsid w:val="00817723"/>
    <w:rsid w:val="008236D6"/>
    <w:rsid w:val="00824544"/>
    <w:rsid w:val="00825D8F"/>
    <w:rsid w:val="008263AC"/>
    <w:rsid w:val="0082770C"/>
    <w:rsid w:val="00832EC8"/>
    <w:rsid w:val="008353AB"/>
    <w:rsid w:val="00841BA1"/>
    <w:rsid w:val="008432CC"/>
    <w:rsid w:val="008433D6"/>
    <w:rsid w:val="008434A4"/>
    <w:rsid w:val="008444F7"/>
    <w:rsid w:val="00851B0C"/>
    <w:rsid w:val="0085356A"/>
    <w:rsid w:val="0085501A"/>
    <w:rsid w:val="00855229"/>
    <w:rsid w:val="00855749"/>
    <w:rsid w:val="00855876"/>
    <w:rsid w:val="00855BB5"/>
    <w:rsid w:val="008561DF"/>
    <w:rsid w:val="00861DD8"/>
    <w:rsid w:val="00861F33"/>
    <w:rsid w:val="00863039"/>
    <w:rsid w:val="00864655"/>
    <w:rsid w:val="008646EB"/>
    <w:rsid w:val="00864E65"/>
    <w:rsid w:val="0086608A"/>
    <w:rsid w:val="0086705D"/>
    <w:rsid w:val="00873680"/>
    <w:rsid w:val="0087391D"/>
    <w:rsid w:val="00875A41"/>
    <w:rsid w:val="00876348"/>
    <w:rsid w:val="008773CC"/>
    <w:rsid w:val="0088204D"/>
    <w:rsid w:val="008835D1"/>
    <w:rsid w:val="0088497D"/>
    <w:rsid w:val="00884AB5"/>
    <w:rsid w:val="008858DF"/>
    <w:rsid w:val="00886866"/>
    <w:rsid w:val="0089008C"/>
    <w:rsid w:val="0089013D"/>
    <w:rsid w:val="008908EC"/>
    <w:rsid w:val="0089101C"/>
    <w:rsid w:val="0089102D"/>
    <w:rsid w:val="00892463"/>
    <w:rsid w:val="00892BD9"/>
    <w:rsid w:val="00892C8A"/>
    <w:rsid w:val="00893408"/>
    <w:rsid w:val="008967EF"/>
    <w:rsid w:val="008A2010"/>
    <w:rsid w:val="008A2736"/>
    <w:rsid w:val="008A363C"/>
    <w:rsid w:val="008A6913"/>
    <w:rsid w:val="008B093D"/>
    <w:rsid w:val="008B19D6"/>
    <w:rsid w:val="008B2336"/>
    <w:rsid w:val="008B2848"/>
    <w:rsid w:val="008B303F"/>
    <w:rsid w:val="008B312D"/>
    <w:rsid w:val="008B574D"/>
    <w:rsid w:val="008C1C39"/>
    <w:rsid w:val="008C219E"/>
    <w:rsid w:val="008C3674"/>
    <w:rsid w:val="008C462B"/>
    <w:rsid w:val="008C77C4"/>
    <w:rsid w:val="008D285E"/>
    <w:rsid w:val="008D3ABE"/>
    <w:rsid w:val="008D58C7"/>
    <w:rsid w:val="008D64BC"/>
    <w:rsid w:val="008D706B"/>
    <w:rsid w:val="008D73D7"/>
    <w:rsid w:val="008E0953"/>
    <w:rsid w:val="008E3D9B"/>
    <w:rsid w:val="008E41C5"/>
    <w:rsid w:val="008E6750"/>
    <w:rsid w:val="008E7F3F"/>
    <w:rsid w:val="008F0532"/>
    <w:rsid w:val="008F0573"/>
    <w:rsid w:val="008F1838"/>
    <w:rsid w:val="008F33B4"/>
    <w:rsid w:val="008F5694"/>
    <w:rsid w:val="008F56EC"/>
    <w:rsid w:val="009018A3"/>
    <w:rsid w:val="00901A61"/>
    <w:rsid w:val="00902EF8"/>
    <w:rsid w:val="00904781"/>
    <w:rsid w:val="00904D34"/>
    <w:rsid w:val="00907580"/>
    <w:rsid w:val="009101C9"/>
    <w:rsid w:val="00910DE4"/>
    <w:rsid w:val="00915B7E"/>
    <w:rsid w:val="00916A85"/>
    <w:rsid w:val="00917767"/>
    <w:rsid w:val="00923EA7"/>
    <w:rsid w:val="009248DC"/>
    <w:rsid w:val="00924DA9"/>
    <w:rsid w:val="00926A2B"/>
    <w:rsid w:val="009272C8"/>
    <w:rsid w:val="00927A7B"/>
    <w:rsid w:val="009308D9"/>
    <w:rsid w:val="00931DAD"/>
    <w:rsid w:val="00934B58"/>
    <w:rsid w:val="00940196"/>
    <w:rsid w:val="00941BE9"/>
    <w:rsid w:val="00942D9D"/>
    <w:rsid w:val="00945DB3"/>
    <w:rsid w:val="00946D38"/>
    <w:rsid w:val="00951348"/>
    <w:rsid w:val="00954FB3"/>
    <w:rsid w:val="009558A7"/>
    <w:rsid w:val="0095709D"/>
    <w:rsid w:val="00961DE9"/>
    <w:rsid w:val="0096215A"/>
    <w:rsid w:val="00964801"/>
    <w:rsid w:val="00966987"/>
    <w:rsid w:val="0096715E"/>
    <w:rsid w:val="00967B8D"/>
    <w:rsid w:val="0096C1EF"/>
    <w:rsid w:val="009702E9"/>
    <w:rsid w:val="009719AB"/>
    <w:rsid w:val="009737E5"/>
    <w:rsid w:val="00977A16"/>
    <w:rsid w:val="00981296"/>
    <w:rsid w:val="009826C8"/>
    <w:rsid w:val="00982CE9"/>
    <w:rsid w:val="009831C3"/>
    <w:rsid w:val="00983494"/>
    <w:rsid w:val="009835A5"/>
    <w:rsid w:val="00984393"/>
    <w:rsid w:val="0098486D"/>
    <w:rsid w:val="00984A60"/>
    <w:rsid w:val="00987FAF"/>
    <w:rsid w:val="00991AF1"/>
    <w:rsid w:val="0099206C"/>
    <w:rsid w:val="00993125"/>
    <w:rsid w:val="00997CBA"/>
    <w:rsid w:val="009A0404"/>
    <w:rsid w:val="009A0BA0"/>
    <w:rsid w:val="009A14C3"/>
    <w:rsid w:val="009A1A67"/>
    <w:rsid w:val="009A2BD2"/>
    <w:rsid w:val="009A2EC1"/>
    <w:rsid w:val="009A326B"/>
    <w:rsid w:val="009A33C9"/>
    <w:rsid w:val="009A404F"/>
    <w:rsid w:val="009A5EC7"/>
    <w:rsid w:val="009B0521"/>
    <w:rsid w:val="009B4141"/>
    <w:rsid w:val="009B4A7C"/>
    <w:rsid w:val="009B5046"/>
    <w:rsid w:val="009B595C"/>
    <w:rsid w:val="009B6A51"/>
    <w:rsid w:val="009B6C8C"/>
    <w:rsid w:val="009B6E53"/>
    <w:rsid w:val="009B7B0A"/>
    <w:rsid w:val="009B7FA1"/>
    <w:rsid w:val="009C0AE4"/>
    <w:rsid w:val="009C17C8"/>
    <w:rsid w:val="009C1976"/>
    <w:rsid w:val="009C5615"/>
    <w:rsid w:val="009C7DE8"/>
    <w:rsid w:val="009D03DA"/>
    <w:rsid w:val="009D0FD0"/>
    <w:rsid w:val="009D2E31"/>
    <w:rsid w:val="009D344E"/>
    <w:rsid w:val="009D37E8"/>
    <w:rsid w:val="009D5B60"/>
    <w:rsid w:val="009D5BE3"/>
    <w:rsid w:val="009D6AD7"/>
    <w:rsid w:val="009E0128"/>
    <w:rsid w:val="009E0C38"/>
    <w:rsid w:val="009E11E6"/>
    <w:rsid w:val="009E23CC"/>
    <w:rsid w:val="009E29A4"/>
    <w:rsid w:val="009E2DB0"/>
    <w:rsid w:val="009E330E"/>
    <w:rsid w:val="009E5BAE"/>
    <w:rsid w:val="009F23DE"/>
    <w:rsid w:val="009F3BD0"/>
    <w:rsid w:val="009F3E6C"/>
    <w:rsid w:val="009F51BB"/>
    <w:rsid w:val="009F5D2F"/>
    <w:rsid w:val="009F610B"/>
    <w:rsid w:val="009F773C"/>
    <w:rsid w:val="00A00806"/>
    <w:rsid w:val="00A0081A"/>
    <w:rsid w:val="00A0249C"/>
    <w:rsid w:val="00A02BE4"/>
    <w:rsid w:val="00A03DC2"/>
    <w:rsid w:val="00A06B32"/>
    <w:rsid w:val="00A1181C"/>
    <w:rsid w:val="00A12F24"/>
    <w:rsid w:val="00A130D0"/>
    <w:rsid w:val="00A14510"/>
    <w:rsid w:val="00A15436"/>
    <w:rsid w:val="00A1575A"/>
    <w:rsid w:val="00A158BE"/>
    <w:rsid w:val="00A16161"/>
    <w:rsid w:val="00A2078C"/>
    <w:rsid w:val="00A211BB"/>
    <w:rsid w:val="00A218D5"/>
    <w:rsid w:val="00A22600"/>
    <w:rsid w:val="00A23722"/>
    <w:rsid w:val="00A23CA7"/>
    <w:rsid w:val="00A2605C"/>
    <w:rsid w:val="00A26176"/>
    <w:rsid w:val="00A2671C"/>
    <w:rsid w:val="00A26B97"/>
    <w:rsid w:val="00A27967"/>
    <w:rsid w:val="00A30470"/>
    <w:rsid w:val="00A3049B"/>
    <w:rsid w:val="00A3211A"/>
    <w:rsid w:val="00A324F7"/>
    <w:rsid w:val="00A32599"/>
    <w:rsid w:val="00A32BD6"/>
    <w:rsid w:val="00A3451D"/>
    <w:rsid w:val="00A35080"/>
    <w:rsid w:val="00A41EE8"/>
    <w:rsid w:val="00A4235B"/>
    <w:rsid w:val="00A4338F"/>
    <w:rsid w:val="00A43A5B"/>
    <w:rsid w:val="00A44345"/>
    <w:rsid w:val="00A44A3F"/>
    <w:rsid w:val="00A4641E"/>
    <w:rsid w:val="00A46ED2"/>
    <w:rsid w:val="00A535EB"/>
    <w:rsid w:val="00A53D89"/>
    <w:rsid w:val="00A544D6"/>
    <w:rsid w:val="00A63A86"/>
    <w:rsid w:val="00A6425F"/>
    <w:rsid w:val="00A6477F"/>
    <w:rsid w:val="00A660EE"/>
    <w:rsid w:val="00A7027A"/>
    <w:rsid w:val="00A7307E"/>
    <w:rsid w:val="00A74394"/>
    <w:rsid w:val="00A754EF"/>
    <w:rsid w:val="00A80094"/>
    <w:rsid w:val="00A81606"/>
    <w:rsid w:val="00A81AFD"/>
    <w:rsid w:val="00A841C6"/>
    <w:rsid w:val="00A8434E"/>
    <w:rsid w:val="00A8499A"/>
    <w:rsid w:val="00A84D65"/>
    <w:rsid w:val="00A85821"/>
    <w:rsid w:val="00A861F3"/>
    <w:rsid w:val="00A865C7"/>
    <w:rsid w:val="00A868AE"/>
    <w:rsid w:val="00A86D34"/>
    <w:rsid w:val="00A9027E"/>
    <w:rsid w:val="00A92BF0"/>
    <w:rsid w:val="00A933FD"/>
    <w:rsid w:val="00A971C0"/>
    <w:rsid w:val="00A979CE"/>
    <w:rsid w:val="00A97CEC"/>
    <w:rsid w:val="00AA264A"/>
    <w:rsid w:val="00AA2AD6"/>
    <w:rsid w:val="00AA3548"/>
    <w:rsid w:val="00AA563F"/>
    <w:rsid w:val="00AA5CC6"/>
    <w:rsid w:val="00AA6F88"/>
    <w:rsid w:val="00AB10D9"/>
    <w:rsid w:val="00AB56E0"/>
    <w:rsid w:val="00AB67CF"/>
    <w:rsid w:val="00AB7D14"/>
    <w:rsid w:val="00AC2582"/>
    <w:rsid w:val="00AC2D2B"/>
    <w:rsid w:val="00AC447D"/>
    <w:rsid w:val="00AC4813"/>
    <w:rsid w:val="00AC48A9"/>
    <w:rsid w:val="00AC5A07"/>
    <w:rsid w:val="00AC6398"/>
    <w:rsid w:val="00AC7BC1"/>
    <w:rsid w:val="00AD03A5"/>
    <w:rsid w:val="00AD0A9C"/>
    <w:rsid w:val="00AD18A0"/>
    <w:rsid w:val="00AD532C"/>
    <w:rsid w:val="00AD57BF"/>
    <w:rsid w:val="00AD5BA1"/>
    <w:rsid w:val="00AE052A"/>
    <w:rsid w:val="00AE0AD1"/>
    <w:rsid w:val="00AE13A2"/>
    <w:rsid w:val="00AE1A26"/>
    <w:rsid w:val="00AE422D"/>
    <w:rsid w:val="00AE4FBA"/>
    <w:rsid w:val="00AE7417"/>
    <w:rsid w:val="00AF569C"/>
    <w:rsid w:val="00B0296B"/>
    <w:rsid w:val="00B02B5E"/>
    <w:rsid w:val="00B03844"/>
    <w:rsid w:val="00B04035"/>
    <w:rsid w:val="00B0639C"/>
    <w:rsid w:val="00B11D2D"/>
    <w:rsid w:val="00B12902"/>
    <w:rsid w:val="00B12F38"/>
    <w:rsid w:val="00B15B80"/>
    <w:rsid w:val="00B16DE3"/>
    <w:rsid w:val="00B214F0"/>
    <w:rsid w:val="00B2223D"/>
    <w:rsid w:val="00B24915"/>
    <w:rsid w:val="00B266C0"/>
    <w:rsid w:val="00B27B5E"/>
    <w:rsid w:val="00B30E43"/>
    <w:rsid w:val="00B31CD8"/>
    <w:rsid w:val="00B3349F"/>
    <w:rsid w:val="00B35167"/>
    <w:rsid w:val="00B35711"/>
    <w:rsid w:val="00B35A50"/>
    <w:rsid w:val="00B35CA7"/>
    <w:rsid w:val="00B36E2C"/>
    <w:rsid w:val="00B40CCA"/>
    <w:rsid w:val="00B414BA"/>
    <w:rsid w:val="00B42E9D"/>
    <w:rsid w:val="00B43031"/>
    <w:rsid w:val="00B430EF"/>
    <w:rsid w:val="00B469E7"/>
    <w:rsid w:val="00B47CC4"/>
    <w:rsid w:val="00B50092"/>
    <w:rsid w:val="00B500B5"/>
    <w:rsid w:val="00B5171E"/>
    <w:rsid w:val="00B51D97"/>
    <w:rsid w:val="00B53092"/>
    <w:rsid w:val="00B5368E"/>
    <w:rsid w:val="00B54661"/>
    <w:rsid w:val="00B55D50"/>
    <w:rsid w:val="00B56B82"/>
    <w:rsid w:val="00B62B40"/>
    <w:rsid w:val="00B66884"/>
    <w:rsid w:val="00B67190"/>
    <w:rsid w:val="00B67EF0"/>
    <w:rsid w:val="00B70045"/>
    <w:rsid w:val="00B72713"/>
    <w:rsid w:val="00B72C9F"/>
    <w:rsid w:val="00B72E4C"/>
    <w:rsid w:val="00B73FEC"/>
    <w:rsid w:val="00B76058"/>
    <w:rsid w:val="00B802E7"/>
    <w:rsid w:val="00B80840"/>
    <w:rsid w:val="00B824C6"/>
    <w:rsid w:val="00B8341A"/>
    <w:rsid w:val="00B83D64"/>
    <w:rsid w:val="00B851DC"/>
    <w:rsid w:val="00B8640C"/>
    <w:rsid w:val="00B92E4F"/>
    <w:rsid w:val="00B95C88"/>
    <w:rsid w:val="00B960DA"/>
    <w:rsid w:val="00B97304"/>
    <w:rsid w:val="00BA213C"/>
    <w:rsid w:val="00BA2C4D"/>
    <w:rsid w:val="00BA33A8"/>
    <w:rsid w:val="00BA5EE4"/>
    <w:rsid w:val="00BA696E"/>
    <w:rsid w:val="00BA7477"/>
    <w:rsid w:val="00BA75EA"/>
    <w:rsid w:val="00BA7A86"/>
    <w:rsid w:val="00BA7C65"/>
    <w:rsid w:val="00BB0244"/>
    <w:rsid w:val="00BB026F"/>
    <w:rsid w:val="00BB04CC"/>
    <w:rsid w:val="00BB0C92"/>
    <w:rsid w:val="00BB3D43"/>
    <w:rsid w:val="00BB713B"/>
    <w:rsid w:val="00BB7564"/>
    <w:rsid w:val="00BC33D7"/>
    <w:rsid w:val="00BC4752"/>
    <w:rsid w:val="00BC483A"/>
    <w:rsid w:val="00BC6BCD"/>
    <w:rsid w:val="00BD05DD"/>
    <w:rsid w:val="00BD11F0"/>
    <w:rsid w:val="00BD6C3A"/>
    <w:rsid w:val="00BD7E67"/>
    <w:rsid w:val="00BE03CD"/>
    <w:rsid w:val="00BE0529"/>
    <w:rsid w:val="00BE0654"/>
    <w:rsid w:val="00BE098F"/>
    <w:rsid w:val="00BE0A3F"/>
    <w:rsid w:val="00BE3ABC"/>
    <w:rsid w:val="00BE50E6"/>
    <w:rsid w:val="00BE5CE2"/>
    <w:rsid w:val="00BF0774"/>
    <w:rsid w:val="00BF29B9"/>
    <w:rsid w:val="00BF33AE"/>
    <w:rsid w:val="00BF3EFD"/>
    <w:rsid w:val="00BF4730"/>
    <w:rsid w:val="00BF4AA6"/>
    <w:rsid w:val="00BF4BE3"/>
    <w:rsid w:val="00BF799D"/>
    <w:rsid w:val="00C0059A"/>
    <w:rsid w:val="00C00BFD"/>
    <w:rsid w:val="00C00FD0"/>
    <w:rsid w:val="00C0101B"/>
    <w:rsid w:val="00C0164F"/>
    <w:rsid w:val="00C0176C"/>
    <w:rsid w:val="00C03AB7"/>
    <w:rsid w:val="00C04224"/>
    <w:rsid w:val="00C070AC"/>
    <w:rsid w:val="00C124F4"/>
    <w:rsid w:val="00C1343E"/>
    <w:rsid w:val="00C146B6"/>
    <w:rsid w:val="00C151F7"/>
    <w:rsid w:val="00C15DC9"/>
    <w:rsid w:val="00C25951"/>
    <w:rsid w:val="00C25BE7"/>
    <w:rsid w:val="00C2653F"/>
    <w:rsid w:val="00C26EA3"/>
    <w:rsid w:val="00C3012C"/>
    <w:rsid w:val="00C30A0C"/>
    <w:rsid w:val="00C318EF"/>
    <w:rsid w:val="00C370DC"/>
    <w:rsid w:val="00C373D3"/>
    <w:rsid w:val="00C37843"/>
    <w:rsid w:val="00C44FE5"/>
    <w:rsid w:val="00C46E9B"/>
    <w:rsid w:val="00C47446"/>
    <w:rsid w:val="00C564BB"/>
    <w:rsid w:val="00C578F1"/>
    <w:rsid w:val="00C624FD"/>
    <w:rsid w:val="00C635FB"/>
    <w:rsid w:val="00C648B9"/>
    <w:rsid w:val="00C66539"/>
    <w:rsid w:val="00C66DEB"/>
    <w:rsid w:val="00C74AA6"/>
    <w:rsid w:val="00C74E4E"/>
    <w:rsid w:val="00C74F53"/>
    <w:rsid w:val="00C75002"/>
    <w:rsid w:val="00C76A2D"/>
    <w:rsid w:val="00C77CCB"/>
    <w:rsid w:val="00C807DA"/>
    <w:rsid w:val="00C8144E"/>
    <w:rsid w:val="00C8161D"/>
    <w:rsid w:val="00C8246C"/>
    <w:rsid w:val="00C82D4A"/>
    <w:rsid w:val="00C831CD"/>
    <w:rsid w:val="00C83BD7"/>
    <w:rsid w:val="00C85D2C"/>
    <w:rsid w:val="00C873D0"/>
    <w:rsid w:val="00C91C67"/>
    <w:rsid w:val="00C91D8B"/>
    <w:rsid w:val="00C9285A"/>
    <w:rsid w:val="00C93089"/>
    <w:rsid w:val="00C95EEC"/>
    <w:rsid w:val="00C96A27"/>
    <w:rsid w:val="00CA3884"/>
    <w:rsid w:val="00CA3CEA"/>
    <w:rsid w:val="00CA48CC"/>
    <w:rsid w:val="00CA59C7"/>
    <w:rsid w:val="00CA7484"/>
    <w:rsid w:val="00CB0CA8"/>
    <w:rsid w:val="00CB18DC"/>
    <w:rsid w:val="00CB3469"/>
    <w:rsid w:val="00CB4738"/>
    <w:rsid w:val="00CB4BA6"/>
    <w:rsid w:val="00CB5556"/>
    <w:rsid w:val="00CB575D"/>
    <w:rsid w:val="00CB7810"/>
    <w:rsid w:val="00CB7D90"/>
    <w:rsid w:val="00CB7E6E"/>
    <w:rsid w:val="00CC06D6"/>
    <w:rsid w:val="00CC0AC6"/>
    <w:rsid w:val="00CC0E60"/>
    <w:rsid w:val="00CC27BD"/>
    <w:rsid w:val="00CC3167"/>
    <w:rsid w:val="00CC4046"/>
    <w:rsid w:val="00CD28CB"/>
    <w:rsid w:val="00CD3A53"/>
    <w:rsid w:val="00CD3B64"/>
    <w:rsid w:val="00CD5ABE"/>
    <w:rsid w:val="00CE1A09"/>
    <w:rsid w:val="00CE1BAC"/>
    <w:rsid w:val="00CE515B"/>
    <w:rsid w:val="00CF11A5"/>
    <w:rsid w:val="00CF25C7"/>
    <w:rsid w:val="00D00185"/>
    <w:rsid w:val="00D004CF"/>
    <w:rsid w:val="00D00BAB"/>
    <w:rsid w:val="00D01783"/>
    <w:rsid w:val="00D06174"/>
    <w:rsid w:val="00D0694C"/>
    <w:rsid w:val="00D074F0"/>
    <w:rsid w:val="00D112F0"/>
    <w:rsid w:val="00D12C80"/>
    <w:rsid w:val="00D14687"/>
    <w:rsid w:val="00D160AE"/>
    <w:rsid w:val="00D16627"/>
    <w:rsid w:val="00D23C78"/>
    <w:rsid w:val="00D2432D"/>
    <w:rsid w:val="00D30DF9"/>
    <w:rsid w:val="00D34264"/>
    <w:rsid w:val="00D35ECE"/>
    <w:rsid w:val="00D36725"/>
    <w:rsid w:val="00D36868"/>
    <w:rsid w:val="00D37CAF"/>
    <w:rsid w:val="00D415D1"/>
    <w:rsid w:val="00D420B4"/>
    <w:rsid w:val="00D4328B"/>
    <w:rsid w:val="00D445DB"/>
    <w:rsid w:val="00D45BE5"/>
    <w:rsid w:val="00D51C54"/>
    <w:rsid w:val="00D53AD6"/>
    <w:rsid w:val="00D56F78"/>
    <w:rsid w:val="00D60D1C"/>
    <w:rsid w:val="00D61129"/>
    <w:rsid w:val="00D636DD"/>
    <w:rsid w:val="00D64216"/>
    <w:rsid w:val="00D6431B"/>
    <w:rsid w:val="00D66A90"/>
    <w:rsid w:val="00D66BAD"/>
    <w:rsid w:val="00D672BD"/>
    <w:rsid w:val="00D67644"/>
    <w:rsid w:val="00D73AA6"/>
    <w:rsid w:val="00D7452D"/>
    <w:rsid w:val="00D76D94"/>
    <w:rsid w:val="00D76E49"/>
    <w:rsid w:val="00D80C48"/>
    <w:rsid w:val="00D81A44"/>
    <w:rsid w:val="00D81A57"/>
    <w:rsid w:val="00D85D56"/>
    <w:rsid w:val="00D86051"/>
    <w:rsid w:val="00D87DCB"/>
    <w:rsid w:val="00D92B1D"/>
    <w:rsid w:val="00D92B80"/>
    <w:rsid w:val="00D941FD"/>
    <w:rsid w:val="00D948A7"/>
    <w:rsid w:val="00D9659C"/>
    <w:rsid w:val="00D97193"/>
    <w:rsid w:val="00D975AB"/>
    <w:rsid w:val="00DA118F"/>
    <w:rsid w:val="00DA3C63"/>
    <w:rsid w:val="00DA5312"/>
    <w:rsid w:val="00DA6ED5"/>
    <w:rsid w:val="00DA7963"/>
    <w:rsid w:val="00DB0671"/>
    <w:rsid w:val="00DB0A81"/>
    <w:rsid w:val="00DB6A17"/>
    <w:rsid w:val="00DB6B61"/>
    <w:rsid w:val="00DC175E"/>
    <w:rsid w:val="00DC4FB0"/>
    <w:rsid w:val="00DC5A79"/>
    <w:rsid w:val="00DC5E42"/>
    <w:rsid w:val="00DC655A"/>
    <w:rsid w:val="00DC6B66"/>
    <w:rsid w:val="00DD14ED"/>
    <w:rsid w:val="00DD1AA2"/>
    <w:rsid w:val="00DD4034"/>
    <w:rsid w:val="00DD40D3"/>
    <w:rsid w:val="00DD6D07"/>
    <w:rsid w:val="00DE0689"/>
    <w:rsid w:val="00DE2A90"/>
    <w:rsid w:val="00DE3514"/>
    <w:rsid w:val="00DE3AD6"/>
    <w:rsid w:val="00DE4081"/>
    <w:rsid w:val="00DE4C07"/>
    <w:rsid w:val="00DE625C"/>
    <w:rsid w:val="00DF07EF"/>
    <w:rsid w:val="00DF2EC9"/>
    <w:rsid w:val="00DF2FAE"/>
    <w:rsid w:val="00DF30CB"/>
    <w:rsid w:val="00DF4AD0"/>
    <w:rsid w:val="00DF6389"/>
    <w:rsid w:val="00DF7B81"/>
    <w:rsid w:val="00E00CFF"/>
    <w:rsid w:val="00E0107A"/>
    <w:rsid w:val="00E02056"/>
    <w:rsid w:val="00E02939"/>
    <w:rsid w:val="00E043F3"/>
    <w:rsid w:val="00E04CC6"/>
    <w:rsid w:val="00E0539E"/>
    <w:rsid w:val="00E054C2"/>
    <w:rsid w:val="00E05569"/>
    <w:rsid w:val="00E079FE"/>
    <w:rsid w:val="00E07D51"/>
    <w:rsid w:val="00E10F77"/>
    <w:rsid w:val="00E13290"/>
    <w:rsid w:val="00E14C28"/>
    <w:rsid w:val="00E16E8D"/>
    <w:rsid w:val="00E22B54"/>
    <w:rsid w:val="00E24419"/>
    <w:rsid w:val="00E24DCD"/>
    <w:rsid w:val="00E25812"/>
    <w:rsid w:val="00E312E3"/>
    <w:rsid w:val="00E32C16"/>
    <w:rsid w:val="00E330FC"/>
    <w:rsid w:val="00E33246"/>
    <w:rsid w:val="00E360F6"/>
    <w:rsid w:val="00E405F8"/>
    <w:rsid w:val="00E408AB"/>
    <w:rsid w:val="00E4105E"/>
    <w:rsid w:val="00E42DEF"/>
    <w:rsid w:val="00E47894"/>
    <w:rsid w:val="00E501BC"/>
    <w:rsid w:val="00E53740"/>
    <w:rsid w:val="00E540AC"/>
    <w:rsid w:val="00E54827"/>
    <w:rsid w:val="00E54DC0"/>
    <w:rsid w:val="00E60122"/>
    <w:rsid w:val="00E6148C"/>
    <w:rsid w:val="00E615A0"/>
    <w:rsid w:val="00E63ADA"/>
    <w:rsid w:val="00E64B01"/>
    <w:rsid w:val="00E659EC"/>
    <w:rsid w:val="00E679A1"/>
    <w:rsid w:val="00E7099C"/>
    <w:rsid w:val="00E70FF6"/>
    <w:rsid w:val="00E72424"/>
    <w:rsid w:val="00E72853"/>
    <w:rsid w:val="00E7397B"/>
    <w:rsid w:val="00E752DD"/>
    <w:rsid w:val="00E77B93"/>
    <w:rsid w:val="00E80DAB"/>
    <w:rsid w:val="00E841A5"/>
    <w:rsid w:val="00E84AA6"/>
    <w:rsid w:val="00E84ADD"/>
    <w:rsid w:val="00E9006F"/>
    <w:rsid w:val="00E900A6"/>
    <w:rsid w:val="00E90324"/>
    <w:rsid w:val="00E90B2D"/>
    <w:rsid w:val="00E92244"/>
    <w:rsid w:val="00E94342"/>
    <w:rsid w:val="00E95291"/>
    <w:rsid w:val="00E96573"/>
    <w:rsid w:val="00E967E3"/>
    <w:rsid w:val="00EA03C8"/>
    <w:rsid w:val="00EA1BAA"/>
    <w:rsid w:val="00EA317B"/>
    <w:rsid w:val="00EA3207"/>
    <w:rsid w:val="00EB0B0E"/>
    <w:rsid w:val="00EB1C26"/>
    <w:rsid w:val="00EB2673"/>
    <w:rsid w:val="00EB32FD"/>
    <w:rsid w:val="00EB442A"/>
    <w:rsid w:val="00EB5364"/>
    <w:rsid w:val="00EB6A9D"/>
    <w:rsid w:val="00EC5B7C"/>
    <w:rsid w:val="00ED1CCF"/>
    <w:rsid w:val="00ED2071"/>
    <w:rsid w:val="00ED4454"/>
    <w:rsid w:val="00ED50BD"/>
    <w:rsid w:val="00ED5AB4"/>
    <w:rsid w:val="00ED623B"/>
    <w:rsid w:val="00ED7D2A"/>
    <w:rsid w:val="00EE2395"/>
    <w:rsid w:val="00EE29E8"/>
    <w:rsid w:val="00EE2D49"/>
    <w:rsid w:val="00EE580C"/>
    <w:rsid w:val="00EE5D96"/>
    <w:rsid w:val="00EE6637"/>
    <w:rsid w:val="00EE6B7A"/>
    <w:rsid w:val="00EE6FE0"/>
    <w:rsid w:val="00EF148D"/>
    <w:rsid w:val="00EF1E4F"/>
    <w:rsid w:val="00EF239A"/>
    <w:rsid w:val="00EF3019"/>
    <w:rsid w:val="00EF7954"/>
    <w:rsid w:val="00F0381E"/>
    <w:rsid w:val="00F05E22"/>
    <w:rsid w:val="00F07D10"/>
    <w:rsid w:val="00F1062E"/>
    <w:rsid w:val="00F135EF"/>
    <w:rsid w:val="00F1394B"/>
    <w:rsid w:val="00F1399D"/>
    <w:rsid w:val="00F13B9D"/>
    <w:rsid w:val="00F14875"/>
    <w:rsid w:val="00F15D3B"/>
    <w:rsid w:val="00F16474"/>
    <w:rsid w:val="00F17A89"/>
    <w:rsid w:val="00F2066F"/>
    <w:rsid w:val="00F21B08"/>
    <w:rsid w:val="00F2254B"/>
    <w:rsid w:val="00F239C6"/>
    <w:rsid w:val="00F25D38"/>
    <w:rsid w:val="00F25F95"/>
    <w:rsid w:val="00F26FD3"/>
    <w:rsid w:val="00F31D40"/>
    <w:rsid w:val="00F32581"/>
    <w:rsid w:val="00F32C7D"/>
    <w:rsid w:val="00F33567"/>
    <w:rsid w:val="00F36CEB"/>
    <w:rsid w:val="00F4221D"/>
    <w:rsid w:val="00F4258A"/>
    <w:rsid w:val="00F45035"/>
    <w:rsid w:val="00F45063"/>
    <w:rsid w:val="00F45BD6"/>
    <w:rsid w:val="00F54ABC"/>
    <w:rsid w:val="00F550FF"/>
    <w:rsid w:val="00F56211"/>
    <w:rsid w:val="00F57C08"/>
    <w:rsid w:val="00F6068E"/>
    <w:rsid w:val="00F60F4D"/>
    <w:rsid w:val="00F61441"/>
    <w:rsid w:val="00F61597"/>
    <w:rsid w:val="00F6222E"/>
    <w:rsid w:val="00F635C3"/>
    <w:rsid w:val="00F665D4"/>
    <w:rsid w:val="00F67A76"/>
    <w:rsid w:val="00F71544"/>
    <w:rsid w:val="00F7311B"/>
    <w:rsid w:val="00F73434"/>
    <w:rsid w:val="00F73A08"/>
    <w:rsid w:val="00F76224"/>
    <w:rsid w:val="00F801B4"/>
    <w:rsid w:val="00F8274D"/>
    <w:rsid w:val="00F8406A"/>
    <w:rsid w:val="00F85300"/>
    <w:rsid w:val="00F8722C"/>
    <w:rsid w:val="00F92BA4"/>
    <w:rsid w:val="00F93182"/>
    <w:rsid w:val="00F933A4"/>
    <w:rsid w:val="00F93F16"/>
    <w:rsid w:val="00F95421"/>
    <w:rsid w:val="00F968FD"/>
    <w:rsid w:val="00FA0F59"/>
    <w:rsid w:val="00FA219A"/>
    <w:rsid w:val="00FA2F60"/>
    <w:rsid w:val="00FA6412"/>
    <w:rsid w:val="00FB08C4"/>
    <w:rsid w:val="00FB0EB8"/>
    <w:rsid w:val="00FB2958"/>
    <w:rsid w:val="00FB2B84"/>
    <w:rsid w:val="00FB3D96"/>
    <w:rsid w:val="00FB3E85"/>
    <w:rsid w:val="00FB5F5F"/>
    <w:rsid w:val="00FB791E"/>
    <w:rsid w:val="00FC0742"/>
    <w:rsid w:val="00FC1399"/>
    <w:rsid w:val="00FC1FA1"/>
    <w:rsid w:val="00FC21F0"/>
    <w:rsid w:val="00FC46BC"/>
    <w:rsid w:val="00FC50F9"/>
    <w:rsid w:val="00FC57D3"/>
    <w:rsid w:val="00FC5F82"/>
    <w:rsid w:val="00FC7862"/>
    <w:rsid w:val="00FD1744"/>
    <w:rsid w:val="00FD3770"/>
    <w:rsid w:val="00FD5A43"/>
    <w:rsid w:val="00FD757D"/>
    <w:rsid w:val="00FD7E3E"/>
    <w:rsid w:val="00FE133E"/>
    <w:rsid w:val="00FE2418"/>
    <w:rsid w:val="00FE35A2"/>
    <w:rsid w:val="00FE3F50"/>
    <w:rsid w:val="00FE5A58"/>
    <w:rsid w:val="00FE72A9"/>
    <w:rsid w:val="00FE72F9"/>
    <w:rsid w:val="00FE7D21"/>
    <w:rsid w:val="00FF302A"/>
    <w:rsid w:val="00FF3864"/>
    <w:rsid w:val="00FF3BB1"/>
    <w:rsid w:val="00FF3C09"/>
    <w:rsid w:val="00FF451F"/>
    <w:rsid w:val="00FF64E8"/>
    <w:rsid w:val="018E755E"/>
    <w:rsid w:val="01C97BF1"/>
    <w:rsid w:val="01FA10DB"/>
    <w:rsid w:val="029F1E59"/>
    <w:rsid w:val="02CFB343"/>
    <w:rsid w:val="02EB320A"/>
    <w:rsid w:val="03574341"/>
    <w:rsid w:val="03A44C3A"/>
    <w:rsid w:val="03A4598C"/>
    <w:rsid w:val="03D2653B"/>
    <w:rsid w:val="03EF7799"/>
    <w:rsid w:val="04525B47"/>
    <w:rsid w:val="0485D37B"/>
    <w:rsid w:val="052E22F5"/>
    <w:rsid w:val="056CE1CC"/>
    <w:rsid w:val="05E7D2B4"/>
    <w:rsid w:val="063B5147"/>
    <w:rsid w:val="06443AEC"/>
    <w:rsid w:val="06E38232"/>
    <w:rsid w:val="06F5EBF9"/>
    <w:rsid w:val="0715BA07"/>
    <w:rsid w:val="07537E65"/>
    <w:rsid w:val="07CFCE54"/>
    <w:rsid w:val="07DC1C90"/>
    <w:rsid w:val="080FC69A"/>
    <w:rsid w:val="0829E1E1"/>
    <w:rsid w:val="086068BA"/>
    <w:rsid w:val="08758E8D"/>
    <w:rsid w:val="087660B4"/>
    <w:rsid w:val="088CC42C"/>
    <w:rsid w:val="08E2D774"/>
    <w:rsid w:val="092BE8F0"/>
    <w:rsid w:val="096F7E1E"/>
    <w:rsid w:val="09721032"/>
    <w:rsid w:val="09B4F65A"/>
    <w:rsid w:val="09F45DA3"/>
    <w:rsid w:val="09F57A85"/>
    <w:rsid w:val="0A32C07A"/>
    <w:rsid w:val="0A6C7932"/>
    <w:rsid w:val="0B1AC3E9"/>
    <w:rsid w:val="0B1F8946"/>
    <w:rsid w:val="0B611DFC"/>
    <w:rsid w:val="0B9579C6"/>
    <w:rsid w:val="0BAE6D7A"/>
    <w:rsid w:val="0BE8B72F"/>
    <w:rsid w:val="0C30A27B"/>
    <w:rsid w:val="0C4E2A93"/>
    <w:rsid w:val="0DF30A18"/>
    <w:rsid w:val="0E28455B"/>
    <w:rsid w:val="0E471E21"/>
    <w:rsid w:val="0F2B9FDE"/>
    <w:rsid w:val="0FC92EAD"/>
    <w:rsid w:val="1091BBE9"/>
    <w:rsid w:val="11300BCC"/>
    <w:rsid w:val="1130B539"/>
    <w:rsid w:val="1139418F"/>
    <w:rsid w:val="11424E55"/>
    <w:rsid w:val="115B8E40"/>
    <w:rsid w:val="1191F456"/>
    <w:rsid w:val="11CA98EC"/>
    <w:rsid w:val="126EB79D"/>
    <w:rsid w:val="130477EA"/>
    <w:rsid w:val="13273019"/>
    <w:rsid w:val="1369768F"/>
    <w:rsid w:val="13F454F9"/>
    <w:rsid w:val="156F4DDB"/>
    <w:rsid w:val="15C85853"/>
    <w:rsid w:val="15CE4883"/>
    <w:rsid w:val="16FC8E02"/>
    <w:rsid w:val="1712B574"/>
    <w:rsid w:val="1778B1F7"/>
    <w:rsid w:val="178E1279"/>
    <w:rsid w:val="17A892C3"/>
    <w:rsid w:val="18943F33"/>
    <w:rsid w:val="18CFBC62"/>
    <w:rsid w:val="18E1D46D"/>
    <w:rsid w:val="18FEABC0"/>
    <w:rsid w:val="192BD9B5"/>
    <w:rsid w:val="1988E3FD"/>
    <w:rsid w:val="19A8F632"/>
    <w:rsid w:val="19FC8E87"/>
    <w:rsid w:val="1A9157CD"/>
    <w:rsid w:val="1B653CA6"/>
    <w:rsid w:val="1B921FE0"/>
    <w:rsid w:val="1BCAAEA7"/>
    <w:rsid w:val="1BD64F40"/>
    <w:rsid w:val="1BD69741"/>
    <w:rsid w:val="1C04C611"/>
    <w:rsid w:val="1C0BB51A"/>
    <w:rsid w:val="1C3C5B17"/>
    <w:rsid w:val="1C7FA1C9"/>
    <w:rsid w:val="1CC369C8"/>
    <w:rsid w:val="1CE403DE"/>
    <w:rsid w:val="1D5B1140"/>
    <w:rsid w:val="1E8F141E"/>
    <w:rsid w:val="1EB605C5"/>
    <w:rsid w:val="1F1C80DB"/>
    <w:rsid w:val="1F2DB954"/>
    <w:rsid w:val="1F4C7157"/>
    <w:rsid w:val="1F5701EB"/>
    <w:rsid w:val="1FC54FB9"/>
    <w:rsid w:val="207D9BDF"/>
    <w:rsid w:val="20A4ADED"/>
    <w:rsid w:val="20ACE791"/>
    <w:rsid w:val="20BB1165"/>
    <w:rsid w:val="20BF1E87"/>
    <w:rsid w:val="20E2BCAA"/>
    <w:rsid w:val="21738DA2"/>
    <w:rsid w:val="21C99C47"/>
    <w:rsid w:val="21F6D3F7"/>
    <w:rsid w:val="22880F8B"/>
    <w:rsid w:val="22C751F4"/>
    <w:rsid w:val="22DBC14B"/>
    <w:rsid w:val="2302869C"/>
    <w:rsid w:val="23682CD1"/>
    <w:rsid w:val="236F5BA1"/>
    <w:rsid w:val="237B6B79"/>
    <w:rsid w:val="237EA4B5"/>
    <w:rsid w:val="237F2A1F"/>
    <w:rsid w:val="238A28A8"/>
    <w:rsid w:val="23D30063"/>
    <w:rsid w:val="24A215A3"/>
    <w:rsid w:val="24D05DC0"/>
    <w:rsid w:val="24DFB009"/>
    <w:rsid w:val="2557D213"/>
    <w:rsid w:val="25C20E2D"/>
    <w:rsid w:val="26096201"/>
    <w:rsid w:val="2688B956"/>
    <w:rsid w:val="26F53869"/>
    <w:rsid w:val="26F680A6"/>
    <w:rsid w:val="2740B244"/>
    <w:rsid w:val="2742E114"/>
    <w:rsid w:val="274F63E0"/>
    <w:rsid w:val="27558388"/>
    <w:rsid w:val="27D54A1C"/>
    <w:rsid w:val="2842560F"/>
    <w:rsid w:val="288C1B34"/>
    <w:rsid w:val="2928D780"/>
    <w:rsid w:val="29430ECE"/>
    <w:rsid w:val="298A5A68"/>
    <w:rsid w:val="29A51E96"/>
    <w:rsid w:val="2A3EB612"/>
    <w:rsid w:val="2B2EA6EE"/>
    <w:rsid w:val="2B5E98CD"/>
    <w:rsid w:val="2B63F5A2"/>
    <w:rsid w:val="2C5A3996"/>
    <w:rsid w:val="2CC88491"/>
    <w:rsid w:val="2D82997D"/>
    <w:rsid w:val="2DC359AE"/>
    <w:rsid w:val="2E059491"/>
    <w:rsid w:val="2E37F146"/>
    <w:rsid w:val="2E8B9B90"/>
    <w:rsid w:val="2F062612"/>
    <w:rsid w:val="2F1512B9"/>
    <w:rsid w:val="2F4CC048"/>
    <w:rsid w:val="2F69953D"/>
    <w:rsid w:val="2FEAF0CB"/>
    <w:rsid w:val="2FF8ECE6"/>
    <w:rsid w:val="308DF756"/>
    <w:rsid w:val="30DFCA25"/>
    <w:rsid w:val="3112A049"/>
    <w:rsid w:val="3135AD6F"/>
    <w:rsid w:val="31933FDB"/>
    <w:rsid w:val="31A0FE31"/>
    <w:rsid w:val="31A38753"/>
    <w:rsid w:val="31D63D91"/>
    <w:rsid w:val="327F8943"/>
    <w:rsid w:val="32ECA288"/>
    <w:rsid w:val="33645EF0"/>
    <w:rsid w:val="33AF2969"/>
    <w:rsid w:val="33B3790C"/>
    <w:rsid w:val="33F00CBB"/>
    <w:rsid w:val="341588D4"/>
    <w:rsid w:val="34387FCF"/>
    <w:rsid w:val="344CA888"/>
    <w:rsid w:val="345A25B4"/>
    <w:rsid w:val="345DBC21"/>
    <w:rsid w:val="34B768A9"/>
    <w:rsid w:val="34CF4A13"/>
    <w:rsid w:val="356BA390"/>
    <w:rsid w:val="365664F4"/>
    <w:rsid w:val="371EB428"/>
    <w:rsid w:val="37680135"/>
    <w:rsid w:val="37C2E745"/>
    <w:rsid w:val="37FAC6AA"/>
    <w:rsid w:val="397248E7"/>
    <w:rsid w:val="39F6C1ED"/>
    <w:rsid w:val="3B3372DF"/>
    <w:rsid w:val="3B388138"/>
    <w:rsid w:val="3B8E8704"/>
    <w:rsid w:val="3BC3E7C6"/>
    <w:rsid w:val="3BF5A00D"/>
    <w:rsid w:val="3C57CC7B"/>
    <w:rsid w:val="3CC257F3"/>
    <w:rsid w:val="3D46E9D9"/>
    <w:rsid w:val="3D68011F"/>
    <w:rsid w:val="3E4F0856"/>
    <w:rsid w:val="3F09F640"/>
    <w:rsid w:val="3F0E6904"/>
    <w:rsid w:val="3F4C3CB6"/>
    <w:rsid w:val="3F7F700B"/>
    <w:rsid w:val="3F9FCCB8"/>
    <w:rsid w:val="3FA384E3"/>
    <w:rsid w:val="40BC9BB6"/>
    <w:rsid w:val="41041148"/>
    <w:rsid w:val="4137F081"/>
    <w:rsid w:val="413DFC5C"/>
    <w:rsid w:val="4171F9FA"/>
    <w:rsid w:val="41A21FA5"/>
    <w:rsid w:val="41ABDD30"/>
    <w:rsid w:val="41CA0C70"/>
    <w:rsid w:val="41FFD2D4"/>
    <w:rsid w:val="42045AC8"/>
    <w:rsid w:val="425E582A"/>
    <w:rsid w:val="42B5F3EB"/>
    <w:rsid w:val="42B604FE"/>
    <w:rsid w:val="42F9556B"/>
    <w:rsid w:val="4330F2C4"/>
    <w:rsid w:val="43A89901"/>
    <w:rsid w:val="43D6E636"/>
    <w:rsid w:val="43DA825A"/>
    <w:rsid w:val="43F17914"/>
    <w:rsid w:val="449056B4"/>
    <w:rsid w:val="44CD8C73"/>
    <w:rsid w:val="44E38DA2"/>
    <w:rsid w:val="4525790E"/>
    <w:rsid w:val="4563EAB3"/>
    <w:rsid w:val="45723BC5"/>
    <w:rsid w:val="45D4C65F"/>
    <w:rsid w:val="45E848EB"/>
    <w:rsid w:val="465AE484"/>
    <w:rsid w:val="470D4D70"/>
    <w:rsid w:val="471F0A8F"/>
    <w:rsid w:val="4731D8FD"/>
    <w:rsid w:val="47750131"/>
    <w:rsid w:val="47941EB8"/>
    <w:rsid w:val="47EDB9D1"/>
    <w:rsid w:val="4848D299"/>
    <w:rsid w:val="48BBD70F"/>
    <w:rsid w:val="48EDE2EA"/>
    <w:rsid w:val="48FEED4E"/>
    <w:rsid w:val="4968F2D6"/>
    <w:rsid w:val="49ABC94E"/>
    <w:rsid w:val="4A50ADB6"/>
    <w:rsid w:val="4A61F1DB"/>
    <w:rsid w:val="4B9D2965"/>
    <w:rsid w:val="4BC490C6"/>
    <w:rsid w:val="4C1F29D6"/>
    <w:rsid w:val="4C3A6083"/>
    <w:rsid w:val="4CCEFD73"/>
    <w:rsid w:val="4DBC5BDF"/>
    <w:rsid w:val="4EA6878A"/>
    <w:rsid w:val="4ECD3BC8"/>
    <w:rsid w:val="4F24AD91"/>
    <w:rsid w:val="4F24B829"/>
    <w:rsid w:val="4F3B574B"/>
    <w:rsid w:val="4F4BEAFA"/>
    <w:rsid w:val="4F59979E"/>
    <w:rsid w:val="4F74EB0A"/>
    <w:rsid w:val="4FBD8A74"/>
    <w:rsid w:val="4FE19E51"/>
    <w:rsid w:val="50E22BB5"/>
    <w:rsid w:val="50F9B7A2"/>
    <w:rsid w:val="510D2E9B"/>
    <w:rsid w:val="513251A0"/>
    <w:rsid w:val="5133D587"/>
    <w:rsid w:val="516AEAA3"/>
    <w:rsid w:val="51720B82"/>
    <w:rsid w:val="524BBA48"/>
    <w:rsid w:val="52A04923"/>
    <w:rsid w:val="52D9920E"/>
    <w:rsid w:val="52F70AEB"/>
    <w:rsid w:val="535AF22E"/>
    <w:rsid w:val="538B8718"/>
    <w:rsid w:val="53A906F6"/>
    <w:rsid w:val="53BE4711"/>
    <w:rsid w:val="542CA41A"/>
    <w:rsid w:val="5473C618"/>
    <w:rsid w:val="54A2CDE6"/>
    <w:rsid w:val="54FB2345"/>
    <w:rsid w:val="557603B9"/>
    <w:rsid w:val="55A83AEF"/>
    <w:rsid w:val="562C161B"/>
    <w:rsid w:val="56307890"/>
    <w:rsid w:val="56887B56"/>
    <w:rsid w:val="56EA6E78"/>
    <w:rsid w:val="57C6F6B4"/>
    <w:rsid w:val="5868DDFF"/>
    <w:rsid w:val="58B79735"/>
    <w:rsid w:val="58F7A24D"/>
    <w:rsid w:val="595C3B50"/>
    <w:rsid w:val="598ACC69"/>
    <w:rsid w:val="5996626A"/>
    <w:rsid w:val="59B3B8AC"/>
    <w:rsid w:val="59D6612B"/>
    <w:rsid w:val="59EF777A"/>
    <w:rsid w:val="5A181446"/>
    <w:rsid w:val="5A8AA02F"/>
    <w:rsid w:val="5ACC570B"/>
    <w:rsid w:val="5C655591"/>
    <w:rsid w:val="5C6EA3DD"/>
    <w:rsid w:val="5D2F4CC8"/>
    <w:rsid w:val="5EAC8D5F"/>
    <w:rsid w:val="5F1103C7"/>
    <w:rsid w:val="5F29C85A"/>
    <w:rsid w:val="5F432E20"/>
    <w:rsid w:val="5F5B6B71"/>
    <w:rsid w:val="5F66DD56"/>
    <w:rsid w:val="5F711D29"/>
    <w:rsid w:val="5F731567"/>
    <w:rsid w:val="5F76BDE2"/>
    <w:rsid w:val="60113E0C"/>
    <w:rsid w:val="60231AF3"/>
    <w:rsid w:val="6088FDB4"/>
    <w:rsid w:val="60892F8A"/>
    <w:rsid w:val="60B4D499"/>
    <w:rsid w:val="60C2A45E"/>
    <w:rsid w:val="626CE4D5"/>
    <w:rsid w:val="62A36BAE"/>
    <w:rsid w:val="62D0F773"/>
    <w:rsid w:val="62D5FF51"/>
    <w:rsid w:val="6337A55A"/>
    <w:rsid w:val="6462330A"/>
    <w:rsid w:val="64637A83"/>
    <w:rsid w:val="6480394D"/>
    <w:rsid w:val="64C0380E"/>
    <w:rsid w:val="64F402DB"/>
    <w:rsid w:val="650206D4"/>
    <w:rsid w:val="656FF758"/>
    <w:rsid w:val="6573F9E2"/>
    <w:rsid w:val="65D480AB"/>
    <w:rsid w:val="65F14431"/>
    <w:rsid w:val="662BF274"/>
    <w:rsid w:val="663AF9E9"/>
    <w:rsid w:val="66444A0D"/>
    <w:rsid w:val="6657FCB0"/>
    <w:rsid w:val="66937E15"/>
    <w:rsid w:val="66D4FA42"/>
    <w:rsid w:val="66E83256"/>
    <w:rsid w:val="676B381B"/>
    <w:rsid w:val="677EA899"/>
    <w:rsid w:val="67BD992D"/>
    <w:rsid w:val="680863A6"/>
    <w:rsid w:val="680B58FE"/>
    <w:rsid w:val="68187088"/>
    <w:rsid w:val="6828AF40"/>
    <w:rsid w:val="68D06D37"/>
    <w:rsid w:val="69A78B4C"/>
    <w:rsid w:val="6A0BBAEC"/>
    <w:rsid w:val="6A23235C"/>
    <w:rsid w:val="6A2C8E4E"/>
    <w:rsid w:val="6AF0A8C6"/>
    <w:rsid w:val="6B1DD6BB"/>
    <w:rsid w:val="6BC5EFBC"/>
    <w:rsid w:val="6C441C3E"/>
    <w:rsid w:val="6C8F1212"/>
    <w:rsid w:val="6C9E988F"/>
    <w:rsid w:val="6CDFE961"/>
    <w:rsid w:val="6CEB58E8"/>
    <w:rsid w:val="6D059A0A"/>
    <w:rsid w:val="6D8EAC8C"/>
    <w:rsid w:val="6DDB98DF"/>
    <w:rsid w:val="6DF4FA6F"/>
    <w:rsid w:val="6E1AA3BB"/>
    <w:rsid w:val="6E6DF078"/>
    <w:rsid w:val="6E6F6B86"/>
    <w:rsid w:val="6E8F6BC6"/>
    <w:rsid w:val="6EC93256"/>
    <w:rsid w:val="6F2F1517"/>
    <w:rsid w:val="6F3CED2F"/>
    <w:rsid w:val="6F46EE9E"/>
    <w:rsid w:val="6F65556B"/>
    <w:rsid w:val="6F88DF22"/>
    <w:rsid w:val="701343B5"/>
    <w:rsid w:val="70475266"/>
    <w:rsid w:val="70A51E1E"/>
    <w:rsid w:val="70FD0ED6"/>
    <w:rsid w:val="7100BC69"/>
    <w:rsid w:val="711531DF"/>
    <w:rsid w:val="714A1CE7"/>
    <w:rsid w:val="714CDC15"/>
    <w:rsid w:val="71A6A7A1"/>
    <w:rsid w:val="7211E6B1"/>
    <w:rsid w:val="721EB53F"/>
    <w:rsid w:val="72ADF55A"/>
    <w:rsid w:val="72ECE5EE"/>
    <w:rsid w:val="72ED18BF"/>
    <w:rsid w:val="72FF7534"/>
    <w:rsid w:val="7313AB3F"/>
    <w:rsid w:val="731EB043"/>
    <w:rsid w:val="7323C0FA"/>
    <w:rsid w:val="736A8F4B"/>
    <w:rsid w:val="73F9C809"/>
    <w:rsid w:val="747E9EB5"/>
    <w:rsid w:val="7486B379"/>
    <w:rsid w:val="74AAECD5"/>
    <w:rsid w:val="74EFE3C4"/>
    <w:rsid w:val="7527A008"/>
    <w:rsid w:val="75B437E4"/>
    <w:rsid w:val="75D1AEE9"/>
    <w:rsid w:val="77518C2C"/>
    <w:rsid w:val="776C832B"/>
    <w:rsid w:val="77A14C75"/>
    <w:rsid w:val="77ADED4A"/>
    <w:rsid w:val="77B8CD55"/>
    <w:rsid w:val="77D7B0CC"/>
    <w:rsid w:val="78E70BD3"/>
    <w:rsid w:val="78E9C3C2"/>
    <w:rsid w:val="792169DB"/>
    <w:rsid w:val="797FFEE1"/>
    <w:rsid w:val="79CAAAF5"/>
    <w:rsid w:val="79D9626D"/>
    <w:rsid w:val="79DC9356"/>
    <w:rsid w:val="7A2F3A24"/>
    <w:rsid w:val="7A6585F2"/>
    <w:rsid w:val="7AC99056"/>
    <w:rsid w:val="7AD6CDBB"/>
    <w:rsid w:val="7AD7367F"/>
    <w:rsid w:val="7AF1DA70"/>
    <w:rsid w:val="7BDF8930"/>
    <w:rsid w:val="7C680AB5"/>
    <w:rsid w:val="7D39D2CC"/>
    <w:rsid w:val="7D76DE93"/>
    <w:rsid w:val="7DA0F768"/>
    <w:rsid w:val="7DA3433A"/>
    <w:rsid w:val="7E0F2D33"/>
    <w:rsid w:val="7EA57CA5"/>
    <w:rsid w:val="7F107B0C"/>
    <w:rsid w:val="7F837570"/>
    <w:rsid w:val="7F988935"/>
    <w:rsid w:val="7FBBBFDE"/>
    <w:rsid w:val="7FE5980A"/>
    <w:rsid w:val="7FFEC067"/>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06DC9"/>
  <w14:defaultImageDpi w14:val="32767"/>
  <w15:chartTrackingRefBased/>
  <w15:docId w15:val="{3BD54D84-0F67-4CDC-9872-87E7AA661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regular"/>
    <w:qFormat/>
    <w:rsid w:val="009826C8"/>
    <w:pPr>
      <w:spacing w:after="0" w:line="480" w:lineRule="auto"/>
    </w:pPr>
    <w:rPr>
      <w:rFonts w:ascii="Times New Roman" w:hAnsi="Times New Roman"/>
      <w:sz w:val="24"/>
    </w:rPr>
  </w:style>
  <w:style w:type="paragraph" w:styleId="Ttulo1">
    <w:name w:val="heading 1"/>
    <w:aliases w:val="APA nivel 1"/>
    <w:basedOn w:val="Normal"/>
    <w:next w:val="Normal"/>
    <w:link w:val="Ttulo1Car"/>
    <w:uiPriority w:val="9"/>
    <w:qFormat/>
    <w:rsid w:val="009826C8"/>
    <w:pPr>
      <w:keepNext/>
      <w:keepLines/>
      <w:numPr>
        <w:numId w:val="24"/>
      </w:numPr>
      <w:jc w:val="center"/>
      <w:outlineLvl w:val="0"/>
    </w:pPr>
    <w:rPr>
      <w:rFonts w:eastAsiaTheme="majorEastAsia" w:cstheme="majorBidi"/>
      <w:b/>
      <w:szCs w:val="32"/>
    </w:rPr>
  </w:style>
  <w:style w:type="paragraph" w:styleId="Ttulo2">
    <w:name w:val="heading 2"/>
    <w:aliases w:val="APA nivel 2"/>
    <w:basedOn w:val="Normal"/>
    <w:next w:val="Normal"/>
    <w:link w:val="Ttulo2Car"/>
    <w:uiPriority w:val="9"/>
    <w:unhideWhenUsed/>
    <w:qFormat/>
    <w:rsid w:val="009826C8"/>
    <w:pPr>
      <w:keepNext/>
      <w:keepLines/>
      <w:numPr>
        <w:ilvl w:val="1"/>
        <w:numId w:val="24"/>
      </w:numPr>
      <w:outlineLvl w:val="1"/>
    </w:pPr>
    <w:rPr>
      <w:rFonts w:eastAsiaTheme="majorEastAsia" w:cstheme="majorBidi"/>
      <w:b/>
      <w:szCs w:val="26"/>
    </w:rPr>
  </w:style>
  <w:style w:type="paragraph" w:styleId="Ttulo3">
    <w:name w:val="heading 3"/>
    <w:aliases w:val="APA nivel 3"/>
    <w:basedOn w:val="Normal"/>
    <w:next w:val="Normal"/>
    <w:link w:val="Ttulo3Car"/>
    <w:uiPriority w:val="9"/>
    <w:unhideWhenUsed/>
    <w:qFormat/>
    <w:rsid w:val="009826C8"/>
    <w:pPr>
      <w:keepNext/>
      <w:keepLines/>
      <w:numPr>
        <w:ilvl w:val="2"/>
        <w:numId w:val="24"/>
      </w:numPr>
      <w:outlineLvl w:val="2"/>
    </w:pPr>
    <w:rPr>
      <w:rFonts w:eastAsiaTheme="majorEastAsia" w:cstheme="majorBidi"/>
      <w:b/>
      <w:i/>
      <w:szCs w:val="24"/>
    </w:rPr>
  </w:style>
  <w:style w:type="paragraph" w:styleId="Ttulo4">
    <w:name w:val="heading 4"/>
    <w:aliases w:val="APA nivel 4"/>
    <w:basedOn w:val="Normal"/>
    <w:next w:val="Normal"/>
    <w:link w:val="Ttulo4Car"/>
    <w:uiPriority w:val="9"/>
    <w:unhideWhenUsed/>
    <w:qFormat/>
    <w:rsid w:val="009826C8"/>
    <w:pPr>
      <w:keepNext/>
      <w:keepLines/>
      <w:numPr>
        <w:ilvl w:val="3"/>
        <w:numId w:val="15"/>
      </w:numPr>
      <w:outlineLvl w:val="3"/>
    </w:pPr>
    <w:rPr>
      <w:rFonts w:eastAsiaTheme="majorEastAsia" w:cstheme="majorBidi"/>
      <w:b/>
      <w:iCs/>
    </w:rPr>
  </w:style>
  <w:style w:type="paragraph" w:styleId="Ttulo5">
    <w:name w:val="heading 5"/>
    <w:aliases w:val="APA nivel 5"/>
    <w:basedOn w:val="Normal"/>
    <w:next w:val="Normal"/>
    <w:link w:val="Ttulo5Car"/>
    <w:uiPriority w:val="9"/>
    <w:unhideWhenUsed/>
    <w:qFormat/>
    <w:rsid w:val="009826C8"/>
    <w:pPr>
      <w:keepNext/>
      <w:keepLines/>
      <w:numPr>
        <w:ilvl w:val="4"/>
        <w:numId w:val="24"/>
      </w:numPr>
      <w:outlineLvl w:val="4"/>
    </w:pPr>
    <w:rPr>
      <w:rFonts w:eastAsiaTheme="majorEastAsia" w:cstheme="majorBidi"/>
      <w:b/>
      <w:i/>
    </w:rPr>
  </w:style>
  <w:style w:type="paragraph" w:styleId="Ttulo6">
    <w:name w:val="heading 6"/>
    <w:basedOn w:val="Normal"/>
    <w:next w:val="Normal"/>
    <w:link w:val="Ttulo6Car"/>
    <w:uiPriority w:val="9"/>
    <w:semiHidden/>
    <w:unhideWhenUsed/>
    <w:qFormat/>
    <w:rsid w:val="009826C8"/>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826C8"/>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826C8"/>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826C8"/>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Prrafo">
    <w:name w:val="APA Párrafo"/>
    <w:basedOn w:val="Normal"/>
    <w:link w:val="APAPrrafoCar"/>
    <w:qFormat/>
    <w:rsid w:val="009826C8"/>
    <w:pPr>
      <w:ind w:firstLine="720"/>
    </w:pPr>
    <w:rPr>
      <w:rFonts w:eastAsia="Calibri" w:cs="Arial"/>
      <w:shd w:val="clear" w:color="auto" w:fill="FFFFFF"/>
    </w:rPr>
  </w:style>
  <w:style w:type="character" w:customStyle="1" w:styleId="APAPrrafoCar">
    <w:name w:val="APA Párrafo Car"/>
    <w:basedOn w:val="Fuentedeprrafopredeter"/>
    <w:link w:val="APAPrrafo"/>
    <w:rsid w:val="009826C8"/>
    <w:rPr>
      <w:rFonts w:ascii="Times New Roman" w:eastAsia="Calibri" w:hAnsi="Times New Roman" w:cs="Arial"/>
      <w:sz w:val="24"/>
    </w:rPr>
  </w:style>
  <w:style w:type="character" w:styleId="Textoennegrita">
    <w:name w:val="Strong"/>
    <w:basedOn w:val="Fuentedeprrafopredeter"/>
    <w:uiPriority w:val="22"/>
    <w:qFormat/>
    <w:rsid w:val="00E80DAB"/>
    <w:rPr>
      <w:b/>
      <w:bCs/>
    </w:rPr>
  </w:style>
  <w:style w:type="character" w:customStyle="1" w:styleId="Ttulo1Car">
    <w:name w:val="Título 1 Car"/>
    <w:aliases w:val="APA nivel 1 Car"/>
    <w:basedOn w:val="Fuentedeprrafopredeter"/>
    <w:link w:val="Ttulo1"/>
    <w:uiPriority w:val="9"/>
    <w:rsid w:val="009826C8"/>
    <w:rPr>
      <w:rFonts w:ascii="Times New Roman" w:eastAsiaTheme="majorEastAsia" w:hAnsi="Times New Roman" w:cstheme="majorBidi"/>
      <w:b/>
      <w:sz w:val="24"/>
      <w:szCs w:val="32"/>
    </w:rPr>
  </w:style>
  <w:style w:type="character" w:customStyle="1" w:styleId="Ttulo2Car">
    <w:name w:val="Título 2 Car"/>
    <w:aliases w:val="APA nivel 2 Car"/>
    <w:basedOn w:val="Fuentedeprrafopredeter"/>
    <w:link w:val="Ttulo2"/>
    <w:uiPriority w:val="9"/>
    <w:rsid w:val="009826C8"/>
    <w:rPr>
      <w:rFonts w:ascii="Times New Roman" w:eastAsiaTheme="majorEastAsia" w:hAnsi="Times New Roman" w:cstheme="majorBidi"/>
      <w:b/>
      <w:sz w:val="24"/>
      <w:szCs w:val="26"/>
    </w:rPr>
  </w:style>
  <w:style w:type="character" w:customStyle="1" w:styleId="Ttulo3Car">
    <w:name w:val="Título 3 Car"/>
    <w:aliases w:val="APA nivel 3 Car"/>
    <w:basedOn w:val="Fuentedeprrafopredeter"/>
    <w:link w:val="Ttulo3"/>
    <w:uiPriority w:val="9"/>
    <w:rsid w:val="009826C8"/>
    <w:rPr>
      <w:rFonts w:ascii="Times New Roman" w:eastAsiaTheme="majorEastAsia" w:hAnsi="Times New Roman" w:cstheme="majorBidi"/>
      <w:b/>
      <w:i/>
      <w:sz w:val="24"/>
      <w:szCs w:val="24"/>
    </w:rPr>
  </w:style>
  <w:style w:type="character" w:customStyle="1" w:styleId="Ttulo4Car">
    <w:name w:val="Título 4 Car"/>
    <w:aliases w:val="APA nivel 4 Car"/>
    <w:basedOn w:val="Fuentedeprrafopredeter"/>
    <w:link w:val="Ttulo4"/>
    <w:uiPriority w:val="9"/>
    <w:rsid w:val="009826C8"/>
    <w:rPr>
      <w:rFonts w:ascii="Times New Roman" w:eastAsiaTheme="majorEastAsia" w:hAnsi="Times New Roman" w:cstheme="majorBidi"/>
      <w:b/>
      <w:iCs/>
      <w:sz w:val="24"/>
    </w:rPr>
  </w:style>
  <w:style w:type="character" w:customStyle="1" w:styleId="Ttulo5Car">
    <w:name w:val="Título 5 Car"/>
    <w:aliases w:val="APA nivel 5 Car"/>
    <w:basedOn w:val="Fuentedeprrafopredeter"/>
    <w:link w:val="Ttulo5"/>
    <w:uiPriority w:val="9"/>
    <w:rsid w:val="00781FCE"/>
    <w:rPr>
      <w:rFonts w:ascii="Times New Roman" w:eastAsiaTheme="majorEastAsia" w:hAnsi="Times New Roman" w:cstheme="majorBidi"/>
      <w:b/>
      <w:i/>
      <w:sz w:val="24"/>
    </w:rPr>
  </w:style>
  <w:style w:type="character" w:customStyle="1" w:styleId="Ttulo6Car">
    <w:name w:val="Título 6 Car"/>
    <w:basedOn w:val="Fuentedeprrafopredeter"/>
    <w:link w:val="Ttulo6"/>
    <w:uiPriority w:val="9"/>
    <w:semiHidden/>
    <w:rsid w:val="00E80DAB"/>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E80DAB"/>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E80D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80DAB"/>
    <w:rPr>
      <w:rFonts w:asciiTheme="majorHAnsi" w:eastAsiaTheme="majorEastAsia" w:hAnsiTheme="majorHAnsi" w:cstheme="majorBidi"/>
      <w:i/>
      <w:iCs/>
      <w:color w:val="272727" w:themeColor="text1" w:themeTint="D8"/>
      <w:sz w:val="21"/>
      <w:szCs w:val="21"/>
    </w:rPr>
  </w:style>
  <w:style w:type="table" w:customStyle="1" w:styleId="TablasAPAseptimaedicion">
    <w:name w:val="Tablas APA septima edicion"/>
    <w:basedOn w:val="Tablanormal"/>
    <w:uiPriority w:val="99"/>
    <w:rsid w:val="00781FCE"/>
    <w:pPr>
      <w:spacing w:after="0" w:line="240" w:lineRule="auto"/>
      <w:jc w:val="center"/>
    </w:pPr>
    <w:rPr>
      <w:rFonts w:ascii="Times New Roman" w:hAnsi="Times New Roman"/>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rPr>
        <w:color w:val="auto"/>
      </w:rPr>
    </w:tblStylePr>
  </w:style>
  <w:style w:type="paragraph" w:styleId="Descripcin">
    <w:name w:val="caption"/>
    <w:basedOn w:val="Normal"/>
    <w:next w:val="Normal"/>
    <w:link w:val="DescripcinCar"/>
    <w:uiPriority w:val="35"/>
    <w:unhideWhenUsed/>
    <w:qFormat/>
    <w:rsid w:val="00E80DAB"/>
    <w:pPr>
      <w:spacing w:after="200" w:line="240" w:lineRule="auto"/>
    </w:pPr>
    <w:rPr>
      <w:i/>
      <w:iCs/>
      <w:color w:val="44546A" w:themeColor="text2"/>
      <w:sz w:val="18"/>
      <w:szCs w:val="18"/>
    </w:rPr>
  </w:style>
  <w:style w:type="paragraph" w:customStyle="1" w:styleId="TITULOTablasyFiguras">
    <w:name w:val="TITULO. Tablas y Figuras"/>
    <w:basedOn w:val="Descripcin"/>
    <w:link w:val="TITULOTablasyFigurasCar"/>
    <w:qFormat/>
    <w:rsid w:val="009826C8"/>
    <w:pPr>
      <w:keepNext/>
      <w:spacing w:after="0" w:line="480" w:lineRule="auto"/>
      <w:ind w:left="720"/>
    </w:pPr>
    <w:rPr>
      <w:sz w:val="24"/>
    </w:rPr>
  </w:style>
  <w:style w:type="paragraph" w:customStyle="1" w:styleId="NotasAPA">
    <w:name w:val="Notas APA"/>
    <w:basedOn w:val="Normal"/>
    <w:link w:val="NotasAPACar"/>
    <w:qFormat/>
    <w:rsid w:val="009826C8"/>
    <w:pPr>
      <w:ind w:left="720"/>
    </w:pPr>
    <w:rPr>
      <w:sz w:val="20"/>
    </w:rPr>
  </w:style>
  <w:style w:type="character" w:customStyle="1" w:styleId="DescripcinCar">
    <w:name w:val="Descripción Car"/>
    <w:basedOn w:val="Fuentedeprrafopredeter"/>
    <w:link w:val="Descripcin"/>
    <w:uiPriority w:val="35"/>
    <w:rsid w:val="00E80DAB"/>
    <w:rPr>
      <w:rFonts w:ascii="Times New Roman" w:hAnsi="Times New Roman"/>
      <w:i/>
      <w:iCs/>
      <w:color w:val="44546A" w:themeColor="text2"/>
      <w:sz w:val="18"/>
      <w:szCs w:val="18"/>
    </w:rPr>
  </w:style>
  <w:style w:type="character" w:customStyle="1" w:styleId="TITULOTablasyFigurasCar">
    <w:name w:val="TITULO. Tablas y Figuras Car"/>
    <w:basedOn w:val="DescripcinCar"/>
    <w:link w:val="TITULOTablasyFiguras"/>
    <w:rsid w:val="009826C8"/>
    <w:rPr>
      <w:rFonts w:ascii="Times New Roman" w:hAnsi="Times New Roman"/>
      <w:i/>
      <w:iCs/>
      <w:color w:val="44546A" w:themeColor="text2"/>
      <w:sz w:val="24"/>
      <w:szCs w:val="18"/>
    </w:rPr>
  </w:style>
  <w:style w:type="paragraph" w:styleId="Encabezado">
    <w:name w:val="header"/>
    <w:basedOn w:val="Normal"/>
    <w:link w:val="EncabezadoCar"/>
    <w:uiPriority w:val="99"/>
    <w:unhideWhenUsed/>
    <w:rsid w:val="00501BF5"/>
    <w:pPr>
      <w:tabs>
        <w:tab w:val="center" w:pos="4252"/>
        <w:tab w:val="right" w:pos="8504"/>
      </w:tabs>
      <w:spacing w:line="240" w:lineRule="auto"/>
    </w:pPr>
  </w:style>
  <w:style w:type="character" w:customStyle="1" w:styleId="NotasAPACar">
    <w:name w:val="Notas APA Car"/>
    <w:basedOn w:val="Fuentedeprrafopredeter"/>
    <w:link w:val="NotasAPA"/>
    <w:rsid w:val="009826C8"/>
    <w:rPr>
      <w:rFonts w:ascii="Times New Roman" w:hAnsi="Times New Roman"/>
      <w:sz w:val="20"/>
    </w:rPr>
  </w:style>
  <w:style w:type="character" w:customStyle="1" w:styleId="EncabezadoCar">
    <w:name w:val="Encabezado Car"/>
    <w:basedOn w:val="Fuentedeprrafopredeter"/>
    <w:link w:val="Encabezado"/>
    <w:uiPriority w:val="99"/>
    <w:rsid w:val="00501BF5"/>
    <w:rPr>
      <w:rFonts w:ascii="Times New Roman" w:hAnsi="Times New Roman"/>
      <w:sz w:val="24"/>
    </w:rPr>
  </w:style>
  <w:style w:type="paragraph" w:styleId="Piedepgina">
    <w:name w:val="footer"/>
    <w:basedOn w:val="Normal"/>
    <w:link w:val="PiedepginaCar"/>
    <w:uiPriority w:val="99"/>
    <w:unhideWhenUsed/>
    <w:rsid w:val="00501BF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01BF5"/>
    <w:rPr>
      <w:rFonts w:ascii="Times New Roman" w:hAnsi="Times New Roman"/>
      <w:sz w:val="24"/>
    </w:rPr>
  </w:style>
  <w:style w:type="character" w:styleId="Hipervnculo">
    <w:name w:val="Hyperlink"/>
    <w:basedOn w:val="Fuentedeprrafopredeter"/>
    <w:uiPriority w:val="99"/>
    <w:unhideWhenUsed/>
    <w:rsid w:val="004515E8"/>
    <w:rPr>
      <w:color w:val="0563C1" w:themeColor="hyperlink"/>
      <w:u w:val="single"/>
    </w:rPr>
  </w:style>
  <w:style w:type="paragraph" w:styleId="Tabladeilustraciones">
    <w:name w:val="table of figures"/>
    <w:basedOn w:val="Normal"/>
    <w:next w:val="Normal"/>
    <w:uiPriority w:val="99"/>
    <w:unhideWhenUsed/>
    <w:rsid w:val="004515E8"/>
  </w:style>
  <w:style w:type="paragraph" w:styleId="TtuloTDC">
    <w:name w:val="TOC Heading"/>
    <w:basedOn w:val="Ttulo1"/>
    <w:next w:val="Normal"/>
    <w:uiPriority w:val="39"/>
    <w:unhideWhenUsed/>
    <w:qFormat/>
    <w:rsid w:val="00E80DAB"/>
    <w:pPr>
      <w:numPr>
        <w:numId w:val="0"/>
      </w:numPr>
      <w:spacing w:before="240" w:line="259" w:lineRule="auto"/>
      <w:jc w:val="left"/>
      <w:outlineLvl w:val="9"/>
    </w:pPr>
    <w:rPr>
      <w:rFonts w:asciiTheme="majorHAnsi" w:hAnsiTheme="majorHAnsi"/>
      <w:b w:val="0"/>
      <w:color w:val="2F5496" w:themeColor="accent1" w:themeShade="BF"/>
      <w:sz w:val="32"/>
      <w:lang w:eastAsia="es-PE"/>
    </w:rPr>
  </w:style>
  <w:style w:type="paragraph" w:styleId="TDC1">
    <w:name w:val="toc 1"/>
    <w:basedOn w:val="Normal"/>
    <w:next w:val="Normal"/>
    <w:autoRedefine/>
    <w:uiPriority w:val="39"/>
    <w:unhideWhenUsed/>
    <w:rsid w:val="00682149"/>
    <w:pPr>
      <w:tabs>
        <w:tab w:val="left" w:pos="480"/>
        <w:tab w:val="right" w:leader="dot" w:pos="8297"/>
      </w:tabs>
      <w:spacing w:after="100"/>
    </w:pPr>
  </w:style>
  <w:style w:type="paragraph" w:styleId="TDC2">
    <w:name w:val="toc 2"/>
    <w:basedOn w:val="Normal"/>
    <w:next w:val="Normal"/>
    <w:autoRedefine/>
    <w:uiPriority w:val="39"/>
    <w:unhideWhenUsed/>
    <w:rsid w:val="004515E8"/>
    <w:pPr>
      <w:spacing w:after="100"/>
      <w:ind w:left="240"/>
    </w:pPr>
  </w:style>
  <w:style w:type="paragraph" w:styleId="TDC3">
    <w:name w:val="toc 3"/>
    <w:basedOn w:val="Normal"/>
    <w:next w:val="Normal"/>
    <w:autoRedefine/>
    <w:uiPriority w:val="39"/>
    <w:unhideWhenUsed/>
    <w:rsid w:val="004515E8"/>
    <w:pPr>
      <w:spacing w:after="100"/>
      <w:ind w:left="480"/>
    </w:pPr>
  </w:style>
  <w:style w:type="paragraph" w:styleId="Prrafodelista">
    <w:name w:val="List Paragraph"/>
    <w:basedOn w:val="Normal"/>
    <w:uiPriority w:val="34"/>
    <w:qFormat/>
    <w:rsid w:val="00E80DAB"/>
    <w:pPr>
      <w:ind w:left="720"/>
      <w:contextualSpacing/>
    </w:pPr>
  </w:style>
  <w:style w:type="table" w:styleId="Tablaconcuadrcula">
    <w:name w:val="Table Grid"/>
    <w:basedOn w:val="Tablanormal"/>
    <w:uiPriority w:val="39"/>
    <w:rsid w:val="00682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Fuentedeprrafopredeter"/>
    <w:rsid w:val="00A32599"/>
  </w:style>
  <w:style w:type="paragraph" w:styleId="Bibliografa">
    <w:name w:val="Bibliography"/>
    <w:basedOn w:val="Normal"/>
    <w:next w:val="Normal"/>
    <w:uiPriority w:val="37"/>
    <w:unhideWhenUsed/>
    <w:rsid w:val="004144F1"/>
  </w:style>
  <w:style w:type="paragraph" w:styleId="NormalWeb">
    <w:name w:val="Normal (Web)"/>
    <w:basedOn w:val="Normal"/>
    <w:uiPriority w:val="99"/>
    <w:unhideWhenUsed/>
    <w:rsid w:val="000F5A71"/>
    <w:pPr>
      <w:spacing w:before="100" w:beforeAutospacing="1" w:after="100" w:afterAutospacing="1" w:line="240" w:lineRule="auto"/>
    </w:pPr>
    <w:rPr>
      <w:rFonts w:eastAsia="Times New Roman" w:cs="Times New Roman"/>
      <w:szCs w:val="24"/>
      <w:lang w:eastAsia="es-PE"/>
    </w:rPr>
  </w:style>
  <w:style w:type="paragraph" w:customStyle="1" w:styleId="paragraph">
    <w:name w:val="paragraph"/>
    <w:basedOn w:val="Normal"/>
    <w:rsid w:val="00984A60"/>
    <w:pPr>
      <w:spacing w:before="100" w:beforeAutospacing="1" w:after="100" w:afterAutospacing="1" w:line="240" w:lineRule="auto"/>
    </w:pPr>
    <w:rPr>
      <w:rFonts w:eastAsia="Times New Roman" w:cs="Times New Roman"/>
      <w:szCs w:val="24"/>
      <w:lang w:eastAsia="es-PE"/>
    </w:rPr>
  </w:style>
  <w:style w:type="character" w:customStyle="1" w:styleId="normaltextrun">
    <w:name w:val="normaltextrun"/>
    <w:basedOn w:val="Fuentedeprrafopredeter"/>
    <w:rsid w:val="00984A60"/>
  </w:style>
  <w:style w:type="character" w:styleId="Refdecomentario">
    <w:name w:val="annotation reference"/>
    <w:basedOn w:val="Fuentedeprrafopredeter"/>
    <w:uiPriority w:val="99"/>
    <w:semiHidden/>
    <w:unhideWhenUsed/>
    <w:rsid w:val="00D00185"/>
    <w:rPr>
      <w:sz w:val="16"/>
      <w:szCs w:val="16"/>
    </w:rPr>
  </w:style>
  <w:style w:type="paragraph" w:styleId="Textocomentario">
    <w:name w:val="annotation text"/>
    <w:basedOn w:val="Normal"/>
    <w:link w:val="TextocomentarioCar"/>
    <w:uiPriority w:val="99"/>
    <w:semiHidden/>
    <w:unhideWhenUsed/>
    <w:rsid w:val="00D001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00185"/>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D00185"/>
    <w:rPr>
      <w:b/>
      <w:bCs/>
    </w:rPr>
  </w:style>
  <w:style w:type="character" w:customStyle="1" w:styleId="AsuntodelcomentarioCar">
    <w:name w:val="Asunto del comentario Car"/>
    <w:basedOn w:val="TextocomentarioCar"/>
    <w:link w:val="Asuntodelcomentario"/>
    <w:uiPriority w:val="99"/>
    <w:semiHidden/>
    <w:rsid w:val="00D00185"/>
    <w:rPr>
      <w:rFonts w:ascii="Times New Roman" w:hAnsi="Times New Roman"/>
      <w:b/>
      <w:bCs/>
      <w:sz w:val="20"/>
      <w:szCs w:val="20"/>
    </w:rPr>
  </w:style>
  <w:style w:type="paragraph" w:styleId="Revisin">
    <w:name w:val="Revision"/>
    <w:hidden/>
    <w:uiPriority w:val="99"/>
    <w:semiHidden/>
    <w:rsid w:val="00D00185"/>
    <w:pPr>
      <w:spacing w:after="0" w:line="240" w:lineRule="auto"/>
    </w:pPr>
    <w:rPr>
      <w:rFonts w:ascii="Times New Roman" w:hAnsi="Times New Roman"/>
      <w:sz w:val="24"/>
    </w:rPr>
  </w:style>
  <w:style w:type="character" w:styleId="Mencinsinresolver">
    <w:name w:val="Unresolved Mention"/>
    <w:basedOn w:val="Fuentedeprrafopredeter"/>
    <w:uiPriority w:val="99"/>
    <w:semiHidden/>
    <w:unhideWhenUsed/>
    <w:rsid w:val="00F139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7930">
      <w:bodyDiv w:val="1"/>
      <w:marLeft w:val="0"/>
      <w:marRight w:val="0"/>
      <w:marTop w:val="0"/>
      <w:marBottom w:val="0"/>
      <w:divBdr>
        <w:top w:val="none" w:sz="0" w:space="0" w:color="auto"/>
        <w:left w:val="none" w:sz="0" w:space="0" w:color="auto"/>
        <w:bottom w:val="none" w:sz="0" w:space="0" w:color="auto"/>
        <w:right w:val="none" w:sz="0" w:space="0" w:color="auto"/>
      </w:divBdr>
    </w:div>
    <w:div w:id="25716321">
      <w:bodyDiv w:val="1"/>
      <w:marLeft w:val="0"/>
      <w:marRight w:val="0"/>
      <w:marTop w:val="0"/>
      <w:marBottom w:val="0"/>
      <w:divBdr>
        <w:top w:val="none" w:sz="0" w:space="0" w:color="auto"/>
        <w:left w:val="none" w:sz="0" w:space="0" w:color="auto"/>
        <w:bottom w:val="none" w:sz="0" w:space="0" w:color="auto"/>
        <w:right w:val="none" w:sz="0" w:space="0" w:color="auto"/>
      </w:divBdr>
    </w:div>
    <w:div w:id="28846214">
      <w:bodyDiv w:val="1"/>
      <w:marLeft w:val="0"/>
      <w:marRight w:val="0"/>
      <w:marTop w:val="0"/>
      <w:marBottom w:val="0"/>
      <w:divBdr>
        <w:top w:val="none" w:sz="0" w:space="0" w:color="auto"/>
        <w:left w:val="none" w:sz="0" w:space="0" w:color="auto"/>
        <w:bottom w:val="none" w:sz="0" w:space="0" w:color="auto"/>
        <w:right w:val="none" w:sz="0" w:space="0" w:color="auto"/>
      </w:divBdr>
    </w:div>
    <w:div w:id="45374372">
      <w:bodyDiv w:val="1"/>
      <w:marLeft w:val="0"/>
      <w:marRight w:val="0"/>
      <w:marTop w:val="0"/>
      <w:marBottom w:val="0"/>
      <w:divBdr>
        <w:top w:val="none" w:sz="0" w:space="0" w:color="auto"/>
        <w:left w:val="none" w:sz="0" w:space="0" w:color="auto"/>
        <w:bottom w:val="none" w:sz="0" w:space="0" w:color="auto"/>
        <w:right w:val="none" w:sz="0" w:space="0" w:color="auto"/>
      </w:divBdr>
    </w:div>
    <w:div w:id="57750251">
      <w:bodyDiv w:val="1"/>
      <w:marLeft w:val="0"/>
      <w:marRight w:val="0"/>
      <w:marTop w:val="0"/>
      <w:marBottom w:val="0"/>
      <w:divBdr>
        <w:top w:val="none" w:sz="0" w:space="0" w:color="auto"/>
        <w:left w:val="none" w:sz="0" w:space="0" w:color="auto"/>
        <w:bottom w:val="none" w:sz="0" w:space="0" w:color="auto"/>
        <w:right w:val="none" w:sz="0" w:space="0" w:color="auto"/>
      </w:divBdr>
    </w:div>
    <w:div w:id="64885783">
      <w:bodyDiv w:val="1"/>
      <w:marLeft w:val="0"/>
      <w:marRight w:val="0"/>
      <w:marTop w:val="0"/>
      <w:marBottom w:val="0"/>
      <w:divBdr>
        <w:top w:val="none" w:sz="0" w:space="0" w:color="auto"/>
        <w:left w:val="none" w:sz="0" w:space="0" w:color="auto"/>
        <w:bottom w:val="none" w:sz="0" w:space="0" w:color="auto"/>
        <w:right w:val="none" w:sz="0" w:space="0" w:color="auto"/>
      </w:divBdr>
    </w:div>
    <w:div w:id="82650315">
      <w:bodyDiv w:val="1"/>
      <w:marLeft w:val="0"/>
      <w:marRight w:val="0"/>
      <w:marTop w:val="0"/>
      <w:marBottom w:val="0"/>
      <w:divBdr>
        <w:top w:val="none" w:sz="0" w:space="0" w:color="auto"/>
        <w:left w:val="none" w:sz="0" w:space="0" w:color="auto"/>
        <w:bottom w:val="none" w:sz="0" w:space="0" w:color="auto"/>
        <w:right w:val="none" w:sz="0" w:space="0" w:color="auto"/>
      </w:divBdr>
    </w:div>
    <w:div w:id="83647600">
      <w:bodyDiv w:val="1"/>
      <w:marLeft w:val="0"/>
      <w:marRight w:val="0"/>
      <w:marTop w:val="0"/>
      <w:marBottom w:val="0"/>
      <w:divBdr>
        <w:top w:val="none" w:sz="0" w:space="0" w:color="auto"/>
        <w:left w:val="none" w:sz="0" w:space="0" w:color="auto"/>
        <w:bottom w:val="none" w:sz="0" w:space="0" w:color="auto"/>
        <w:right w:val="none" w:sz="0" w:space="0" w:color="auto"/>
      </w:divBdr>
    </w:div>
    <w:div w:id="100535238">
      <w:bodyDiv w:val="1"/>
      <w:marLeft w:val="0"/>
      <w:marRight w:val="0"/>
      <w:marTop w:val="0"/>
      <w:marBottom w:val="0"/>
      <w:divBdr>
        <w:top w:val="none" w:sz="0" w:space="0" w:color="auto"/>
        <w:left w:val="none" w:sz="0" w:space="0" w:color="auto"/>
        <w:bottom w:val="none" w:sz="0" w:space="0" w:color="auto"/>
        <w:right w:val="none" w:sz="0" w:space="0" w:color="auto"/>
      </w:divBdr>
    </w:div>
    <w:div w:id="104353948">
      <w:bodyDiv w:val="1"/>
      <w:marLeft w:val="0"/>
      <w:marRight w:val="0"/>
      <w:marTop w:val="0"/>
      <w:marBottom w:val="0"/>
      <w:divBdr>
        <w:top w:val="none" w:sz="0" w:space="0" w:color="auto"/>
        <w:left w:val="none" w:sz="0" w:space="0" w:color="auto"/>
        <w:bottom w:val="none" w:sz="0" w:space="0" w:color="auto"/>
        <w:right w:val="none" w:sz="0" w:space="0" w:color="auto"/>
      </w:divBdr>
    </w:div>
    <w:div w:id="112722038">
      <w:bodyDiv w:val="1"/>
      <w:marLeft w:val="0"/>
      <w:marRight w:val="0"/>
      <w:marTop w:val="0"/>
      <w:marBottom w:val="0"/>
      <w:divBdr>
        <w:top w:val="none" w:sz="0" w:space="0" w:color="auto"/>
        <w:left w:val="none" w:sz="0" w:space="0" w:color="auto"/>
        <w:bottom w:val="none" w:sz="0" w:space="0" w:color="auto"/>
        <w:right w:val="none" w:sz="0" w:space="0" w:color="auto"/>
      </w:divBdr>
    </w:div>
    <w:div w:id="121077481">
      <w:bodyDiv w:val="1"/>
      <w:marLeft w:val="0"/>
      <w:marRight w:val="0"/>
      <w:marTop w:val="0"/>
      <w:marBottom w:val="0"/>
      <w:divBdr>
        <w:top w:val="none" w:sz="0" w:space="0" w:color="auto"/>
        <w:left w:val="none" w:sz="0" w:space="0" w:color="auto"/>
        <w:bottom w:val="none" w:sz="0" w:space="0" w:color="auto"/>
        <w:right w:val="none" w:sz="0" w:space="0" w:color="auto"/>
      </w:divBdr>
    </w:div>
    <w:div w:id="126629663">
      <w:bodyDiv w:val="1"/>
      <w:marLeft w:val="0"/>
      <w:marRight w:val="0"/>
      <w:marTop w:val="0"/>
      <w:marBottom w:val="0"/>
      <w:divBdr>
        <w:top w:val="none" w:sz="0" w:space="0" w:color="auto"/>
        <w:left w:val="none" w:sz="0" w:space="0" w:color="auto"/>
        <w:bottom w:val="none" w:sz="0" w:space="0" w:color="auto"/>
        <w:right w:val="none" w:sz="0" w:space="0" w:color="auto"/>
      </w:divBdr>
    </w:div>
    <w:div w:id="166555980">
      <w:bodyDiv w:val="1"/>
      <w:marLeft w:val="0"/>
      <w:marRight w:val="0"/>
      <w:marTop w:val="0"/>
      <w:marBottom w:val="0"/>
      <w:divBdr>
        <w:top w:val="none" w:sz="0" w:space="0" w:color="auto"/>
        <w:left w:val="none" w:sz="0" w:space="0" w:color="auto"/>
        <w:bottom w:val="none" w:sz="0" w:space="0" w:color="auto"/>
        <w:right w:val="none" w:sz="0" w:space="0" w:color="auto"/>
      </w:divBdr>
    </w:div>
    <w:div w:id="174199039">
      <w:bodyDiv w:val="1"/>
      <w:marLeft w:val="0"/>
      <w:marRight w:val="0"/>
      <w:marTop w:val="0"/>
      <w:marBottom w:val="0"/>
      <w:divBdr>
        <w:top w:val="none" w:sz="0" w:space="0" w:color="auto"/>
        <w:left w:val="none" w:sz="0" w:space="0" w:color="auto"/>
        <w:bottom w:val="none" w:sz="0" w:space="0" w:color="auto"/>
        <w:right w:val="none" w:sz="0" w:space="0" w:color="auto"/>
      </w:divBdr>
    </w:div>
    <w:div w:id="186606060">
      <w:bodyDiv w:val="1"/>
      <w:marLeft w:val="0"/>
      <w:marRight w:val="0"/>
      <w:marTop w:val="0"/>
      <w:marBottom w:val="0"/>
      <w:divBdr>
        <w:top w:val="none" w:sz="0" w:space="0" w:color="auto"/>
        <w:left w:val="none" w:sz="0" w:space="0" w:color="auto"/>
        <w:bottom w:val="none" w:sz="0" w:space="0" w:color="auto"/>
        <w:right w:val="none" w:sz="0" w:space="0" w:color="auto"/>
      </w:divBdr>
    </w:div>
    <w:div w:id="187720004">
      <w:bodyDiv w:val="1"/>
      <w:marLeft w:val="0"/>
      <w:marRight w:val="0"/>
      <w:marTop w:val="0"/>
      <w:marBottom w:val="0"/>
      <w:divBdr>
        <w:top w:val="none" w:sz="0" w:space="0" w:color="auto"/>
        <w:left w:val="none" w:sz="0" w:space="0" w:color="auto"/>
        <w:bottom w:val="none" w:sz="0" w:space="0" w:color="auto"/>
        <w:right w:val="none" w:sz="0" w:space="0" w:color="auto"/>
      </w:divBdr>
    </w:div>
    <w:div w:id="212891205">
      <w:bodyDiv w:val="1"/>
      <w:marLeft w:val="0"/>
      <w:marRight w:val="0"/>
      <w:marTop w:val="0"/>
      <w:marBottom w:val="0"/>
      <w:divBdr>
        <w:top w:val="none" w:sz="0" w:space="0" w:color="auto"/>
        <w:left w:val="none" w:sz="0" w:space="0" w:color="auto"/>
        <w:bottom w:val="none" w:sz="0" w:space="0" w:color="auto"/>
        <w:right w:val="none" w:sz="0" w:space="0" w:color="auto"/>
      </w:divBdr>
    </w:div>
    <w:div w:id="226303438">
      <w:bodyDiv w:val="1"/>
      <w:marLeft w:val="0"/>
      <w:marRight w:val="0"/>
      <w:marTop w:val="0"/>
      <w:marBottom w:val="0"/>
      <w:divBdr>
        <w:top w:val="none" w:sz="0" w:space="0" w:color="auto"/>
        <w:left w:val="none" w:sz="0" w:space="0" w:color="auto"/>
        <w:bottom w:val="none" w:sz="0" w:space="0" w:color="auto"/>
        <w:right w:val="none" w:sz="0" w:space="0" w:color="auto"/>
      </w:divBdr>
    </w:div>
    <w:div w:id="245849957">
      <w:bodyDiv w:val="1"/>
      <w:marLeft w:val="0"/>
      <w:marRight w:val="0"/>
      <w:marTop w:val="0"/>
      <w:marBottom w:val="0"/>
      <w:divBdr>
        <w:top w:val="none" w:sz="0" w:space="0" w:color="auto"/>
        <w:left w:val="none" w:sz="0" w:space="0" w:color="auto"/>
        <w:bottom w:val="none" w:sz="0" w:space="0" w:color="auto"/>
        <w:right w:val="none" w:sz="0" w:space="0" w:color="auto"/>
      </w:divBdr>
    </w:div>
    <w:div w:id="246960960">
      <w:bodyDiv w:val="1"/>
      <w:marLeft w:val="0"/>
      <w:marRight w:val="0"/>
      <w:marTop w:val="0"/>
      <w:marBottom w:val="0"/>
      <w:divBdr>
        <w:top w:val="none" w:sz="0" w:space="0" w:color="auto"/>
        <w:left w:val="none" w:sz="0" w:space="0" w:color="auto"/>
        <w:bottom w:val="none" w:sz="0" w:space="0" w:color="auto"/>
        <w:right w:val="none" w:sz="0" w:space="0" w:color="auto"/>
      </w:divBdr>
    </w:div>
    <w:div w:id="249850171">
      <w:bodyDiv w:val="1"/>
      <w:marLeft w:val="0"/>
      <w:marRight w:val="0"/>
      <w:marTop w:val="0"/>
      <w:marBottom w:val="0"/>
      <w:divBdr>
        <w:top w:val="none" w:sz="0" w:space="0" w:color="auto"/>
        <w:left w:val="none" w:sz="0" w:space="0" w:color="auto"/>
        <w:bottom w:val="none" w:sz="0" w:space="0" w:color="auto"/>
        <w:right w:val="none" w:sz="0" w:space="0" w:color="auto"/>
      </w:divBdr>
    </w:div>
    <w:div w:id="267546003">
      <w:bodyDiv w:val="1"/>
      <w:marLeft w:val="0"/>
      <w:marRight w:val="0"/>
      <w:marTop w:val="0"/>
      <w:marBottom w:val="0"/>
      <w:divBdr>
        <w:top w:val="none" w:sz="0" w:space="0" w:color="auto"/>
        <w:left w:val="none" w:sz="0" w:space="0" w:color="auto"/>
        <w:bottom w:val="none" w:sz="0" w:space="0" w:color="auto"/>
        <w:right w:val="none" w:sz="0" w:space="0" w:color="auto"/>
      </w:divBdr>
    </w:div>
    <w:div w:id="326523507">
      <w:bodyDiv w:val="1"/>
      <w:marLeft w:val="0"/>
      <w:marRight w:val="0"/>
      <w:marTop w:val="0"/>
      <w:marBottom w:val="0"/>
      <w:divBdr>
        <w:top w:val="none" w:sz="0" w:space="0" w:color="auto"/>
        <w:left w:val="none" w:sz="0" w:space="0" w:color="auto"/>
        <w:bottom w:val="none" w:sz="0" w:space="0" w:color="auto"/>
        <w:right w:val="none" w:sz="0" w:space="0" w:color="auto"/>
      </w:divBdr>
      <w:divsChild>
        <w:div w:id="153953353">
          <w:marLeft w:val="0"/>
          <w:marRight w:val="0"/>
          <w:marTop w:val="0"/>
          <w:marBottom w:val="0"/>
          <w:divBdr>
            <w:top w:val="none" w:sz="0" w:space="0" w:color="auto"/>
            <w:left w:val="none" w:sz="0" w:space="0" w:color="auto"/>
            <w:bottom w:val="none" w:sz="0" w:space="0" w:color="auto"/>
            <w:right w:val="none" w:sz="0" w:space="0" w:color="auto"/>
          </w:divBdr>
          <w:divsChild>
            <w:div w:id="677736486">
              <w:marLeft w:val="0"/>
              <w:marRight w:val="0"/>
              <w:marTop w:val="0"/>
              <w:marBottom w:val="0"/>
              <w:divBdr>
                <w:top w:val="none" w:sz="0" w:space="0" w:color="auto"/>
                <w:left w:val="none" w:sz="0" w:space="0" w:color="auto"/>
                <w:bottom w:val="none" w:sz="0" w:space="0" w:color="auto"/>
                <w:right w:val="none" w:sz="0" w:space="0" w:color="auto"/>
              </w:divBdr>
              <w:divsChild>
                <w:div w:id="258568194">
                  <w:marLeft w:val="0"/>
                  <w:marRight w:val="0"/>
                  <w:marTop w:val="0"/>
                  <w:marBottom w:val="0"/>
                  <w:divBdr>
                    <w:top w:val="none" w:sz="0" w:space="0" w:color="auto"/>
                    <w:left w:val="none" w:sz="0" w:space="0" w:color="auto"/>
                    <w:bottom w:val="none" w:sz="0" w:space="0" w:color="auto"/>
                    <w:right w:val="none" w:sz="0" w:space="0" w:color="auto"/>
                  </w:divBdr>
                  <w:divsChild>
                    <w:div w:id="1728452897">
                      <w:marLeft w:val="0"/>
                      <w:marRight w:val="0"/>
                      <w:marTop w:val="0"/>
                      <w:marBottom w:val="0"/>
                      <w:divBdr>
                        <w:top w:val="none" w:sz="0" w:space="0" w:color="auto"/>
                        <w:left w:val="none" w:sz="0" w:space="0" w:color="auto"/>
                        <w:bottom w:val="none" w:sz="0" w:space="0" w:color="auto"/>
                        <w:right w:val="none" w:sz="0" w:space="0" w:color="auto"/>
                      </w:divBdr>
                      <w:divsChild>
                        <w:div w:id="1997029009">
                          <w:marLeft w:val="0"/>
                          <w:marRight w:val="0"/>
                          <w:marTop w:val="0"/>
                          <w:marBottom w:val="0"/>
                          <w:divBdr>
                            <w:top w:val="none" w:sz="0" w:space="0" w:color="auto"/>
                            <w:left w:val="none" w:sz="0" w:space="0" w:color="auto"/>
                            <w:bottom w:val="none" w:sz="0" w:space="0" w:color="auto"/>
                            <w:right w:val="none" w:sz="0" w:space="0" w:color="auto"/>
                          </w:divBdr>
                          <w:divsChild>
                            <w:div w:id="1109003985">
                              <w:marLeft w:val="0"/>
                              <w:marRight w:val="0"/>
                              <w:marTop w:val="0"/>
                              <w:marBottom w:val="0"/>
                              <w:divBdr>
                                <w:top w:val="none" w:sz="0" w:space="0" w:color="auto"/>
                                <w:left w:val="none" w:sz="0" w:space="0" w:color="auto"/>
                                <w:bottom w:val="none" w:sz="0" w:space="0" w:color="auto"/>
                                <w:right w:val="none" w:sz="0" w:space="0" w:color="auto"/>
                              </w:divBdr>
                              <w:divsChild>
                                <w:div w:id="1632978410">
                                  <w:marLeft w:val="0"/>
                                  <w:marRight w:val="0"/>
                                  <w:marTop w:val="0"/>
                                  <w:marBottom w:val="0"/>
                                  <w:divBdr>
                                    <w:top w:val="none" w:sz="0" w:space="0" w:color="auto"/>
                                    <w:left w:val="none" w:sz="0" w:space="0" w:color="auto"/>
                                    <w:bottom w:val="none" w:sz="0" w:space="0" w:color="auto"/>
                                    <w:right w:val="none" w:sz="0" w:space="0" w:color="auto"/>
                                  </w:divBdr>
                                  <w:divsChild>
                                    <w:div w:id="1343894424">
                                      <w:marLeft w:val="0"/>
                                      <w:marRight w:val="0"/>
                                      <w:marTop w:val="0"/>
                                      <w:marBottom w:val="0"/>
                                      <w:divBdr>
                                        <w:top w:val="none" w:sz="0" w:space="0" w:color="auto"/>
                                        <w:left w:val="none" w:sz="0" w:space="0" w:color="auto"/>
                                        <w:bottom w:val="none" w:sz="0" w:space="0" w:color="auto"/>
                                        <w:right w:val="none" w:sz="0" w:space="0" w:color="auto"/>
                                      </w:divBdr>
                                      <w:divsChild>
                                        <w:div w:id="1756629668">
                                          <w:marLeft w:val="0"/>
                                          <w:marRight w:val="0"/>
                                          <w:marTop w:val="0"/>
                                          <w:marBottom w:val="0"/>
                                          <w:divBdr>
                                            <w:top w:val="none" w:sz="0" w:space="0" w:color="auto"/>
                                            <w:left w:val="none" w:sz="0" w:space="0" w:color="auto"/>
                                            <w:bottom w:val="none" w:sz="0" w:space="0" w:color="auto"/>
                                            <w:right w:val="none" w:sz="0" w:space="0" w:color="auto"/>
                                          </w:divBdr>
                                          <w:divsChild>
                                            <w:div w:id="1208834337">
                                              <w:marLeft w:val="0"/>
                                              <w:marRight w:val="0"/>
                                              <w:marTop w:val="0"/>
                                              <w:marBottom w:val="0"/>
                                              <w:divBdr>
                                                <w:top w:val="none" w:sz="0" w:space="0" w:color="auto"/>
                                                <w:left w:val="none" w:sz="0" w:space="0" w:color="auto"/>
                                                <w:bottom w:val="none" w:sz="0" w:space="0" w:color="auto"/>
                                                <w:right w:val="none" w:sz="0" w:space="0" w:color="auto"/>
                                              </w:divBdr>
                                              <w:divsChild>
                                                <w:div w:id="50158203">
                                                  <w:marLeft w:val="0"/>
                                                  <w:marRight w:val="0"/>
                                                  <w:marTop w:val="0"/>
                                                  <w:marBottom w:val="0"/>
                                                  <w:divBdr>
                                                    <w:top w:val="none" w:sz="0" w:space="0" w:color="auto"/>
                                                    <w:left w:val="none" w:sz="0" w:space="0" w:color="auto"/>
                                                    <w:bottom w:val="none" w:sz="0" w:space="0" w:color="auto"/>
                                                    <w:right w:val="none" w:sz="0" w:space="0" w:color="auto"/>
                                                  </w:divBdr>
                                                  <w:divsChild>
                                                    <w:div w:id="409040647">
                                                      <w:marLeft w:val="0"/>
                                                      <w:marRight w:val="0"/>
                                                      <w:marTop w:val="0"/>
                                                      <w:marBottom w:val="0"/>
                                                      <w:divBdr>
                                                        <w:top w:val="none" w:sz="0" w:space="0" w:color="auto"/>
                                                        <w:left w:val="none" w:sz="0" w:space="0" w:color="auto"/>
                                                        <w:bottom w:val="none" w:sz="0" w:space="0" w:color="auto"/>
                                                        <w:right w:val="none" w:sz="0" w:space="0" w:color="auto"/>
                                                      </w:divBdr>
                                                      <w:divsChild>
                                                        <w:div w:id="756755686">
                                                          <w:marLeft w:val="0"/>
                                                          <w:marRight w:val="0"/>
                                                          <w:marTop w:val="0"/>
                                                          <w:marBottom w:val="0"/>
                                                          <w:divBdr>
                                                            <w:top w:val="none" w:sz="0" w:space="0" w:color="auto"/>
                                                            <w:left w:val="none" w:sz="0" w:space="0" w:color="auto"/>
                                                            <w:bottom w:val="none" w:sz="0" w:space="0" w:color="auto"/>
                                                            <w:right w:val="none" w:sz="0" w:space="0" w:color="auto"/>
                                                          </w:divBdr>
                                                          <w:divsChild>
                                                            <w:div w:id="26654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1972477">
      <w:bodyDiv w:val="1"/>
      <w:marLeft w:val="0"/>
      <w:marRight w:val="0"/>
      <w:marTop w:val="0"/>
      <w:marBottom w:val="0"/>
      <w:divBdr>
        <w:top w:val="none" w:sz="0" w:space="0" w:color="auto"/>
        <w:left w:val="none" w:sz="0" w:space="0" w:color="auto"/>
        <w:bottom w:val="none" w:sz="0" w:space="0" w:color="auto"/>
        <w:right w:val="none" w:sz="0" w:space="0" w:color="auto"/>
      </w:divBdr>
    </w:div>
    <w:div w:id="363293836">
      <w:bodyDiv w:val="1"/>
      <w:marLeft w:val="0"/>
      <w:marRight w:val="0"/>
      <w:marTop w:val="0"/>
      <w:marBottom w:val="0"/>
      <w:divBdr>
        <w:top w:val="none" w:sz="0" w:space="0" w:color="auto"/>
        <w:left w:val="none" w:sz="0" w:space="0" w:color="auto"/>
        <w:bottom w:val="none" w:sz="0" w:space="0" w:color="auto"/>
        <w:right w:val="none" w:sz="0" w:space="0" w:color="auto"/>
      </w:divBdr>
    </w:div>
    <w:div w:id="367989774">
      <w:bodyDiv w:val="1"/>
      <w:marLeft w:val="0"/>
      <w:marRight w:val="0"/>
      <w:marTop w:val="0"/>
      <w:marBottom w:val="0"/>
      <w:divBdr>
        <w:top w:val="none" w:sz="0" w:space="0" w:color="auto"/>
        <w:left w:val="none" w:sz="0" w:space="0" w:color="auto"/>
        <w:bottom w:val="none" w:sz="0" w:space="0" w:color="auto"/>
        <w:right w:val="none" w:sz="0" w:space="0" w:color="auto"/>
      </w:divBdr>
    </w:div>
    <w:div w:id="385033502">
      <w:bodyDiv w:val="1"/>
      <w:marLeft w:val="0"/>
      <w:marRight w:val="0"/>
      <w:marTop w:val="0"/>
      <w:marBottom w:val="0"/>
      <w:divBdr>
        <w:top w:val="none" w:sz="0" w:space="0" w:color="auto"/>
        <w:left w:val="none" w:sz="0" w:space="0" w:color="auto"/>
        <w:bottom w:val="none" w:sz="0" w:space="0" w:color="auto"/>
        <w:right w:val="none" w:sz="0" w:space="0" w:color="auto"/>
      </w:divBdr>
    </w:div>
    <w:div w:id="393240921">
      <w:bodyDiv w:val="1"/>
      <w:marLeft w:val="0"/>
      <w:marRight w:val="0"/>
      <w:marTop w:val="0"/>
      <w:marBottom w:val="0"/>
      <w:divBdr>
        <w:top w:val="none" w:sz="0" w:space="0" w:color="auto"/>
        <w:left w:val="none" w:sz="0" w:space="0" w:color="auto"/>
        <w:bottom w:val="none" w:sz="0" w:space="0" w:color="auto"/>
        <w:right w:val="none" w:sz="0" w:space="0" w:color="auto"/>
      </w:divBdr>
    </w:div>
    <w:div w:id="414671822">
      <w:bodyDiv w:val="1"/>
      <w:marLeft w:val="0"/>
      <w:marRight w:val="0"/>
      <w:marTop w:val="0"/>
      <w:marBottom w:val="0"/>
      <w:divBdr>
        <w:top w:val="none" w:sz="0" w:space="0" w:color="auto"/>
        <w:left w:val="none" w:sz="0" w:space="0" w:color="auto"/>
        <w:bottom w:val="none" w:sz="0" w:space="0" w:color="auto"/>
        <w:right w:val="none" w:sz="0" w:space="0" w:color="auto"/>
      </w:divBdr>
    </w:div>
    <w:div w:id="435104199">
      <w:bodyDiv w:val="1"/>
      <w:marLeft w:val="0"/>
      <w:marRight w:val="0"/>
      <w:marTop w:val="0"/>
      <w:marBottom w:val="0"/>
      <w:divBdr>
        <w:top w:val="none" w:sz="0" w:space="0" w:color="auto"/>
        <w:left w:val="none" w:sz="0" w:space="0" w:color="auto"/>
        <w:bottom w:val="none" w:sz="0" w:space="0" w:color="auto"/>
        <w:right w:val="none" w:sz="0" w:space="0" w:color="auto"/>
      </w:divBdr>
    </w:div>
    <w:div w:id="506022757">
      <w:bodyDiv w:val="1"/>
      <w:marLeft w:val="0"/>
      <w:marRight w:val="0"/>
      <w:marTop w:val="0"/>
      <w:marBottom w:val="0"/>
      <w:divBdr>
        <w:top w:val="none" w:sz="0" w:space="0" w:color="auto"/>
        <w:left w:val="none" w:sz="0" w:space="0" w:color="auto"/>
        <w:bottom w:val="none" w:sz="0" w:space="0" w:color="auto"/>
        <w:right w:val="none" w:sz="0" w:space="0" w:color="auto"/>
      </w:divBdr>
    </w:div>
    <w:div w:id="514853769">
      <w:bodyDiv w:val="1"/>
      <w:marLeft w:val="0"/>
      <w:marRight w:val="0"/>
      <w:marTop w:val="0"/>
      <w:marBottom w:val="0"/>
      <w:divBdr>
        <w:top w:val="none" w:sz="0" w:space="0" w:color="auto"/>
        <w:left w:val="none" w:sz="0" w:space="0" w:color="auto"/>
        <w:bottom w:val="none" w:sz="0" w:space="0" w:color="auto"/>
        <w:right w:val="none" w:sz="0" w:space="0" w:color="auto"/>
      </w:divBdr>
    </w:div>
    <w:div w:id="519897443">
      <w:bodyDiv w:val="1"/>
      <w:marLeft w:val="0"/>
      <w:marRight w:val="0"/>
      <w:marTop w:val="0"/>
      <w:marBottom w:val="0"/>
      <w:divBdr>
        <w:top w:val="none" w:sz="0" w:space="0" w:color="auto"/>
        <w:left w:val="none" w:sz="0" w:space="0" w:color="auto"/>
        <w:bottom w:val="none" w:sz="0" w:space="0" w:color="auto"/>
        <w:right w:val="none" w:sz="0" w:space="0" w:color="auto"/>
      </w:divBdr>
    </w:div>
    <w:div w:id="539905152">
      <w:bodyDiv w:val="1"/>
      <w:marLeft w:val="0"/>
      <w:marRight w:val="0"/>
      <w:marTop w:val="0"/>
      <w:marBottom w:val="0"/>
      <w:divBdr>
        <w:top w:val="none" w:sz="0" w:space="0" w:color="auto"/>
        <w:left w:val="none" w:sz="0" w:space="0" w:color="auto"/>
        <w:bottom w:val="none" w:sz="0" w:space="0" w:color="auto"/>
        <w:right w:val="none" w:sz="0" w:space="0" w:color="auto"/>
      </w:divBdr>
    </w:div>
    <w:div w:id="546570684">
      <w:bodyDiv w:val="1"/>
      <w:marLeft w:val="0"/>
      <w:marRight w:val="0"/>
      <w:marTop w:val="0"/>
      <w:marBottom w:val="0"/>
      <w:divBdr>
        <w:top w:val="none" w:sz="0" w:space="0" w:color="auto"/>
        <w:left w:val="none" w:sz="0" w:space="0" w:color="auto"/>
        <w:bottom w:val="none" w:sz="0" w:space="0" w:color="auto"/>
        <w:right w:val="none" w:sz="0" w:space="0" w:color="auto"/>
      </w:divBdr>
    </w:div>
    <w:div w:id="559482613">
      <w:bodyDiv w:val="1"/>
      <w:marLeft w:val="0"/>
      <w:marRight w:val="0"/>
      <w:marTop w:val="0"/>
      <w:marBottom w:val="0"/>
      <w:divBdr>
        <w:top w:val="none" w:sz="0" w:space="0" w:color="auto"/>
        <w:left w:val="none" w:sz="0" w:space="0" w:color="auto"/>
        <w:bottom w:val="none" w:sz="0" w:space="0" w:color="auto"/>
        <w:right w:val="none" w:sz="0" w:space="0" w:color="auto"/>
      </w:divBdr>
    </w:div>
    <w:div w:id="568687804">
      <w:bodyDiv w:val="1"/>
      <w:marLeft w:val="0"/>
      <w:marRight w:val="0"/>
      <w:marTop w:val="0"/>
      <w:marBottom w:val="0"/>
      <w:divBdr>
        <w:top w:val="none" w:sz="0" w:space="0" w:color="auto"/>
        <w:left w:val="none" w:sz="0" w:space="0" w:color="auto"/>
        <w:bottom w:val="none" w:sz="0" w:space="0" w:color="auto"/>
        <w:right w:val="none" w:sz="0" w:space="0" w:color="auto"/>
      </w:divBdr>
    </w:div>
    <w:div w:id="575750942">
      <w:bodyDiv w:val="1"/>
      <w:marLeft w:val="0"/>
      <w:marRight w:val="0"/>
      <w:marTop w:val="0"/>
      <w:marBottom w:val="0"/>
      <w:divBdr>
        <w:top w:val="none" w:sz="0" w:space="0" w:color="auto"/>
        <w:left w:val="none" w:sz="0" w:space="0" w:color="auto"/>
        <w:bottom w:val="none" w:sz="0" w:space="0" w:color="auto"/>
        <w:right w:val="none" w:sz="0" w:space="0" w:color="auto"/>
      </w:divBdr>
    </w:div>
    <w:div w:id="592200826">
      <w:bodyDiv w:val="1"/>
      <w:marLeft w:val="0"/>
      <w:marRight w:val="0"/>
      <w:marTop w:val="0"/>
      <w:marBottom w:val="0"/>
      <w:divBdr>
        <w:top w:val="none" w:sz="0" w:space="0" w:color="auto"/>
        <w:left w:val="none" w:sz="0" w:space="0" w:color="auto"/>
        <w:bottom w:val="none" w:sz="0" w:space="0" w:color="auto"/>
        <w:right w:val="none" w:sz="0" w:space="0" w:color="auto"/>
      </w:divBdr>
    </w:div>
    <w:div w:id="637998119">
      <w:bodyDiv w:val="1"/>
      <w:marLeft w:val="0"/>
      <w:marRight w:val="0"/>
      <w:marTop w:val="0"/>
      <w:marBottom w:val="0"/>
      <w:divBdr>
        <w:top w:val="none" w:sz="0" w:space="0" w:color="auto"/>
        <w:left w:val="none" w:sz="0" w:space="0" w:color="auto"/>
        <w:bottom w:val="none" w:sz="0" w:space="0" w:color="auto"/>
        <w:right w:val="none" w:sz="0" w:space="0" w:color="auto"/>
      </w:divBdr>
    </w:div>
    <w:div w:id="640770470">
      <w:bodyDiv w:val="1"/>
      <w:marLeft w:val="0"/>
      <w:marRight w:val="0"/>
      <w:marTop w:val="0"/>
      <w:marBottom w:val="0"/>
      <w:divBdr>
        <w:top w:val="none" w:sz="0" w:space="0" w:color="auto"/>
        <w:left w:val="none" w:sz="0" w:space="0" w:color="auto"/>
        <w:bottom w:val="none" w:sz="0" w:space="0" w:color="auto"/>
        <w:right w:val="none" w:sz="0" w:space="0" w:color="auto"/>
      </w:divBdr>
    </w:div>
    <w:div w:id="652224910">
      <w:bodyDiv w:val="1"/>
      <w:marLeft w:val="0"/>
      <w:marRight w:val="0"/>
      <w:marTop w:val="0"/>
      <w:marBottom w:val="0"/>
      <w:divBdr>
        <w:top w:val="none" w:sz="0" w:space="0" w:color="auto"/>
        <w:left w:val="none" w:sz="0" w:space="0" w:color="auto"/>
        <w:bottom w:val="none" w:sz="0" w:space="0" w:color="auto"/>
        <w:right w:val="none" w:sz="0" w:space="0" w:color="auto"/>
      </w:divBdr>
    </w:div>
    <w:div w:id="679160265">
      <w:bodyDiv w:val="1"/>
      <w:marLeft w:val="0"/>
      <w:marRight w:val="0"/>
      <w:marTop w:val="0"/>
      <w:marBottom w:val="0"/>
      <w:divBdr>
        <w:top w:val="none" w:sz="0" w:space="0" w:color="auto"/>
        <w:left w:val="none" w:sz="0" w:space="0" w:color="auto"/>
        <w:bottom w:val="none" w:sz="0" w:space="0" w:color="auto"/>
        <w:right w:val="none" w:sz="0" w:space="0" w:color="auto"/>
      </w:divBdr>
    </w:div>
    <w:div w:id="679893586">
      <w:bodyDiv w:val="1"/>
      <w:marLeft w:val="0"/>
      <w:marRight w:val="0"/>
      <w:marTop w:val="0"/>
      <w:marBottom w:val="0"/>
      <w:divBdr>
        <w:top w:val="none" w:sz="0" w:space="0" w:color="auto"/>
        <w:left w:val="none" w:sz="0" w:space="0" w:color="auto"/>
        <w:bottom w:val="none" w:sz="0" w:space="0" w:color="auto"/>
        <w:right w:val="none" w:sz="0" w:space="0" w:color="auto"/>
      </w:divBdr>
    </w:div>
    <w:div w:id="695152876">
      <w:bodyDiv w:val="1"/>
      <w:marLeft w:val="0"/>
      <w:marRight w:val="0"/>
      <w:marTop w:val="0"/>
      <w:marBottom w:val="0"/>
      <w:divBdr>
        <w:top w:val="none" w:sz="0" w:space="0" w:color="auto"/>
        <w:left w:val="none" w:sz="0" w:space="0" w:color="auto"/>
        <w:bottom w:val="none" w:sz="0" w:space="0" w:color="auto"/>
        <w:right w:val="none" w:sz="0" w:space="0" w:color="auto"/>
      </w:divBdr>
    </w:div>
    <w:div w:id="704065221">
      <w:bodyDiv w:val="1"/>
      <w:marLeft w:val="0"/>
      <w:marRight w:val="0"/>
      <w:marTop w:val="0"/>
      <w:marBottom w:val="0"/>
      <w:divBdr>
        <w:top w:val="none" w:sz="0" w:space="0" w:color="auto"/>
        <w:left w:val="none" w:sz="0" w:space="0" w:color="auto"/>
        <w:bottom w:val="none" w:sz="0" w:space="0" w:color="auto"/>
        <w:right w:val="none" w:sz="0" w:space="0" w:color="auto"/>
      </w:divBdr>
    </w:div>
    <w:div w:id="714239394">
      <w:bodyDiv w:val="1"/>
      <w:marLeft w:val="0"/>
      <w:marRight w:val="0"/>
      <w:marTop w:val="0"/>
      <w:marBottom w:val="0"/>
      <w:divBdr>
        <w:top w:val="none" w:sz="0" w:space="0" w:color="auto"/>
        <w:left w:val="none" w:sz="0" w:space="0" w:color="auto"/>
        <w:bottom w:val="none" w:sz="0" w:space="0" w:color="auto"/>
        <w:right w:val="none" w:sz="0" w:space="0" w:color="auto"/>
      </w:divBdr>
    </w:div>
    <w:div w:id="714502267">
      <w:bodyDiv w:val="1"/>
      <w:marLeft w:val="0"/>
      <w:marRight w:val="0"/>
      <w:marTop w:val="0"/>
      <w:marBottom w:val="0"/>
      <w:divBdr>
        <w:top w:val="none" w:sz="0" w:space="0" w:color="auto"/>
        <w:left w:val="none" w:sz="0" w:space="0" w:color="auto"/>
        <w:bottom w:val="none" w:sz="0" w:space="0" w:color="auto"/>
        <w:right w:val="none" w:sz="0" w:space="0" w:color="auto"/>
      </w:divBdr>
    </w:div>
    <w:div w:id="721976501">
      <w:bodyDiv w:val="1"/>
      <w:marLeft w:val="0"/>
      <w:marRight w:val="0"/>
      <w:marTop w:val="0"/>
      <w:marBottom w:val="0"/>
      <w:divBdr>
        <w:top w:val="none" w:sz="0" w:space="0" w:color="auto"/>
        <w:left w:val="none" w:sz="0" w:space="0" w:color="auto"/>
        <w:bottom w:val="none" w:sz="0" w:space="0" w:color="auto"/>
        <w:right w:val="none" w:sz="0" w:space="0" w:color="auto"/>
      </w:divBdr>
    </w:div>
    <w:div w:id="733091026">
      <w:bodyDiv w:val="1"/>
      <w:marLeft w:val="0"/>
      <w:marRight w:val="0"/>
      <w:marTop w:val="0"/>
      <w:marBottom w:val="0"/>
      <w:divBdr>
        <w:top w:val="none" w:sz="0" w:space="0" w:color="auto"/>
        <w:left w:val="none" w:sz="0" w:space="0" w:color="auto"/>
        <w:bottom w:val="none" w:sz="0" w:space="0" w:color="auto"/>
        <w:right w:val="none" w:sz="0" w:space="0" w:color="auto"/>
      </w:divBdr>
    </w:div>
    <w:div w:id="752824847">
      <w:bodyDiv w:val="1"/>
      <w:marLeft w:val="0"/>
      <w:marRight w:val="0"/>
      <w:marTop w:val="0"/>
      <w:marBottom w:val="0"/>
      <w:divBdr>
        <w:top w:val="none" w:sz="0" w:space="0" w:color="auto"/>
        <w:left w:val="none" w:sz="0" w:space="0" w:color="auto"/>
        <w:bottom w:val="none" w:sz="0" w:space="0" w:color="auto"/>
        <w:right w:val="none" w:sz="0" w:space="0" w:color="auto"/>
      </w:divBdr>
    </w:div>
    <w:div w:id="773282158">
      <w:bodyDiv w:val="1"/>
      <w:marLeft w:val="0"/>
      <w:marRight w:val="0"/>
      <w:marTop w:val="0"/>
      <w:marBottom w:val="0"/>
      <w:divBdr>
        <w:top w:val="none" w:sz="0" w:space="0" w:color="auto"/>
        <w:left w:val="none" w:sz="0" w:space="0" w:color="auto"/>
        <w:bottom w:val="none" w:sz="0" w:space="0" w:color="auto"/>
        <w:right w:val="none" w:sz="0" w:space="0" w:color="auto"/>
      </w:divBdr>
    </w:div>
    <w:div w:id="779253712">
      <w:bodyDiv w:val="1"/>
      <w:marLeft w:val="0"/>
      <w:marRight w:val="0"/>
      <w:marTop w:val="0"/>
      <w:marBottom w:val="0"/>
      <w:divBdr>
        <w:top w:val="none" w:sz="0" w:space="0" w:color="auto"/>
        <w:left w:val="none" w:sz="0" w:space="0" w:color="auto"/>
        <w:bottom w:val="none" w:sz="0" w:space="0" w:color="auto"/>
        <w:right w:val="none" w:sz="0" w:space="0" w:color="auto"/>
      </w:divBdr>
    </w:div>
    <w:div w:id="797071613">
      <w:bodyDiv w:val="1"/>
      <w:marLeft w:val="0"/>
      <w:marRight w:val="0"/>
      <w:marTop w:val="0"/>
      <w:marBottom w:val="0"/>
      <w:divBdr>
        <w:top w:val="none" w:sz="0" w:space="0" w:color="auto"/>
        <w:left w:val="none" w:sz="0" w:space="0" w:color="auto"/>
        <w:bottom w:val="none" w:sz="0" w:space="0" w:color="auto"/>
        <w:right w:val="none" w:sz="0" w:space="0" w:color="auto"/>
      </w:divBdr>
    </w:div>
    <w:div w:id="800004437">
      <w:bodyDiv w:val="1"/>
      <w:marLeft w:val="0"/>
      <w:marRight w:val="0"/>
      <w:marTop w:val="0"/>
      <w:marBottom w:val="0"/>
      <w:divBdr>
        <w:top w:val="none" w:sz="0" w:space="0" w:color="auto"/>
        <w:left w:val="none" w:sz="0" w:space="0" w:color="auto"/>
        <w:bottom w:val="none" w:sz="0" w:space="0" w:color="auto"/>
        <w:right w:val="none" w:sz="0" w:space="0" w:color="auto"/>
      </w:divBdr>
    </w:div>
    <w:div w:id="802847534">
      <w:bodyDiv w:val="1"/>
      <w:marLeft w:val="0"/>
      <w:marRight w:val="0"/>
      <w:marTop w:val="0"/>
      <w:marBottom w:val="0"/>
      <w:divBdr>
        <w:top w:val="none" w:sz="0" w:space="0" w:color="auto"/>
        <w:left w:val="none" w:sz="0" w:space="0" w:color="auto"/>
        <w:bottom w:val="none" w:sz="0" w:space="0" w:color="auto"/>
        <w:right w:val="none" w:sz="0" w:space="0" w:color="auto"/>
      </w:divBdr>
    </w:div>
    <w:div w:id="827870107">
      <w:bodyDiv w:val="1"/>
      <w:marLeft w:val="0"/>
      <w:marRight w:val="0"/>
      <w:marTop w:val="0"/>
      <w:marBottom w:val="0"/>
      <w:divBdr>
        <w:top w:val="none" w:sz="0" w:space="0" w:color="auto"/>
        <w:left w:val="none" w:sz="0" w:space="0" w:color="auto"/>
        <w:bottom w:val="none" w:sz="0" w:space="0" w:color="auto"/>
        <w:right w:val="none" w:sz="0" w:space="0" w:color="auto"/>
      </w:divBdr>
    </w:div>
    <w:div w:id="869952065">
      <w:bodyDiv w:val="1"/>
      <w:marLeft w:val="0"/>
      <w:marRight w:val="0"/>
      <w:marTop w:val="0"/>
      <w:marBottom w:val="0"/>
      <w:divBdr>
        <w:top w:val="none" w:sz="0" w:space="0" w:color="auto"/>
        <w:left w:val="none" w:sz="0" w:space="0" w:color="auto"/>
        <w:bottom w:val="none" w:sz="0" w:space="0" w:color="auto"/>
        <w:right w:val="none" w:sz="0" w:space="0" w:color="auto"/>
      </w:divBdr>
    </w:div>
    <w:div w:id="900021169">
      <w:bodyDiv w:val="1"/>
      <w:marLeft w:val="0"/>
      <w:marRight w:val="0"/>
      <w:marTop w:val="0"/>
      <w:marBottom w:val="0"/>
      <w:divBdr>
        <w:top w:val="none" w:sz="0" w:space="0" w:color="auto"/>
        <w:left w:val="none" w:sz="0" w:space="0" w:color="auto"/>
        <w:bottom w:val="none" w:sz="0" w:space="0" w:color="auto"/>
        <w:right w:val="none" w:sz="0" w:space="0" w:color="auto"/>
      </w:divBdr>
    </w:div>
    <w:div w:id="905802008">
      <w:bodyDiv w:val="1"/>
      <w:marLeft w:val="0"/>
      <w:marRight w:val="0"/>
      <w:marTop w:val="0"/>
      <w:marBottom w:val="0"/>
      <w:divBdr>
        <w:top w:val="none" w:sz="0" w:space="0" w:color="auto"/>
        <w:left w:val="none" w:sz="0" w:space="0" w:color="auto"/>
        <w:bottom w:val="none" w:sz="0" w:space="0" w:color="auto"/>
        <w:right w:val="none" w:sz="0" w:space="0" w:color="auto"/>
      </w:divBdr>
    </w:div>
    <w:div w:id="937829603">
      <w:bodyDiv w:val="1"/>
      <w:marLeft w:val="0"/>
      <w:marRight w:val="0"/>
      <w:marTop w:val="0"/>
      <w:marBottom w:val="0"/>
      <w:divBdr>
        <w:top w:val="none" w:sz="0" w:space="0" w:color="auto"/>
        <w:left w:val="none" w:sz="0" w:space="0" w:color="auto"/>
        <w:bottom w:val="none" w:sz="0" w:space="0" w:color="auto"/>
        <w:right w:val="none" w:sz="0" w:space="0" w:color="auto"/>
      </w:divBdr>
    </w:div>
    <w:div w:id="948975885">
      <w:bodyDiv w:val="1"/>
      <w:marLeft w:val="0"/>
      <w:marRight w:val="0"/>
      <w:marTop w:val="0"/>
      <w:marBottom w:val="0"/>
      <w:divBdr>
        <w:top w:val="none" w:sz="0" w:space="0" w:color="auto"/>
        <w:left w:val="none" w:sz="0" w:space="0" w:color="auto"/>
        <w:bottom w:val="none" w:sz="0" w:space="0" w:color="auto"/>
        <w:right w:val="none" w:sz="0" w:space="0" w:color="auto"/>
      </w:divBdr>
    </w:div>
    <w:div w:id="957685550">
      <w:bodyDiv w:val="1"/>
      <w:marLeft w:val="0"/>
      <w:marRight w:val="0"/>
      <w:marTop w:val="0"/>
      <w:marBottom w:val="0"/>
      <w:divBdr>
        <w:top w:val="none" w:sz="0" w:space="0" w:color="auto"/>
        <w:left w:val="none" w:sz="0" w:space="0" w:color="auto"/>
        <w:bottom w:val="none" w:sz="0" w:space="0" w:color="auto"/>
        <w:right w:val="none" w:sz="0" w:space="0" w:color="auto"/>
      </w:divBdr>
    </w:div>
    <w:div w:id="958413072">
      <w:bodyDiv w:val="1"/>
      <w:marLeft w:val="0"/>
      <w:marRight w:val="0"/>
      <w:marTop w:val="0"/>
      <w:marBottom w:val="0"/>
      <w:divBdr>
        <w:top w:val="none" w:sz="0" w:space="0" w:color="auto"/>
        <w:left w:val="none" w:sz="0" w:space="0" w:color="auto"/>
        <w:bottom w:val="none" w:sz="0" w:space="0" w:color="auto"/>
        <w:right w:val="none" w:sz="0" w:space="0" w:color="auto"/>
      </w:divBdr>
    </w:div>
    <w:div w:id="1009064518">
      <w:bodyDiv w:val="1"/>
      <w:marLeft w:val="0"/>
      <w:marRight w:val="0"/>
      <w:marTop w:val="0"/>
      <w:marBottom w:val="0"/>
      <w:divBdr>
        <w:top w:val="none" w:sz="0" w:space="0" w:color="auto"/>
        <w:left w:val="none" w:sz="0" w:space="0" w:color="auto"/>
        <w:bottom w:val="none" w:sz="0" w:space="0" w:color="auto"/>
        <w:right w:val="none" w:sz="0" w:space="0" w:color="auto"/>
      </w:divBdr>
    </w:div>
    <w:div w:id="1019429796">
      <w:bodyDiv w:val="1"/>
      <w:marLeft w:val="0"/>
      <w:marRight w:val="0"/>
      <w:marTop w:val="0"/>
      <w:marBottom w:val="0"/>
      <w:divBdr>
        <w:top w:val="none" w:sz="0" w:space="0" w:color="auto"/>
        <w:left w:val="none" w:sz="0" w:space="0" w:color="auto"/>
        <w:bottom w:val="none" w:sz="0" w:space="0" w:color="auto"/>
        <w:right w:val="none" w:sz="0" w:space="0" w:color="auto"/>
      </w:divBdr>
    </w:div>
    <w:div w:id="1035231180">
      <w:bodyDiv w:val="1"/>
      <w:marLeft w:val="0"/>
      <w:marRight w:val="0"/>
      <w:marTop w:val="0"/>
      <w:marBottom w:val="0"/>
      <w:divBdr>
        <w:top w:val="none" w:sz="0" w:space="0" w:color="auto"/>
        <w:left w:val="none" w:sz="0" w:space="0" w:color="auto"/>
        <w:bottom w:val="none" w:sz="0" w:space="0" w:color="auto"/>
        <w:right w:val="none" w:sz="0" w:space="0" w:color="auto"/>
      </w:divBdr>
    </w:div>
    <w:div w:id="1057894664">
      <w:bodyDiv w:val="1"/>
      <w:marLeft w:val="0"/>
      <w:marRight w:val="0"/>
      <w:marTop w:val="0"/>
      <w:marBottom w:val="0"/>
      <w:divBdr>
        <w:top w:val="none" w:sz="0" w:space="0" w:color="auto"/>
        <w:left w:val="none" w:sz="0" w:space="0" w:color="auto"/>
        <w:bottom w:val="none" w:sz="0" w:space="0" w:color="auto"/>
        <w:right w:val="none" w:sz="0" w:space="0" w:color="auto"/>
      </w:divBdr>
    </w:div>
    <w:div w:id="1062212776">
      <w:bodyDiv w:val="1"/>
      <w:marLeft w:val="0"/>
      <w:marRight w:val="0"/>
      <w:marTop w:val="0"/>
      <w:marBottom w:val="0"/>
      <w:divBdr>
        <w:top w:val="none" w:sz="0" w:space="0" w:color="auto"/>
        <w:left w:val="none" w:sz="0" w:space="0" w:color="auto"/>
        <w:bottom w:val="none" w:sz="0" w:space="0" w:color="auto"/>
        <w:right w:val="none" w:sz="0" w:space="0" w:color="auto"/>
      </w:divBdr>
    </w:div>
    <w:div w:id="1159271450">
      <w:bodyDiv w:val="1"/>
      <w:marLeft w:val="0"/>
      <w:marRight w:val="0"/>
      <w:marTop w:val="0"/>
      <w:marBottom w:val="0"/>
      <w:divBdr>
        <w:top w:val="none" w:sz="0" w:space="0" w:color="auto"/>
        <w:left w:val="none" w:sz="0" w:space="0" w:color="auto"/>
        <w:bottom w:val="none" w:sz="0" w:space="0" w:color="auto"/>
        <w:right w:val="none" w:sz="0" w:space="0" w:color="auto"/>
      </w:divBdr>
    </w:div>
    <w:div w:id="1160927894">
      <w:bodyDiv w:val="1"/>
      <w:marLeft w:val="0"/>
      <w:marRight w:val="0"/>
      <w:marTop w:val="0"/>
      <w:marBottom w:val="0"/>
      <w:divBdr>
        <w:top w:val="none" w:sz="0" w:space="0" w:color="auto"/>
        <w:left w:val="none" w:sz="0" w:space="0" w:color="auto"/>
        <w:bottom w:val="none" w:sz="0" w:space="0" w:color="auto"/>
        <w:right w:val="none" w:sz="0" w:space="0" w:color="auto"/>
      </w:divBdr>
    </w:div>
    <w:div w:id="1192838792">
      <w:bodyDiv w:val="1"/>
      <w:marLeft w:val="0"/>
      <w:marRight w:val="0"/>
      <w:marTop w:val="0"/>
      <w:marBottom w:val="0"/>
      <w:divBdr>
        <w:top w:val="none" w:sz="0" w:space="0" w:color="auto"/>
        <w:left w:val="none" w:sz="0" w:space="0" w:color="auto"/>
        <w:bottom w:val="none" w:sz="0" w:space="0" w:color="auto"/>
        <w:right w:val="none" w:sz="0" w:space="0" w:color="auto"/>
      </w:divBdr>
    </w:div>
    <w:div w:id="1221477198">
      <w:bodyDiv w:val="1"/>
      <w:marLeft w:val="0"/>
      <w:marRight w:val="0"/>
      <w:marTop w:val="0"/>
      <w:marBottom w:val="0"/>
      <w:divBdr>
        <w:top w:val="none" w:sz="0" w:space="0" w:color="auto"/>
        <w:left w:val="none" w:sz="0" w:space="0" w:color="auto"/>
        <w:bottom w:val="none" w:sz="0" w:space="0" w:color="auto"/>
        <w:right w:val="none" w:sz="0" w:space="0" w:color="auto"/>
      </w:divBdr>
    </w:div>
    <w:div w:id="1244218381">
      <w:bodyDiv w:val="1"/>
      <w:marLeft w:val="0"/>
      <w:marRight w:val="0"/>
      <w:marTop w:val="0"/>
      <w:marBottom w:val="0"/>
      <w:divBdr>
        <w:top w:val="none" w:sz="0" w:space="0" w:color="auto"/>
        <w:left w:val="none" w:sz="0" w:space="0" w:color="auto"/>
        <w:bottom w:val="none" w:sz="0" w:space="0" w:color="auto"/>
        <w:right w:val="none" w:sz="0" w:space="0" w:color="auto"/>
      </w:divBdr>
    </w:div>
    <w:div w:id="1253122802">
      <w:bodyDiv w:val="1"/>
      <w:marLeft w:val="0"/>
      <w:marRight w:val="0"/>
      <w:marTop w:val="0"/>
      <w:marBottom w:val="0"/>
      <w:divBdr>
        <w:top w:val="none" w:sz="0" w:space="0" w:color="auto"/>
        <w:left w:val="none" w:sz="0" w:space="0" w:color="auto"/>
        <w:bottom w:val="none" w:sz="0" w:space="0" w:color="auto"/>
        <w:right w:val="none" w:sz="0" w:space="0" w:color="auto"/>
      </w:divBdr>
    </w:div>
    <w:div w:id="1281300489">
      <w:bodyDiv w:val="1"/>
      <w:marLeft w:val="0"/>
      <w:marRight w:val="0"/>
      <w:marTop w:val="0"/>
      <w:marBottom w:val="0"/>
      <w:divBdr>
        <w:top w:val="none" w:sz="0" w:space="0" w:color="auto"/>
        <w:left w:val="none" w:sz="0" w:space="0" w:color="auto"/>
        <w:bottom w:val="none" w:sz="0" w:space="0" w:color="auto"/>
        <w:right w:val="none" w:sz="0" w:space="0" w:color="auto"/>
      </w:divBdr>
    </w:div>
    <w:div w:id="1282031483">
      <w:bodyDiv w:val="1"/>
      <w:marLeft w:val="0"/>
      <w:marRight w:val="0"/>
      <w:marTop w:val="0"/>
      <w:marBottom w:val="0"/>
      <w:divBdr>
        <w:top w:val="none" w:sz="0" w:space="0" w:color="auto"/>
        <w:left w:val="none" w:sz="0" w:space="0" w:color="auto"/>
        <w:bottom w:val="none" w:sz="0" w:space="0" w:color="auto"/>
        <w:right w:val="none" w:sz="0" w:space="0" w:color="auto"/>
      </w:divBdr>
    </w:div>
    <w:div w:id="1287656938">
      <w:bodyDiv w:val="1"/>
      <w:marLeft w:val="0"/>
      <w:marRight w:val="0"/>
      <w:marTop w:val="0"/>
      <w:marBottom w:val="0"/>
      <w:divBdr>
        <w:top w:val="none" w:sz="0" w:space="0" w:color="auto"/>
        <w:left w:val="none" w:sz="0" w:space="0" w:color="auto"/>
        <w:bottom w:val="none" w:sz="0" w:space="0" w:color="auto"/>
        <w:right w:val="none" w:sz="0" w:space="0" w:color="auto"/>
      </w:divBdr>
    </w:div>
    <w:div w:id="1310329099">
      <w:bodyDiv w:val="1"/>
      <w:marLeft w:val="0"/>
      <w:marRight w:val="0"/>
      <w:marTop w:val="0"/>
      <w:marBottom w:val="0"/>
      <w:divBdr>
        <w:top w:val="none" w:sz="0" w:space="0" w:color="auto"/>
        <w:left w:val="none" w:sz="0" w:space="0" w:color="auto"/>
        <w:bottom w:val="none" w:sz="0" w:space="0" w:color="auto"/>
        <w:right w:val="none" w:sz="0" w:space="0" w:color="auto"/>
      </w:divBdr>
    </w:div>
    <w:div w:id="1353069325">
      <w:bodyDiv w:val="1"/>
      <w:marLeft w:val="0"/>
      <w:marRight w:val="0"/>
      <w:marTop w:val="0"/>
      <w:marBottom w:val="0"/>
      <w:divBdr>
        <w:top w:val="none" w:sz="0" w:space="0" w:color="auto"/>
        <w:left w:val="none" w:sz="0" w:space="0" w:color="auto"/>
        <w:bottom w:val="none" w:sz="0" w:space="0" w:color="auto"/>
        <w:right w:val="none" w:sz="0" w:space="0" w:color="auto"/>
      </w:divBdr>
    </w:div>
    <w:div w:id="1359700955">
      <w:bodyDiv w:val="1"/>
      <w:marLeft w:val="0"/>
      <w:marRight w:val="0"/>
      <w:marTop w:val="0"/>
      <w:marBottom w:val="0"/>
      <w:divBdr>
        <w:top w:val="none" w:sz="0" w:space="0" w:color="auto"/>
        <w:left w:val="none" w:sz="0" w:space="0" w:color="auto"/>
        <w:bottom w:val="none" w:sz="0" w:space="0" w:color="auto"/>
        <w:right w:val="none" w:sz="0" w:space="0" w:color="auto"/>
      </w:divBdr>
    </w:div>
    <w:div w:id="1370297024">
      <w:bodyDiv w:val="1"/>
      <w:marLeft w:val="0"/>
      <w:marRight w:val="0"/>
      <w:marTop w:val="0"/>
      <w:marBottom w:val="0"/>
      <w:divBdr>
        <w:top w:val="none" w:sz="0" w:space="0" w:color="auto"/>
        <w:left w:val="none" w:sz="0" w:space="0" w:color="auto"/>
        <w:bottom w:val="none" w:sz="0" w:space="0" w:color="auto"/>
        <w:right w:val="none" w:sz="0" w:space="0" w:color="auto"/>
      </w:divBdr>
    </w:div>
    <w:div w:id="1378510100">
      <w:bodyDiv w:val="1"/>
      <w:marLeft w:val="0"/>
      <w:marRight w:val="0"/>
      <w:marTop w:val="0"/>
      <w:marBottom w:val="0"/>
      <w:divBdr>
        <w:top w:val="none" w:sz="0" w:space="0" w:color="auto"/>
        <w:left w:val="none" w:sz="0" w:space="0" w:color="auto"/>
        <w:bottom w:val="none" w:sz="0" w:space="0" w:color="auto"/>
        <w:right w:val="none" w:sz="0" w:space="0" w:color="auto"/>
      </w:divBdr>
    </w:div>
    <w:div w:id="1401441917">
      <w:bodyDiv w:val="1"/>
      <w:marLeft w:val="0"/>
      <w:marRight w:val="0"/>
      <w:marTop w:val="0"/>
      <w:marBottom w:val="0"/>
      <w:divBdr>
        <w:top w:val="none" w:sz="0" w:space="0" w:color="auto"/>
        <w:left w:val="none" w:sz="0" w:space="0" w:color="auto"/>
        <w:bottom w:val="none" w:sz="0" w:space="0" w:color="auto"/>
        <w:right w:val="none" w:sz="0" w:space="0" w:color="auto"/>
      </w:divBdr>
    </w:div>
    <w:div w:id="1416785636">
      <w:bodyDiv w:val="1"/>
      <w:marLeft w:val="0"/>
      <w:marRight w:val="0"/>
      <w:marTop w:val="0"/>
      <w:marBottom w:val="0"/>
      <w:divBdr>
        <w:top w:val="none" w:sz="0" w:space="0" w:color="auto"/>
        <w:left w:val="none" w:sz="0" w:space="0" w:color="auto"/>
        <w:bottom w:val="none" w:sz="0" w:space="0" w:color="auto"/>
        <w:right w:val="none" w:sz="0" w:space="0" w:color="auto"/>
      </w:divBdr>
    </w:div>
    <w:div w:id="1432629177">
      <w:bodyDiv w:val="1"/>
      <w:marLeft w:val="0"/>
      <w:marRight w:val="0"/>
      <w:marTop w:val="0"/>
      <w:marBottom w:val="0"/>
      <w:divBdr>
        <w:top w:val="none" w:sz="0" w:space="0" w:color="auto"/>
        <w:left w:val="none" w:sz="0" w:space="0" w:color="auto"/>
        <w:bottom w:val="none" w:sz="0" w:space="0" w:color="auto"/>
        <w:right w:val="none" w:sz="0" w:space="0" w:color="auto"/>
      </w:divBdr>
    </w:div>
    <w:div w:id="1449155845">
      <w:bodyDiv w:val="1"/>
      <w:marLeft w:val="0"/>
      <w:marRight w:val="0"/>
      <w:marTop w:val="0"/>
      <w:marBottom w:val="0"/>
      <w:divBdr>
        <w:top w:val="none" w:sz="0" w:space="0" w:color="auto"/>
        <w:left w:val="none" w:sz="0" w:space="0" w:color="auto"/>
        <w:bottom w:val="none" w:sz="0" w:space="0" w:color="auto"/>
        <w:right w:val="none" w:sz="0" w:space="0" w:color="auto"/>
      </w:divBdr>
    </w:div>
    <w:div w:id="1449544069">
      <w:bodyDiv w:val="1"/>
      <w:marLeft w:val="0"/>
      <w:marRight w:val="0"/>
      <w:marTop w:val="0"/>
      <w:marBottom w:val="0"/>
      <w:divBdr>
        <w:top w:val="none" w:sz="0" w:space="0" w:color="auto"/>
        <w:left w:val="none" w:sz="0" w:space="0" w:color="auto"/>
        <w:bottom w:val="none" w:sz="0" w:space="0" w:color="auto"/>
        <w:right w:val="none" w:sz="0" w:space="0" w:color="auto"/>
      </w:divBdr>
    </w:div>
    <w:div w:id="1452672635">
      <w:bodyDiv w:val="1"/>
      <w:marLeft w:val="0"/>
      <w:marRight w:val="0"/>
      <w:marTop w:val="0"/>
      <w:marBottom w:val="0"/>
      <w:divBdr>
        <w:top w:val="none" w:sz="0" w:space="0" w:color="auto"/>
        <w:left w:val="none" w:sz="0" w:space="0" w:color="auto"/>
        <w:bottom w:val="none" w:sz="0" w:space="0" w:color="auto"/>
        <w:right w:val="none" w:sz="0" w:space="0" w:color="auto"/>
      </w:divBdr>
    </w:div>
    <w:div w:id="1457985729">
      <w:bodyDiv w:val="1"/>
      <w:marLeft w:val="0"/>
      <w:marRight w:val="0"/>
      <w:marTop w:val="0"/>
      <w:marBottom w:val="0"/>
      <w:divBdr>
        <w:top w:val="none" w:sz="0" w:space="0" w:color="auto"/>
        <w:left w:val="none" w:sz="0" w:space="0" w:color="auto"/>
        <w:bottom w:val="none" w:sz="0" w:space="0" w:color="auto"/>
        <w:right w:val="none" w:sz="0" w:space="0" w:color="auto"/>
      </w:divBdr>
    </w:div>
    <w:div w:id="1461726876">
      <w:bodyDiv w:val="1"/>
      <w:marLeft w:val="0"/>
      <w:marRight w:val="0"/>
      <w:marTop w:val="0"/>
      <w:marBottom w:val="0"/>
      <w:divBdr>
        <w:top w:val="none" w:sz="0" w:space="0" w:color="auto"/>
        <w:left w:val="none" w:sz="0" w:space="0" w:color="auto"/>
        <w:bottom w:val="none" w:sz="0" w:space="0" w:color="auto"/>
        <w:right w:val="none" w:sz="0" w:space="0" w:color="auto"/>
      </w:divBdr>
    </w:div>
    <w:div w:id="1471560341">
      <w:bodyDiv w:val="1"/>
      <w:marLeft w:val="0"/>
      <w:marRight w:val="0"/>
      <w:marTop w:val="0"/>
      <w:marBottom w:val="0"/>
      <w:divBdr>
        <w:top w:val="none" w:sz="0" w:space="0" w:color="auto"/>
        <w:left w:val="none" w:sz="0" w:space="0" w:color="auto"/>
        <w:bottom w:val="none" w:sz="0" w:space="0" w:color="auto"/>
        <w:right w:val="none" w:sz="0" w:space="0" w:color="auto"/>
      </w:divBdr>
    </w:div>
    <w:div w:id="1530726316">
      <w:bodyDiv w:val="1"/>
      <w:marLeft w:val="0"/>
      <w:marRight w:val="0"/>
      <w:marTop w:val="0"/>
      <w:marBottom w:val="0"/>
      <w:divBdr>
        <w:top w:val="none" w:sz="0" w:space="0" w:color="auto"/>
        <w:left w:val="none" w:sz="0" w:space="0" w:color="auto"/>
        <w:bottom w:val="none" w:sz="0" w:space="0" w:color="auto"/>
        <w:right w:val="none" w:sz="0" w:space="0" w:color="auto"/>
      </w:divBdr>
    </w:div>
    <w:div w:id="1559173274">
      <w:bodyDiv w:val="1"/>
      <w:marLeft w:val="0"/>
      <w:marRight w:val="0"/>
      <w:marTop w:val="0"/>
      <w:marBottom w:val="0"/>
      <w:divBdr>
        <w:top w:val="none" w:sz="0" w:space="0" w:color="auto"/>
        <w:left w:val="none" w:sz="0" w:space="0" w:color="auto"/>
        <w:bottom w:val="none" w:sz="0" w:space="0" w:color="auto"/>
        <w:right w:val="none" w:sz="0" w:space="0" w:color="auto"/>
      </w:divBdr>
    </w:div>
    <w:div w:id="1561748610">
      <w:bodyDiv w:val="1"/>
      <w:marLeft w:val="0"/>
      <w:marRight w:val="0"/>
      <w:marTop w:val="0"/>
      <w:marBottom w:val="0"/>
      <w:divBdr>
        <w:top w:val="none" w:sz="0" w:space="0" w:color="auto"/>
        <w:left w:val="none" w:sz="0" w:space="0" w:color="auto"/>
        <w:bottom w:val="none" w:sz="0" w:space="0" w:color="auto"/>
        <w:right w:val="none" w:sz="0" w:space="0" w:color="auto"/>
      </w:divBdr>
    </w:div>
    <w:div w:id="1570456081">
      <w:bodyDiv w:val="1"/>
      <w:marLeft w:val="0"/>
      <w:marRight w:val="0"/>
      <w:marTop w:val="0"/>
      <w:marBottom w:val="0"/>
      <w:divBdr>
        <w:top w:val="none" w:sz="0" w:space="0" w:color="auto"/>
        <w:left w:val="none" w:sz="0" w:space="0" w:color="auto"/>
        <w:bottom w:val="none" w:sz="0" w:space="0" w:color="auto"/>
        <w:right w:val="none" w:sz="0" w:space="0" w:color="auto"/>
      </w:divBdr>
    </w:div>
    <w:div w:id="1574195671">
      <w:bodyDiv w:val="1"/>
      <w:marLeft w:val="0"/>
      <w:marRight w:val="0"/>
      <w:marTop w:val="0"/>
      <w:marBottom w:val="0"/>
      <w:divBdr>
        <w:top w:val="none" w:sz="0" w:space="0" w:color="auto"/>
        <w:left w:val="none" w:sz="0" w:space="0" w:color="auto"/>
        <w:bottom w:val="none" w:sz="0" w:space="0" w:color="auto"/>
        <w:right w:val="none" w:sz="0" w:space="0" w:color="auto"/>
      </w:divBdr>
    </w:div>
    <w:div w:id="1580672423">
      <w:bodyDiv w:val="1"/>
      <w:marLeft w:val="0"/>
      <w:marRight w:val="0"/>
      <w:marTop w:val="0"/>
      <w:marBottom w:val="0"/>
      <w:divBdr>
        <w:top w:val="none" w:sz="0" w:space="0" w:color="auto"/>
        <w:left w:val="none" w:sz="0" w:space="0" w:color="auto"/>
        <w:bottom w:val="none" w:sz="0" w:space="0" w:color="auto"/>
        <w:right w:val="none" w:sz="0" w:space="0" w:color="auto"/>
      </w:divBdr>
    </w:div>
    <w:div w:id="1585453282">
      <w:bodyDiv w:val="1"/>
      <w:marLeft w:val="0"/>
      <w:marRight w:val="0"/>
      <w:marTop w:val="0"/>
      <w:marBottom w:val="0"/>
      <w:divBdr>
        <w:top w:val="none" w:sz="0" w:space="0" w:color="auto"/>
        <w:left w:val="none" w:sz="0" w:space="0" w:color="auto"/>
        <w:bottom w:val="none" w:sz="0" w:space="0" w:color="auto"/>
        <w:right w:val="none" w:sz="0" w:space="0" w:color="auto"/>
      </w:divBdr>
    </w:div>
    <w:div w:id="1587030359">
      <w:bodyDiv w:val="1"/>
      <w:marLeft w:val="0"/>
      <w:marRight w:val="0"/>
      <w:marTop w:val="0"/>
      <w:marBottom w:val="0"/>
      <w:divBdr>
        <w:top w:val="none" w:sz="0" w:space="0" w:color="auto"/>
        <w:left w:val="none" w:sz="0" w:space="0" w:color="auto"/>
        <w:bottom w:val="none" w:sz="0" w:space="0" w:color="auto"/>
        <w:right w:val="none" w:sz="0" w:space="0" w:color="auto"/>
      </w:divBdr>
    </w:div>
    <w:div w:id="1594705463">
      <w:bodyDiv w:val="1"/>
      <w:marLeft w:val="0"/>
      <w:marRight w:val="0"/>
      <w:marTop w:val="0"/>
      <w:marBottom w:val="0"/>
      <w:divBdr>
        <w:top w:val="none" w:sz="0" w:space="0" w:color="auto"/>
        <w:left w:val="none" w:sz="0" w:space="0" w:color="auto"/>
        <w:bottom w:val="none" w:sz="0" w:space="0" w:color="auto"/>
        <w:right w:val="none" w:sz="0" w:space="0" w:color="auto"/>
      </w:divBdr>
    </w:div>
    <w:div w:id="1611816944">
      <w:bodyDiv w:val="1"/>
      <w:marLeft w:val="0"/>
      <w:marRight w:val="0"/>
      <w:marTop w:val="0"/>
      <w:marBottom w:val="0"/>
      <w:divBdr>
        <w:top w:val="none" w:sz="0" w:space="0" w:color="auto"/>
        <w:left w:val="none" w:sz="0" w:space="0" w:color="auto"/>
        <w:bottom w:val="none" w:sz="0" w:space="0" w:color="auto"/>
        <w:right w:val="none" w:sz="0" w:space="0" w:color="auto"/>
      </w:divBdr>
    </w:div>
    <w:div w:id="1637680122">
      <w:bodyDiv w:val="1"/>
      <w:marLeft w:val="0"/>
      <w:marRight w:val="0"/>
      <w:marTop w:val="0"/>
      <w:marBottom w:val="0"/>
      <w:divBdr>
        <w:top w:val="none" w:sz="0" w:space="0" w:color="auto"/>
        <w:left w:val="none" w:sz="0" w:space="0" w:color="auto"/>
        <w:bottom w:val="none" w:sz="0" w:space="0" w:color="auto"/>
        <w:right w:val="none" w:sz="0" w:space="0" w:color="auto"/>
      </w:divBdr>
    </w:div>
    <w:div w:id="1657109349">
      <w:bodyDiv w:val="1"/>
      <w:marLeft w:val="0"/>
      <w:marRight w:val="0"/>
      <w:marTop w:val="0"/>
      <w:marBottom w:val="0"/>
      <w:divBdr>
        <w:top w:val="none" w:sz="0" w:space="0" w:color="auto"/>
        <w:left w:val="none" w:sz="0" w:space="0" w:color="auto"/>
        <w:bottom w:val="none" w:sz="0" w:space="0" w:color="auto"/>
        <w:right w:val="none" w:sz="0" w:space="0" w:color="auto"/>
      </w:divBdr>
    </w:div>
    <w:div w:id="1667391516">
      <w:bodyDiv w:val="1"/>
      <w:marLeft w:val="0"/>
      <w:marRight w:val="0"/>
      <w:marTop w:val="0"/>
      <w:marBottom w:val="0"/>
      <w:divBdr>
        <w:top w:val="none" w:sz="0" w:space="0" w:color="auto"/>
        <w:left w:val="none" w:sz="0" w:space="0" w:color="auto"/>
        <w:bottom w:val="none" w:sz="0" w:space="0" w:color="auto"/>
        <w:right w:val="none" w:sz="0" w:space="0" w:color="auto"/>
      </w:divBdr>
    </w:div>
    <w:div w:id="1682731200">
      <w:bodyDiv w:val="1"/>
      <w:marLeft w:val="0"/>
      <w:marRight w:val="0"/>
      <w:marTop w:val="0"/>
      <w:marBottom w:val="0"/>
      <w:divBdr>
        <w:top w:val="none" w:sz="0" w:space="0" w:color="auto"/>
        <w:left w:val="none" w:sz="0" w:space="0" w:color="auto"/>
        <w:bottom w:val="none" w:sz="0" w:space="0" w:color="auto"/>
        <w:right w:val="none" w:sz="0" w:space="0" w:color="auto"/>
      </w:divBdr>
    </w:div>
    <w:div w:id="1683702503">
      <w:bodyDiv w:val="1"/>
      <w:marLeft w:val="0"/>
      <w:marRight w:val="0"/>
      <w:marTop w:val="0"/>
      <w:marBottom w:val="0"/>
      <w:divBdr>
        <w:top w:val="none" w:sz="0" w:space="0" w:color="auto"/>
        <w:left w:val="none" w:sz="0" w:space="0" w:color="auto"/>
        <w:bottom w:val="none" w:sz="0" w:space="0" w:color="auto"/>
        <w:right w:val="none" w:sz="0" w:space="0" w:color="auto"/>
      </w:divBdr>
    </w:div>
    <w:div w:id="1690795949">
      <w:bodyDiv w:val="1"/>
      <w:marLeft w:val="0"/>
      <w:marRight w:val="0"/>
      <w:marTop w:val="0"/>
      <w:marBottom w:val="0"/>
      <w:divBdr>
        <w:top w:val="none" w:sz="0" w:space="0" w:color="auto"/>
        <w:left w:val="none" w:sz="0" w:space="0" w:color="auto"/>
        <w:bottom w:val="none" w:sz="0" w:space="0" w:color="auto"/>
        <w:right w:val="none" w:sz="0" w:space="0" w:color="auto"/>
      </w:divBdr>
    </w:div>
    <w:div w:id="1733891376">
      <w:bodyDiv w:val="1"/>
      <w:marLeft w:val="0"/>
      <w:marRight w:val="0"/>
      <w:marTop w:val="0"/>
      <w:marBottom w:val="0"/>
      <w:divBdr>
        <w:top w:val="none" w:sz="0" w:space="0" w:color="auto"/>
        <w:left w:val="none" w:sz="0" w:space="0" w:color="auto"/>
        <w:bottom w:val="none" w:sz="0" w:space="0" w:color="auto"/>
        <w:right w:val="none" w:sz="0" w:space="0" w:color="auto"/>
      </w:divBdr>
    </w:div>
    <w:div w:id="1745832455">
      <w:bodyDiv w:val="1"/>
      <w:marLeft w:val="0"/>
      <w:marRight w:val="0"/>
      <w:marTop w:val="0"/>
      <w:marBottom w:val="0"/>
      <w:divBdr>
        <w:top w:val="none" w:sz="0" w:space="0" w:color="auto"/>
        <w:left w:val="none" w:sz="0" w:space="0" w:color="auto"/>
        <w:bottom w:val="none" w:sz="0" w:space="0" w:color="auto"/>
        <w:right w:val="none" w:sz="0" w:space="0" w:color="auto"/>
      </w:divBdr>
    </w:div>
    <w:div w:id="1750497372">
      <w:bodyDiv w:val="1"/>
      <w:marLeft w:val="0"/>
      <w:marRight w:val="0"/>
      <w:marTop w:val="0"/>
      <w:marBottom w:val="0"/>
      <w:divBdr>
        <w:top w:val="none" w:sz="0" w:space="0" w:color="auto"/>
        <w:left w:val="none" w:sz="0" w:space="0" w:color="auto"/>
        <w:bottom w:val="none" w:sz="0" w:space="0" w:color="auto"/>
        <w:right w:val="none" w:sz="0" w:space="0" w:color="auto"/>
      </w:divBdr>
    </w:div>
    <w:div w:id="1771199333">
      <w:bodyDiv w:val="1"/>
      <w:marLeft w:val="0"/>
      <w:marRight w:val="0"/>
      <w:marTop w:val="0"/>
      <w:marBottom w:val="0"/>
      <w:divBdr>
        <w:top w:val="none" w:sz="0" w:space="0" w:color="auto"/>
        <w:left w:val="none" w:sz="0" w:space="0" w:color="auto"/>
        <w:bottom w:val="none" w:sz="0" w:space="0" w:color="auto"/>
        <w:right w:val="none" w:sz="0" w:space="0" w:color="auto"/>
      </w:divBdr>
    </w:div>
    <w:div w:id="1803032041">
      <w:bodyDiv w:val="1"/>
      <w:marLeft w:val="0"/>
      <w:marRight w:val="0"/>
      <w:marTop w:val="0"/>
      <w:marBottom w:val="0"/>
      <w:divBdr>
        <w:top w:val="none" w:sz="0" w:space="0" w:color="auto"/>
        <w:left w:val="none" w:sz="0" w:space="0" w:color="auto"/>
        <w:bottom w:val="none" w:sz="0" w:space="0" w:color="auto"/>
        <w:right w:val="none" w:sz="0" w:space="0" w:color="auto"/>
      </w:divBdr>
    </w:div>
    <w:div w:id="1823305069">
      <w:bodyDiv w:val="1"/>
      <w:marLeft w:val="0"/>
      <w:marRight w:val="0"/>
      <w:marTop w:val="0"/>
      <w:marBottom w:val="0"/>
      <w:divBdr>
        <w:top w:val="none" w:sz="0" w:space="0" w:color="auto"/>
        <w:left w:val="none" w:sz="0" w:space="0" w:color="auto"/>
        <w:bottom w:val="none" w:sz="0" w:space="0" w:color="auto"/>
        <w:right w:val="none" w:sz="0" w:space="0" w:color="auto"/>
      </w:divBdr>
    </w:div>
    <w:div w:id="1841577089">
      <w:bodyDiv w:val="1"/>
      <w:marLeft w:val="0"/>
      <w:marRight w:val="0"/>
      <w:marTop w:val="0"/>
      <w:marBottom w:val="0"/>
      <w:divBdr>
        <w:top w:val="none" w:sz="0" w:space="0" w:color="auto"/>
        <w:left w:val="none" w:sz="0" w:space="0" w:color="auto"/>
        <w:bottom w:val="none" w:sz="0" w:space="0" w:color="auto"/>
        <w:right w:val="none" w:sz="0" w:space="0" w:color="auto"/>
      </w:divBdr>
    </w:div>
    <w:div w:id="1848933688">
      <w:bodyDiv w:val="1"/>
      <w:marLeft w:val="0"/>
      <w:marRight w:val="0"/>
      <w:marTop w:val="0"/>
      <w:marBottom w:val="0"/>
      <w:divBdr>
        <w:top w:val="none" w:sz="0" w:space="0" w:color="auto"/>
        <w:left w:val="none" w:sz="0" w:space="0" w:color="auto"/>
        <w:bottom w:val="none" w:sz="0" w:space="0" w:color="auto"/>
        <w:right w:val="none" w:sz="0" w:space="0" w:color="auto"/>
      </w:divBdr>
    </w:div>
    <w:div w:id="1881933152">
      <w:bodyDiv w:val="1"/>
      <w:marLeft w:val="0"/>
      <w:marRight w:val="0"/>
      <w:marTop w:val="0"/>
      <w:marBottom w:val="0"/>
      <w:divBdr>
        <w:top w:val="none" w:sz="0" w:space="0" w:color="auto"/>
        <w:left w:val="none" w:sz="0" w:space="0" w:color="auto"/>
        <w:bottom w:val="none" w:sz="0" w:space="0" w:color="auto"/>
        <w:right w:val="none" w:sz="0" w:space="0" w:color="auto"/>
      </w:divBdr>
    </w:div>
    <w:div w:id="1891261674">
      <w:bodyDiv w:val="1"/>
      <w:marLeft w:val="0"/>
      <w:marRight w:val="0"/>
      <w:marTop w:val="0"/>
      <w:marBottom w:val="0"/>
      <w:divBdr>
        <w:top w:val="none" w:sz="0" w:space="0" w:color="auto"/>
        <w:left w:val="none" w:sz="0" w:space="0" w:color="auto"/>
        <w:bottom w:val="none" w:sz="0" w:space="0" w:color="auto"/>
        <w:right w:val="none" w:sz="0" w:space="0" w:color="auto"/>
      </w:divBdr>
    </w:div>
    <w:div w:id="1918243048">
      <w:bodyDiv w:val="1"/>
      <w:marLeft w:val="0"/>
      <w:marRight w:val="0"/>
      <w:marTop w:val="0"/>
      <w:marBottom w:val="0"/>
      <w:divBdr>
        <w:top w:val="none" w:sz="0" w:space="0" w:color="auto"/>
        <w:left w:val="none" w:sz="0" w:space="0" w:color="auto"/>
        <w:bottom w:val="none" w:sz="0" w:space="0" w:color="auto"/>
        <w:right w:val="none" w:sz="0" w:space="0" w:color="auto"/>
      </w:divBdr>
    </w:div>
    <w:div w:id="1922565183">
      <w:bodyDiv w:val="1"/>
      <w:marLeft w:val="0"/>
      <w:marRight w:val="0"/>
      <w:marTop w:val="0"/>
      <w:marBottom w:val="0"/>
      <w:divBdr>
        <w:top w:val="none" w:sz="0" w:space="0" w:color="auto"/>
        <w:left w:val="none" w:sz="0" w:space="0" w:color="auto"/>
        <w:bottom w:val="none" w:sz="0" w:space="0" w:color="auto"/>
        <w:right w:val="none" w:sz="0" w:space="0" w:color="auto"/>
      </w:divBdr>
    </w:div>
    <w:div w:id="1923299679">
      <w:bodyDiv w:val="1"/>
      <w:marLeft w:val="0"/>
      <w:marRight w:val="0"/>
      <w:marTop w:val="0"/>
      <w:marBottom w:val="0"/>
      <w:divBdr>
        <w:top w:val="none" w:sz="0" w:space="0" w:color="auto"/>
        <w:left w:val="none" w:sz="0" w:space="0" w:color="auto"/>
        <w:bottom w:val="none" w:sz="0" w:space="0" w:color="auto"/>
        <w:right w:val="none" w:sz="0" w:space="0" w:color="auto"/>
      </w:divBdr>
    </w:div>
    <w:div w:id="1939095011">
      <w:bodyDiv w:val="1"/>
      <w:marLeft w:val="0"/>
      <w:marRight w:val="0"/>
      <w:marTop w:val="0"/>
      <w:marBottom w:val="0"/>
      <w:divBdr>
        <w:top w:val="none" w:sz="0" w:space="0" w:color="auto"/>
        <w:left w:val="none" w:sz="0" w:space="0" w:color="auto"/>
        <w:bottom w:val="none" w:sz="0" w:space="0" w:color="auto"/>
        <w:right w:val="none" w:sz="0" w:space="0" w:color="auto"/>
      </w:divBdr>
    </w:div>
    <w:div w:id="1950509559">
      <w:bodyDiv w:val="1"/>
      <w:marLeft w:val="0"/>
      <w:marRight w:val="0"/>
      <w:marTop w:val="0"/>
      <w:marBottom w:val="0"/>
      <w:divBdr>
        <w:top w:val="none" w:sz="0" w:space="0" w:color="auto"/>
        <w:left w:val="none" w:sz="0" w:space="0" w:color="auto"/>
        <w:bottom w:val="none" w:sz="0" w:space="0" w:color="auto"/>
        <w:right w:val="none" w:sz="0" w:space="0" w:color="auto"/>
      </w:divBdr>
    </w:div>
    <w:div w:id="1951086268">
      <w:bodyDiv w:val="1"/>
      <w:marLeft w:val="0"/>
      <w:marRight w:val="0"/>
      <w:marTop w:val="0"/>
      <w:marBottom w:val="0"/>
      <w:divBdr>
        <w:top w:val="none" w:sz="0" w:space="0" w:color="auto"/>
        <w:left w:val="none" w:sz="0" w:space="0" w:color="auto"/>
        <w:bottom w:val="none" w:sz="0" w:space="0" w:color="auto"/>
        <w:right w:val="none" w:sz="0" w:space="0" w:color="auto"/>
      </w:divBdr>
    </w:div>
    <w:div w:id="1976720286">
      <w:bodyDiv w:val="1"/>
      <w:marLeft w:val="0"/>
      <w:marRight w:val="0"/>
      <w:marTop w:val="0"/>
      <w:marBottom w:val="0"/>
      <w:divBdr>
        <w:top w:val="none" w:sz="0" w:space="0" w:color="auto"/>
        <w:left w:val="none" w:sz="0" w:space="0" w:color="auto"/>
        <w:bottom w:val="none" w:sz="0" w:space="0" w:color="auto"/>
        <w:right w:val="none" w:sz="0" w:space="0" w:color="auto"/>
      </w:divBdr>
    </w:div>
    <w:div w:id="1982538196">
      <w:bodyDiv w:val="1"/>
      <w:marLeft w:val="0"/>
      <w:marRight w:val="0"/>
      <w:marTop w:val="0"/>
      <w:marBottom w:val="0"/>
      <w:divBdr>
        <w:top w:val="none" w:sz="0" w:space="0" w:color="auto"/>
        <w:left w:val="none" w:sz="0" w:space="0" w:color="auto"/>
        <w:bottom w:val="none" w:sz="0" w:space="0" w:color="auto"/>
        <w:right w:val="none" w:sz="0" w:space="0" w:color="auto"/>
      </w:divBdr>
    </w:div>
    <w:div w:id="2037611101">
      <w:bodyDiv w:val="1"/>
      <w:marLeft w:val="0"/>
      <w:marRight w:val="0"/>
      <w:marTop w:val="0"/>
      <w:marBottom w:val="0"/>
      <w:divBdr>
        <w:top w:val="none" w:sz="0" w:space="0" w:color="auto"/>
        <w:left w:val="none" w:sz="0" w:space="0" w:color="auto"/>
        <w:bottom w:val="none" w:sz="0" w:space="0" w:color="auto"/>
        <w:right w:val="none" w:sz="0" w:space="0" w:color="auto"/>
      </w:divBdr>
    </w:div>
    <w:div w:id="2066172044">
      <w:bodyDiv w:val="1"/>
      <w:marLeft w:val="0"/>
      <w:marRight w:val="0"/>
      <w:marTop w:val="0"/>
      <w:marBottom w:val="0"/>
      <w:divBdr>
        <w:top w:val="none" w:sz="0" w:space="0" w:color="auto"/>
        <w:left w:val="none" w:sz="0" w:space="0" w:color="auto"/>
        <w:bottom w:val="none" w:sz="0" w:space="0" w:color="auto"/>
        <w:right w:val="none" w:sz="0" w:space="0" w:color="auto"/>
      </w:divBdr>
    </w:div>
    <w:div w:id="2067559008">
      <w:bodyDiv w:val="1"/>
      <w:marLeft w:val="0"/>
      <w:marRight w:val="0"/>
      <w:marTop w:val="0"/>
      <w:marBottom w:val="0"/>
      <w:divBdr>
        <w:top w:val="none" w:sz="0" w:space="0" w:color="auto"/>
        <w:left w:val="none" w:sz="0" w:space="0" w:color="auto"/>
        <w:bottom w:val="none" w:sz="0" w:space="0" w:color="auto"/>
        <w:right w:val="none" w:sz="0" w:space="0" w:color="auto"/>
      </w:divBdr>
    </w:div>
    <w:div w:id="2068841074">
      <w:bodyDiv w:val="1"/>
      <w:marLeft w:val="0"/>
      <w:marRight w:val="0"/>
      <w:marTop w:val="0"/>
      <w:marBottom w:val="0"/>
      <w:divBdr>
        <w:top w:val="none" w:sz="0" w:space="0" w:color="auto"/>
        <w:left w:val="none" w:sz="0" w:space="0" w:color="auto"/>
        <w:bottom w:val="none" w:sz="0" w:space="0" w:color="auto"/>
        <w:right w:val="none" w:sz="0" w:space="0" w:color="auto"/>
      </w:divBdr>
    </w:div>
    <w:div w:id="2074113142">
      <w:bodyDiv w:val="1"/>
      <w:marLeft w:val="0"/>
      <w:marRight w:val="0"/>
      <w:marTop w:val="0"/>
      <w:marBottom w:val="0"/>
      <w:divBdr>
        <w:top w:val="none" w:sz="0" w:space="0" w:color="auto"/>
        <w:left w:val="none" w:sz="0" w:space="0" w:color="auto"/>
        <w:bottom w:val="none" w:sz="0" w:space="0" w:color="auto"/>
        <w:right w:val="none" w:sz="0" w:space="0" w:color="auto"/>
      </w:divBdr>
    </w:div>
    <w:div w:id="2132430725">
      <w:bodyDiv w:val="1"/>
      <w:marLeft w:val="0"/>
      <w:marRight w:val="0"/>
      <w:marTop w:val="0"/>
      <w:marBottom w:val="0"/>
      <w:divBdr>
        <w:top w:val="none" w:sz="0" w:space="0" w:color="auto"/>
        <w:left w:val="none" w:sz="0" w:space="0" w:color="auto"/>
        <w:bottom w:val="none" w:sz="0" w:space="0" w:color="auto"/>
        <w:right w:val="none" w:sz="0" w:space="0" w:color="auto"/>
      </w:divBdr>
    </w:div>
    <w:div w:id="213833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 Type="http://schemas.openxmlformats.org/officeDocument/2006/relationships/styles" Target="styles.xml"/><Relationship Id="rId21" Type="http://schemas.openxmlformats.org/officeDocument/2006/relationships/chart" Target="charts/chart1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5.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chart" Target="charts/chart24.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microsoft.com/office/2020/10/relationships/intelligence" Target="intelligence2.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chart" Target="charts/chart23.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hal\OneDrive\Documentos\Custom%20Office%20Templates\APA%207%20Edici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b1ecd61295a042a9/Documentos/Classroom/Economic%20growth%20theory/08.%20Collaboration%20Space/8.01.%20Group%20Project%2001/8.1.01.%20Shared%20Resources/API_GB.XPD.RSDV.GD.ZS_DS2_es_excel_v2_3471063.xls" TargetMode="External"/><Relationship Id="rId2" Type="http://schemas.microsoft.com/office/2011/relationships/chartColorStyle" Target="colors8.xml"/><Relationship Id="rId1" Type="http://schemas.microsoft.com/office/2011/relationships/chartStyle" Target="style8.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9.xml"/><Relationship Id="rId1" Type="http://schemas.microsoft.com/office/2011/relationships/chartStyle" Target="style9.xml"/></Relationships>
</file>

<file path=word/charts/_rels/chart16.xml.rels><?xml version="1.0" encoding="UTF-8" standalone="yes"?>
<Relationships xmlns="http://schemas.openxmlformats.org/package/2006/relationships"><Relationship Id="rId3" Type="http://schemas.openxmlformats.org/officeDocument/2006/relationships/oleObject" Target="https://d.docs.live.net/b1ecd61295a042a9/Documentos/Classroom/Economic%20growth%20theory/08.%20Collaboration%20Space/8.01.%20Group%20Project%2001/Estad&#237;sticas%20de%20gasto%20en%20educaci&#243;n%20p&#250;.xlsx" TargetMode="External"/><Relationship Id="rId2" Type="http://schemas.microsoft.com/office/2011/relationships/chartColorStyle" Target="colors10.xml"/><Relationship Id="rId1" Type="http://schemas.microsoft.com/office/2011/relationships/chartStyle" Target="style10.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1.xml"/><Relationship Id="rId1" Type="http://schemas.microsoft.com/office/2011/relationships/chartStyle" Target="style11.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2.xml"/><Relationship Id="rId1" Type="http://schemas.microsoft.com/office/2011/relationships/chartStyle" Target="style12.xml"/></Relationships>
</file>

<file path=word/charts/_rels/chart19.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14.xml"/><Relationship Id="rId1" Type="http://schemas.microsoft.com/office/2011/relationships/chartStyle" Target="style14.xml"/></Relationships>
</file>

<file path=word/charts/_rels/chart21.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15.xml"/><Relationship Id="rId1" Type="http://schemas.microsoft.com/office/2011/relationships/chartStyle" Target="style15.xml"/></Relationships>
</file>

<file path=word/charts/_rels/chart22.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16.xml"/><Relationship Id="rId1" Type="http://schemas.microsoft.com/office/2011/relationships/chartStyle" Target="style16.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chal\OneDrive\Documentos\Classroom\Economic%20growth%20theory\08.%20Collaboration%20Space\8.01.%20Group%20Project%2001\8.1.01.%20Shared%20Resources\New%20Microsoft%20Excel%20Worksheet.xlsx" TargetMode="External"/><Relationship Id="rId2" Type="http://schemas.microsoft.com/office/2011/relationships/chartColorStyle" Target="colors17.xml"/><Relationship Id="rId1" Type="http://schemas.microsoft.com/office/2011/relationships/chartStyle" Target="style17.xml"/></Relationships>
</file>

<file path=word/charts/_rels/chart24.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18.xml"/><Relationship Id="rId1" Type="http://schemas.microsoft.com/office/2011/relationships/chartStyle" Target="style18.xm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D:\SEMESTRE%202021-I\CRECIMIENTO\TRABAJO%20FINAL%20EEUU\graficos.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_rels/chart5.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EMESTRE%202021-I\CRECIMIENTO\TRABAJO%20FINAL%20EEUU\grafic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Hoja1!$C$2</c:f>
              <c:strCache>
                <c:ptCount val="1"/>
                <c:pt idx="0">
                  <c:v>PBI</c:v>
                </c:pt>
              </c:strCache>
            </c:strRef>
          </c:tx>
          <c:spPr>
            <a:solidFill>
              <a:srgbClr val="002060"/>
            </a:solidFill>
            <a:ln>
              <a:noFill/>
            </a:ln>
            <a:effectLst/>
          </c:spPr>
          <c:invertIfNegative val="0"/>
          <c:trendline>
            <c:spPr>
              <a:ln w="19050" cap="rnd">
                <a:solidFill>
                  <a:schemeClr val="accent2"/>
                </a:solidFill>
                <a:prstDash val="sysDot"/>
              </a:ln>
              <a:effectLst/>
            </c:spPr>
            <c:trendlineType val="linear"/>
            <c:dispRSqr val="0"/>
            <c:dispEq val="0"/>
          </c:trendline>
          <c:cat>
            <c:strRef>
              <c:f>Hoja1!$B$4:$B$15</c:f>
              <c:strCache>
                <c:ptCount val="5"/>
                <c:pt idx="0">
                  <c:v>2015</c:v>
                </c:pt>
                <c:pt idx="1">
                  <c:v>2016</c:v>
                </c:pt>
                <c:pt idx="2">
                  <c:v>2017</c:v>
                </c:pt>
                <c:pt idx="3">
                  <c:v>2018</c:v>
                </c:pt>
                <c:pt idx="4">
                  <c:v>2019</c:v>
                </c:pt>
              </c:strCache>
              <c:extLst/>
            </c:strRef>
          </c:cat>
          <c:val>
            <c:numRef>
              <c:f>Hoja1!$C$4:$C$15</c:f>
              <c:numCache>
                <c:formatCode>General</c:formatCode>
                <c:ptCount val="5"/>
                <c:pt idx="0">
                  <c:v>18238.3</c:v>
                </c:pt>
                <c:pt idx="1">
                  <c:v>18695.099999999999</c:v>
                </c:pt>
                <c:pt idx="2">
                  <c:v>19479.63</c:v>
                </c:pt>
                <c:pt idx="3">
                  <c:v>20527.150000000001</c:v>
                </c:pt>
                <c:pt idx="4">
                  <c:v>21372.6</c:v>
                </c:pt>
              </c:numCache>
              <c:extLst/>
            </c:numRef>
          </c:val>
          <c:extLst>
            <c:ext xmlns:c16="http://schemas.microsoft.com/office/drawing/2014/chart" uri="{C3380CC4-5D6E-409C-BE32-E72D297353CC}">
              <c16:uniqueId val="{00000000-B3A4-429C-98C5-5913FE85A837}"/>
            </c:ext>
          </c:extLst>
        </c:ser>
        <c:dLbls>
          <c:showLegendKey val="0"/>
          <c:showVal val="0"/>
          <c:showCatName val="0"/>
          <c:showSerName val="0"/>
          <c:showPercent val="0"/>
          <c:showBubbleSize val="0"/>
        </c:dLbls>
        <c:gapWidth val="180"/>
        <c:overlap val="-27"/>
        <c:axId val="536943295"/>
        <c:axId val="536944543"/>
      </c:barChart>
      <c:catAx>
        <c:axId val="536943295"/>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crossAx val="536944543"/>
        <c:crosses val="autoZero"/>
        <c:auto val="1"/>
        <c:lblAlgn val="ctr"/>
        <c:lblOffset val="100"/>
        <c:noMultiLvlLbl val="0"/>
      </c:catAx>
      <c:valAx>
        <c:axId val="53694454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crossAx val="536943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Tasa de fertilidad</c:v>
          </c:tx>
          <c:spPr>
            <a:solidFill>
              <a:srgbClr val="002060"/>
            </a:solidFill>
            <a:ln w="25400">
              <a:noFill/>
            </a:ln>
          </c:spPr>
          <c:invertIfNegative val="0"/>
          <c:dLbls>
            <c:spPr>
              <a:noFill/>
              <a:ln w="25400">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spPr>
              <a:ln w="19050" cap="rnd">
                <a:solidFill>
                  <a:schemeClr val="accent1"/>
                </a:solidFill>
                <a:prstDash val="sysDot"/>
              </a:ln>
              <a:effectLst/>
            </c:spPr>
            <c:trendlineType val="linear"/>
            <c:dispRSqr val="0"/>
            <c:dispEq val="0"/>
          </c:trendline>
          <c:cat>
            <c:numRef>
              <c:f>Data!$BO$274:$BS$274</c:f>
              <c:numCache>
                <c:formatCode>General</c:formatCode>
                <c:ptCount val="5"/>
                <c:pt idx="0">
                  <c:v>2015</c:v>
                </c:pt>
                <c:pt idx="1">
                  <c:v>2016</c:v>
                </c:pt>
                <c:pt idx="2">
                  <c:v>2017</c:v>
                </c:pt>
                <c:pt idx="3">
                  <c:v>2018</c:v>
                </c:pt>
                <c:pt idx="4">
                  <c:v>2019</c:v>
                </c:pt>
              </c:numCache>
            </c:numRef>
          </c:cat>
          <c:val>
            <c:numRef>
              <c:f>Data!$BO$275:$BS$275</c:f>
              <c:numCache>
                <c:formatCode>General</c:formatCode>
                <c:ptCount val="5"/>
                <c:pt idx="0">
                  <c:v>1.84</c:v>
                </c:pt>
                <c:pt idx="1">
                  <c:v>1.82</c:v>
                </c:pt>
                <c:pt idx="2">
                  <c:v>1.77</c:v>
                </c:pt>
                <c:pt idx="3">
                  <c:v>1.73</c:v>
                </c:pt>
                <c:pt idx="4">
                  <c:v>1.71</c:v>
                </c:pt>
              </c:numCache>
            </c:numRef>
          </c:val>
          <c:extLst>
            <c:ext xmlns:c16="http://schemas.microsoft.com/office/drawing/2014/chart" uri="{C3380CC4-5D6E-409C-BE32-E72D297353CC}">
              <c16:uniqueId val="{00000001-CB94-4726-B1DC-4DD0BA78D620}"/>
            </c:ext>
          </c:extLst>
        </c:ser>
        <c:dLbls>
          <c:showLegendKey val="0"/>
          <c:showVal val="0"/>
          <c:showCatName val="0"/>
          <c:showSerName val="0"/>
          <c:showPercent val="0"/>
          <c:showBubbleSize val="0"/>
        </c:dLbls>
        <c:gapWidth val="219"/>
        <c:overlap val="-27"/>
        <c:axId val="1815699872"/>
        <c:axId val="1"/>
      </c:barChart>
      <c:catAx>
        <c:axId val="1815699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Años</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
        <c:crosses val="autoZero"/>
        <c:auto val="1"/>
        <c:lblAlgn val="ctr"/>
        <c:lblOffset val="100"/>
        <c:noMultiLvlLbl val="0"/>
      </c:catAx>
      <c:valAx>
        <c:axId val="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Número</a:t>
                </a:r>
                <a:r>
                  <a:rPr lang="en-GB" baseline="0"/>
                  <a:t> de hijos nacido por mujer</a:t>
                </a:r>
                <a:endParaRPr lang="en-GB"/>
              </a:p>
            </c:rich>
          </c:tx>
          <c:overlay val="0"/>
          <c:spPr>
            <a:noFill/>
            <a:ln w="25400">
              <a:noFill/>
            </a:ln>
          </c:spPr>
        </c:title>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815699872"/>
        <c:crosses val="autoZero"/>
        <c:crossBetween val="between"/>
      </c:valAx>
      <c:spPr>
        <a:noFill/>
        <a:ln w="25400">
          <a:noFill/>
        </a:ln>
      </c:spPr>
    </c:plotArea>
    <c:legend>
      <c:legendPos val="b"/>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Producto Bruto Interno per cápita de EEEUU a precios corrientes de 2015-2019</c:v>
          </c:tx>
          <c:spPr>
            <a:solidFill>
              <a:srgbClr val="002060"/>
            </a:solidFill>
            <a:ln w="25400">
              <a:noFill/>
            </a:ln>
          </c:spPr>
          <c:invertIfNegative val="0"/>
          <c:dLbls>
            <c:spPr>
              <a:noFill/>
              <a:ln w="25400">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spPr>
              <a:ln w="19050" cap="rnd">
                <a:solidFill>
                  <a:schemeClr val="accent1"/>
                </a:solidFill>
                <a:prstDash val="sysDot"/>
              </a:ln>
              <a:effectLst/>
            </c:spPr>
            <c:trendlineType val="linear"/>
            <c:dispRSqr val="0"/>
            <c:dispEq val="0"/>
          </c:trendline>
          <c:cat>
            <c:numRef>
              <c:f>Data!$BO$342:$BS$342</c:f>
              <c:numCache>
                <c:formatCode>General</c:formatCode>
                <c:ptCount val="5"/>
                <c:pt idx="0">
                  <c:v>2015</c:v>
                </c:pt>
                <c:pt idx="1">
                  <c:v>2016</c:v>
                </c:pt>
                <c:pt idx="2">
                  <c:v>2017</c:v>
                </c:pt>
                <c:pt idx="3">
                  <c:v>2018</c:v>
                </c:pt>
                <c:pt idx="4">
                  <c:v>2019</c:v>
                </c:pt>
              </c:numCache>
            </c:numRef>
          </c:cat>
          <c:val>
            <c:numRef>
              <c:f>Data!$BO$343:$BS$343</c:f>
              <c:numCache>
                <c:formatCode>General</c:formatCode>
                <c:ptCount val="5"/>
                <c:pt idx="0">
                  <c:v>56848.51</c:v>
                </c:pt>
                <c:pt idx="1">
                  <c:v>57839.99</c:v>
                </c:pt>
                <c:pt idx="2">
                  <c:v>59885.71</c:v>
                </c:pt>
                <c:pt idx="3">
                  <c:v>62769.66</c:v>
                </c:pt>
                <c:pt idx="4">
                  <c:v>65051.88</c:v>
                </c:pt>
              </c:numCache>
            </c:numRef>
          </c:val>
          <c:extLst>
            <c:ext xmlns:c16="http://schemas.microsoft.com/office/drawing/2014/chart" uri="{C3380CC4-5D6E-409C-BE32-E72D297353CC}">
              <c16:uniqueId val="{00000001-99F6-4DB0-AA71-B8449552E817}"/>
            </c:ext>
          </c:extLst>
        </c:ser>
        <c:dLbls>
          <c:showLegendKey val="0"/>
          <c:showVal val="0"/>
          <c:showCatName val="0"/>
          <c:showSerName val="0"/>
          <c:showPercent val="0"/>
          <c:showBubbleSize val="0"/>
        </c:dLbls>
        <c:gapWidth val="219"/>
        <c:overlap val="-27"/>
        <c:axId val="846959760"/>
        <c:axId val="1"/>
      </c:barChart>
      <c:catAx>
        <c:axId val="846959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Años</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
        <c:crosses val="autoZero"/>
        <c:auto val="1"/>
        <c:lblAlgn val="ctr"/>
        <c:lblOffset val="100"/>
        <c:noMultiLvlLbl val="0"/>
      </c:catAx>
      <c:valAx>
        <c:axId val="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PBI</a:t>
                </a:r>
                <a:r>
                  <a:rPr lang="en-GB" baseline="0"/>
                  <a:t> per cápita US$</a:t>
                </a:r>
                <a:endParaRPr lang="en-GB"/>
              </a:p>
            </c:rich>
          </c:tx>
          <c:overlay val="0"/>
          <c:spPr>
            <a:noFill/>
            <a:ln w="25400">
              <a:noFill/>
            </a:ln>
          </c:spPr>
        </c:title>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846959760"/>
        <c:crosses val="autoZero"/>
        <c:crossBetween val="between"/>
      </c:valAx>
      <c:spPr>
        <a:noFill/>
        <a:ln w="25400">
          <a:noFill/>
        </a:ln>
      </c:spPr>
    </c:plotArea>
    <c:legend>
      <c:legendPos val="b"/>
      <c:overlay val="0"/>
      <c:spPr>
        <a:noFill/>
        <a:ln w="25400">
          <a:noFill/>
        </a:ln>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Esperanza de vida</c:v>
          </c:tx>
          <c:spPr>
            <a:solidFill>
              <a:srgbClr val="002060"/>
            </a:solidFill>
            <a:ln w="25400">
              <a:noFill/>
            </a:ln>
          </c:spPr>
          <c:invertIfNegative val="0"/>
          <c:dLbls>
            <c:spPr>
              <a:noFill/>
              <a:ln w="25400">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Data!$BO$309:$BS$309</c:f>
              <c:numCache>
                <c:formatCode>General</c:formatCode>
                <c:ptCount val="5"/>
                <c:pt idx="0">
                  <c:v>2015</c:v>
                </c:pt>
                <c:pt idx="1">
                  <c:v>2016</c:v>
                </c:pt>
                <c:pt idx="2">
                  <c:v>2017</c:v>
                </c:pt>
                <c:pt idx="3">
                  <c:v>2018</c:v>
                </c:pt>
                <c:pt idx="4">
                  <c:v>2019</c:v>
                </c:pt>
              </c:numCache>
            </c:numRef>
          </c:cat>
          <c:val>
            <c:numRef>
              <c:f>Data!$BO$310:$BS$310</c:f>
              <c:numCache>
                <c:formatCode>General</c:formatCode>
                <c:ptCount val="5"/>
                <c:pt idx="0">
                  <c:v>78.69</c:v>
                </c:pt>
                <c:pt idx="1">
                  <c:v>78.540000000000006</c:v>
                </c:pt>
                <c:pt idx="2">
                  <c:v>78.540000000000006</c:v>
                </c:pt>
                <c:pt idx="3">
                  <c:v>78.64</c:v>
                </c:pt>
                <c:pt idx="4">
                  <c:v>78.790000000000006</c:v>
                </c:pt>
              </c:numCache>
            </c:numRef>
          </c:val>
          <c:extLst>
            <c:ext xmlns:c16="http://schemas.microsoft.com/office/drawing/2014/chart" uri="{C3380CC4-5D6E-409C-BE32-E72D297353CC}">
              <c16:uniqueId val="{00000000-2279-4E1C-AB75-8DC68FB96891}"/>
            </c:ext>
          </c:extLst>
        </c:ser>
        <c:dLbls>
          <c:showLegendKey val="0"/>
          <c:showVal val="0"/>
          <c:showCatName val="0"/>
          <c:showSerName val="0"/>
          <c:showPercent val="0"/>
          <c:showBubbleSize val="0"/>
        </c:dLbls>
        <c:gapWidth val="219"/>
        <c:overlap val="-27"/>
        <c:axId val="846950192"/>
        <c:axId val="1"/>
      </c:barChart>
      <c:catAx>
        <c:axId val="846950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Años</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
        <c:crosses val="autoZero"/>
        <c:auto val="1"/>
        <c:lblAlgn val="ctr"/>
        <c:lblOffset val="100"/>
        <c:noMultiLvlLbl val="0"/>
      </c:catAx>
      <c:valAx>
        <c:axId val="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Esperanza</a:t>
                </a:r>
                <a:r>
                  <a:rPr lang="en-GB" baseline="0"/>
                  <a:t> de vida al nacer en años</a:t>
                </a:r>
                <a:endParaRPr lang="en-GB"/>
              </a:p>
            </c:rich>
          </c:tx>
          <c:overlay val="0"/>
          <c:spPr>
            <a:noFill/>
            <a:ln w="25400">
              <a:noFill/>
            </a:ln>
          </c:spPr>
        </c:title>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846950192"/>
        <c:crosses val="autoZero"/>
        <c:crossBetween val="between"/>
      </c:valAx>
      <c:spPr>
        <a:noFill/>
        <a:ln w="25400">
          <a:noFill/>
        </a:ln>
      </c:spPr>
    </c:plotArea>
    <c:legend>
      <c:legendPos val="b"/>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Muertos por 100 niños nacidos</c:v>
          </c:tx>
          <c:spPr>
            <a:solidFill>
              <a:srgbClr val="002060"/>
            </a:solidFill>
            <a:ln w="25400">
              <a:noFill/>
            </a:ln>
          </c:spPr>
          <c:invertIfNegative val="0"/>
          <c:dLbls>
            <c:spPr>
              <a:noFill/>
              <a:ln w="25400">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spPr>
              <a:ln w="19050" cap="rnd">
                <a:solidFill>
                  <a:schemeClr val="accent1"/>
                </a:solidFill>
                <a:prstDash val="sysDot"/>
              </a:ln>
              <a:effectLst/>
            </c:spPr>
            <c:trendlineType val="linear"/>
            <c:dispRSqr val="0"/>
            <c:dispEq val="0"/>
          </c:trendline>
          <c:cat>
            <c:numRef>
              <c:f>Data!$BO$324:$BS$324</c:f>
              <c:numCache>
                <c:formatCode>General</c:formatCode>
                <c:ptCount val="5"/>
                <c:pt idx="0">
                  <c:v>2015</c:v>
                </c:pt>
                <c:pt idx="1">
                  <c:v>2016</c:v>
                </c:pt>
                <c:pt idx="2">
                  <c:v>2017</c:v>
                </c:pt>
                <c:pt idx="3">
                  <c:v>2018</c:v>
                </c:pt>
                <c:pt idx="4">
                  <c:v>2019</c:v>
                </c:pt>
              </c:numCache>
            </c:numRef>
          </c:cat>
          <c:val>
            <c:numRef>
              <c:f>Data!$BO$325:$BS$325</c:f>
              <c:numCache>
                <c:formatCode>General</c:formatCode>
                <c:ptCount val="5"/>
                <c:pt idx="0">
                  <c:v>5.8</c:v>
                </c:pt>
                <c:pt idx="1">
                  <c:v>5.8</c:v>
                </c:pt>
                <c:pt idx="2">
                  <c:v>5.7</c:v>
                </c:pt>
                <c:pt idx="3">
                  <c:v>5.6</c:v>
                </c:pt>
                <c:pt idx="4">
                  <c:v>5.6</c:v>
                </c:pt>
              </c:numCache>
            </c:numRef>
          </c:val>
          <c:extLst>
            <c:ext xmlns:c16="http://schemas.microsoft.com/office/drawing/2014/chart" uri="{C3380CC4-5D6E-409C-BE32-E72D297353CC}">
              <c16:uniqueId val="{00000001-F057-4687-A243-AC7E67EA43FE}"/>
            </c:ext>
          </c:extLst>
        </c:ser>
        <c:dLbls>
          <c:showLegendKey val="0"/>
          <c:showVal val="0"/>
          <c:showCatName val="0"/>
          <c:showSerName val="0"/>
          <c:showPercent val="0"/>
          <c:showBubbleSize val="0"/>
        </c:dLbls>
        <c:gapWidth val="219"/>
        <c:overlap val="-27"/>
        <c:axId val="846950608"/>
        <c:axId val="1"/>
      </c:barChart>
      <c:catAx>
        <c:axId val="846950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Años</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
        <c:crosses val="autoZero"/>
        <c:auto val="1"/>
        <c:lblAlgn val="ctr"/>
        <c:lblOffset val="100"/>
        <c:noMultiLvlLbl val="0"/>
      </c:catAx>
      <c:valAx>
        <c:axId val="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Muertes por cada 1000 nacidos vivos</a:t>
                </a:r>
              </a:p>
            </c:rich>
          </c:tx>
          <c:overlay val="0"/>
          <c:spPr>
            <a:noFill/>
            <a:ln w="25400">
              <a:noFill/>
            </a:ln>
          </c:spPr>
        </c:title>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846950608"/>
        <c:crosses val="autoZero"/>
        <c:crossBetween val="between"/>
      </c:valAx>
      <c:spPr>
        <a:noFill/>
        <a:ln w="25400">
          <a:noFill/>
        </a:ln>
      </c:spPr>
    </c:plotArea>
    <c:legend>
      <c:legendPos val="b"/>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Hoja1!$B$1</c:f>
              <c:strCache>
                <c:ptCount val="1"/>
                <c:pt idx="0">
                  <c:v>%</c:v>
                </c:pt>
              </c:strCache>
            </c:strRef>
          </c:tx>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Hoja1!$A$2:$A$6</c:f>
              <c:numCache>
                <c:formatCode>General</c:formatCode>
                <c:ptCount val="5"/>
                <c:pt idx="0">
                  <c:v>2015</c:v>
                </c:pt>
                <c:pt idx="1">
                  <c:v>2016</c:v>
                </c:pt>
                <c:pt idx="2">
                  <c:v>2017</c:v>
                </c:pt>
                <c:pt idx="3">
                  <c:v>2018</c:v>
                </c:pt>
                <c:pt idx="4">
                  <c:v>2019</c:v>
                </c:pt>
              </c:numCache>
            </c:numRef>
          </c:cat>
          <c:val>
            <c:numRef>
              <c:f>Hoja1!$B$2:$B$6</c:f>
              <c:numCache>
                <c:formatCode>0.00%</c:formatCode>
                <c:ptCount val="5"/>
                <c:pt idx="0">
                  <c:v>2.7199999999999998E-2</c:v>
                </c:pt>
                <c:pt idx="1">
                  <c:v>2.76E-2</c:v>
                </c:pt>
                <c:pt idx="2">
                  <c:v>2.8199999999999999E-2</c:v>
                </c:pt>
                <c:pt idx="3">
                  <c:v>2.8299999999999999E-2</c:v>
                </c:pt>
                <c:pt idx="4">
                  <c:v>2.8799999999999999E-2</c:v>
                </c:pt>
              </c:numCache>
            </c:numRef>
          </c:val>
          <c:extLst>
            <c:ext xmlns:c16="http://schemas.microsoft.com/office/drawing/2014/chart" uri="{C3380CC4-5D6E-409C-BE32-E72D297353CC}">
              <c16:uniqueId val="{00000000-CC05-4C0B-94D1-3619824BA4AF}"/>
            </c:ext>
          </c:extLst>
        </c:ser>
        <c:dLbls>
          <c:dLblPos val="outEnd"/>
          <c:showLegendKey val="0"/>
          <c:showVal val="1"/>
          <c:showCatName val="0"/>
          <c:showSerName val="0"/>
          <c:showPercent val="0"/>
          <c:showBubbleSize val="0"/>
        </c:dLbls>
        <c:gapWidth val="219"/>
        <c:axId val="834914079"/>
        <c:axId val="842404975"/>
      </c:barChart>
      <c:catAx>
        <c:axId val="834914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842404975"/>
        <c:crosses val="autoZero"/>
        <c:auto val="1"/>
        <c:lblAlgn val="ctr"/>
        <c:lblOffset val="100"/>
        <c:noMultiLvlLbl val="0"/>
      </c:catAx>
      <c:valAx>
        <c:axId val="842404975"/>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834914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Sheet1!$B$1</c:f>
              <c:strCache>
                <c:ptCount val="1"/>
                <c:pt idx="0">
                  <c:v>data</c:v>
                </c:pt>
              </c:strCache>
            </c:strRef>
          </c:tx>
          <c:spPr>
            <a:solidFill>
              <a:srgbClr val="002060"/>
            </a:solidFill>
            <a:ln>
              <a:noFill/>
            </a:ln>
            <a:effectLst/>
          </c:spPr>
          <c:invertIfNegative val="0"/>
          <c:dLbls>
            <c:dLbl>
              <c:idx val="0"/>
              <c:numFmt formatCode="#,##0.0" sourceLinked="0"/>
              <c:spPr>
                <a:noFill/>
                <a:ln>
                  <a:noFill/>
                </a:ln>
                <a:effectLst/>
              </c:spPr>
              <c:txPr>
                <a:bodyPr rot="0" spcFirstLastPara="1" vertOverflow="ellipsis" vert="horz" wrap="square" anchor="ctr" anchorCtr="1"/>
                <a:lstStyle/>
                <a:p>
                  <a:pPr>
                    <a:defRPr sz="1050" b="0" i="0" u="none" strike="noStrike" kern="1200" baseline="0" smtId="4294967295">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00-EA48-4D1F-9D1E-0478548021E0}"/>
                </c:ext>
              </c:extLst>
            </c:dLbl>
            <c:dLbl>
              <c:idx val="1"/>
              <c:numFmt formatCode="#,##0.0" sourceLinked="0"/>
              <c:spPr>
                <a:noFill/>
                <a:ln>
                  <a:noFill/>
                </a:ln>
                <a:effectLst/>
              </c:spPr>
              <c:txPr>
                <a:bodyPr rot="0" spcFirstLastPara="1" vertOverflow="ellipsis" vert="horz" wrap="square" anchor="ctr" anchorCtr="1"/>
                <a:lstStyle/>
                <a:p>
                  <a:pPr>
                    <a:defRPr sz="1050" b="0" i="0" u="none" strike="noStrike" kern="1200" baseline="0" smtId="4294967295">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01-EA48-4D1F-9D1E-0478548021E0}"/>
                </c:ext>
              </c:extLst>
            </c:dLbl>
            <c:dLbl>
              <c:idx val="2"/>
              <c:numFmt formatCode="#,##0.0" sourceLinked="0"/>
              <c:spPr>
                <a:noFill/>
                <a:ln>
                  <a:noFill/>
                </a:ln>
                <a:effectLst/>
              </c:spPr>
              <c:txPr>
                <a:bodyPr rot="0" spcFirstLastPara="1" vertOverflow="ellipsis" vert="horz" wrap="square" anchor="ctr" anchorCtr="1"/>
                <a:lstStyle/>
                <a:p>
                  <a:pPr>
                    <a:defRPr sz="1050" b="0" i="0" u="none" strike="noStrike" kern="1200" baseline="0" smtId="4294967295">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02-EA48-4D1F-9D1E-0478548021E0}"/>
                </c:ext>
              </c:extLst>
            </c:dLbl>
            <c:dLbl>
              <c:idx val="3"/>
              <c:numFmt formatCode="#,##0.0" sourceLinked="0"/>
              <c:spPr>
                <a:noFill/>
                <a:ln>
                  <a:noFill/>
                </a:ln>
                <a:effectLst/>
              </c:spPr>
              <c:txPr>
                <a:bodyPr rot="0" spcFirstLastPara="1" vertOverflow="ellipsis" vert="horz" wrap="square" anchor="ctr" anchorCtr="1"/>
                <a:lstStyle/>
                <a:p>
                  <a:pPr>
                    <a:defRPr sz="1050" b="0" i="0" u="none" strike="noStrike" kern="1200" baseline="0" smtId="4294967295">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03-EA48-4D1F-9D1E-0478548021E0}"/>
                </c:ext>
              </c:extLst>
            </c:dLbl>
            <c:dLbl>
              <c:idx val="4"/>
              <c:numFmt formatCode="#,##0.0" sourceLinked="0"/>
              <c:spPr>
                <a:noFill/>
                <a:ln>
                  <a:noFill/>
                </a:ln>
                <a:effectLst/>
              </c:spPr>
              <c:txPr>
                <a:bodyPr rot="0" spcFirstLastPara="1" vertOverflow="ellipsis" vert="horz" wrap="square" anchor="ctr" anchorCtr="1"/>
                <a:lstStyle/>
                <a:p>
                  <a:pPr>
                    <a:defRPr sz="1050" b="0" i="0" u="none" strike="noStrike" kern="1200" baseline="0" smtId="4294967295">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04-EA48-4D1F-9D1E-0478548021E0}"/>
                </c:ext>
              </c:extLst>
            </c:dLbl>
            <c:dLbl>
              <c:idx val="5"/>
              <c:numFmt formatCode="#,##0.0" sourceLinked="0"/>
              <c:spPr>
                <a:noFill/>
                <a:ln>
                  <a:noFill/>
                </a:ln>
                <a:effectLst/>
              </c:spPr>
              <c:txPr>
                <a:bodyPr rot="0" spcFirstLastPara="1" vertOverflow="ellipsis" vert="horz" wrap="square" anchor="ctr" anchorCtr="1"/>
                <a:lstStyle/>
                <a:p>
                  <a:pPr>
                    <a:defRPr sz="1050" b="0" i="0" u="none" strike="noStrike" kern="1200" baseline="0" smtId="4294967295">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05-EA48-4D1F-9D1E-0478548021E0}"/>
                </c:ext>
              </c:extLst>
            </c:dLbl>
            <c:dLbl>
              <c:idx val="6"/>
              <c:numFmt formatCode="#,##0" sourceLinked="0"/>
              <c:spPr>
                <a:noFill/>
                <a:ln>
                  <a:noFill/>
                </a:ln>
                <a:effectLst/>
              </c:spPr>
              <c:txPr>
                <a:bodyPr rot="0" spcFirstLastPara="1" vertOverflow="ellipsis" vert="horz" wrap="square" anchor="ctr" anchorCtr="1"/>
                <a:lstStyle/>
                <a:p>
                  <a:pPr>
                    <a:defRPr sz="1050" b="0" i="0" u="none" strike="noStrike" kern="1200" baseline="0" smtId="4294967295">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06-EA48-4D1F-9D1E-0478548021E0}"/>
                </c:ext>
              </c:extLst>
            </c:dLbl>
            <c:dLbl>
              <c:idx val="7"/>
              <c:numFmt formatCode="#,##0.0" sourceLinked="0"/>
              <c:spPr>
                <a:noFill/>
                <a:ln>
                  <a:noFill/>
                </a:ln>
                <a:effectLst/>
              </c:spPr>
              <c:txPr>
                <a:bodyPr rot="0" spcFirstLastPara="1" vertOverflow="ellipsis" vert="horz" wrap="square" anchor="ctr" anchorCtr="1"/>
                <a:lstStyle/>
                <a:p>
                  <a:pPr>
                    <a:defRPr sz="1050" b="0" i="0" u="none" strike="noStrike" kern="1200" baseline="0" smtId="4294967295">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07-EA48-4D1F-9D1E-0478548021E0}"/>
                </c:ext>
              </c:extLst>
            </c:dLbl>
            <c:spPr>
              <a:noFill/>
              <a:ln>
                <a:noFill/>
              </a:ln>
              <a:effectLst/>
            </c:spPr>
            <c:txPr>
              <a:bodyPr rot="0" spcFirstLastPara="1" vertOverflow="ellipsis" vert="horz" wrap="square" anchor="ctr" anchorCtr="1"/>
              <a:lstStyle/>
              <a:p>
                <a:pPr>
                  <a:defRPr sz="1050" b="0" i="0" u="none" strike="noStrike" kern="1200" baseline="0" smtId="4294967295">
                    <a:solidFill>
                      <a:sysClr val="windowText" lastClr="000000"/>
                    </a:solidFill>
                    <a:latin typeface="Times New Roman" panose="02020603050405020304" pitchFamily="18" charset="0"/>
                    <a:ea typeface="+mn-ea"/>
                    <a:cs typeface="Times New Roman" panose="02020603050405020304" pitchFamily="18" charset="0"/>
                  </a:defRPr>
                </a:pPr>
                <a:endParaRPr lang="es-MX"/>
              </a:p>
            </c:txPr>
            <c:showLegendKey val="0"/>
            <c:showVal val="1"/>
            <c:showCatName val="0"/>
            <c:showSerName val="0"/>
            <c:showPercent val="0"/>
            <c:showBubbleSize val="0"/>
            <c:showLeaderLines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15:showLeaderLines val="0"/>
              </c:ext>
            </c:extLst>
          </c:dLbls>
          <c:cat>
            <c:strRef>
              <c:f>Sheet1!$A$2:$A$9</c:f>
              <c:strCache>
                <c:ptCount val="8"/>
                <c:pt idx="0">
                  <c:v>Amazon</c:v>
                </c:pt>
                <c:pt idx="1">
                  <c:v>Alphabet</c:v>
                </c:pt>
                <c:pt idx="2">
                  <c:v>Intel Co</c:v>
                </c:pt>
                <c:pt idx="3">
                  <c:v>Microsoft</c:v>
                </c:pt>
                <c:pt idx="4">
                  <c:v>Apple</c:v>
                </c:pt>
                <c:pt idx="5">
                  <c:v>Johnson &amp; Johnson</c:v>
                </c:pt>
                <c:pt idx="6">
                  <c:v>Ford</c:v>
                </c:pt>
                <c:pt idx="7">
                  <c:v>Facebook</c:v>
                </c:pt>
              </c:strCache>
            </c:strRef>
          </c:cat>
          <c:val>
            <c:numRef>
              <c:f>Sheet1!$B$2:$B$9</c:f>
              <c:numCache>
                <c:formatCode>General</c:formatCode>
                <c:ptCount val="8"/>
                <c:pt idx="0">
                  <c:v>22.6</c:v>
                </c:pt>
                <c:pt idx="1">
                  <c:v>16.2</c:v>
                </c:pt>
                <c:pt idx="2">
                  <c:v>13.1</c:v>
                </c:pt>
                <c:pt idx="3">
                  <c:v>12.3</c:v>
                </c:pt>
                <c:pt idx="4">
                  <c:v>11.6</c:v>
                </c:pt>
                <c:pt idx="5">
                  <c:v>10.6</c:v>
                </c:pt>
                <c:pt idx="6">
                  <c:v>8</c:v>
                </c:pt>
                <c:pt idx="7">
                  <c:v>7.8</c:v>
                </c:pt>
              </c:numCache>
            </c:numRef>
          </c:val>
          <c:extLst>
            <c:ext xmlns:c16="http://schemas.microsoft.com/office/drawing/2014/chart" uri="{C3380CC4-5D6E-409C-BE32-E72D297353CC}">
              <c16:uniqueId val="{0000000F-EA48-4D1F-9D1E-0478548021E0}"/>
            </c:ext>
          </c:extLst>
        </c:ser>
        <c:dLbls>
          <c:showLegendKey val="0"/>
          <c:showVal val="0"/>
          <c:showCatName val="0"/>
          <c:showSerName val="0"/>
          <c:showPercent val="0"/>
          <c:showBubbleSize val="0"/>
        </c:dLbls>
        <c:gapWidth val="80"/>
        <c:overlap val="-30"/>
        <c:axId val="67451136"/>
        <c:axId val="66437120"/>
      </c:barChart>
      <c:catAx>
        <c:axId val="67451136"/>
        <c:scaling>
          <c:orientation val="maxMin"/>
        </c:scaling>
        <c:delete val="0"/>
        <c:axPos val="l"/>
        <c:numFmt formatCode="General" sourceLinked="0"/>
        <c:majorTickMark val="none"/>
        <c:minorTickMark val="none"/>
        <c:tickLblPos val="low"/>
        <c:spPr>
          <a:noFill/>
          <a:ln w="9525" cap="flat" cmpd="sng" algn="ctr">
            <a:solidFill>
              <a:srgbClr val="2F2F2F"/>
            </a:solidFill>
            <a:prstDash val="solid"/>
            <a:round/>
          </a:ln>
          <a:effectLst/>
        </c:spPr>
        <c:txPr>
          <a:bodyPr rot="-60000000" spcFirstLastPara="1" vertOverflow="ellipsis" vert="horz" wrap="square" anchor="ctr" anchorCtr="1"/>
          <a:lstStyle/>
          <a:p>
            <a:pPr>
              <a:defRPr sz="1100" b="0" i="0" u="none" strike="noStrike" kern="1200" baseline="0" smtId="4294967295">
                <a:solidFill>
                  <a:schemeClr val="tx1"/>
                </a:solidFill>
                <a:latin typeface="Times New Roman" panose="02020603050405020304" pitchFamily="18" charset="0"/>
                <a:ea typeface="+mn-ea"/>
                <a:cs typeface="Times New Roman" panose="02020603050405020304" pitchFamily="18" charset="0"/>
              </a:defRPr>
            </a:pPr>
            <a:endParaRPr lang="es-MX"/>
          </a:p>
        </c:txPr>
        <c:crossAx val="66437120"/>
        <c:crosses val="autoZero"/>
        <c:auto val="0"/>
        <c:lblAlgn val="ctr"/>
        <c:lblOffset val="100"/>
        <c:noMultiLvlLbl val="0"/>
      </c:catAx>
      <c:valAx>
        <c:axId val="66437120"/>
        <c:scaling>
          <c:orientation val="minMax"/>
          <c:min val="0"/>
        </c:scaling>
        <c:delete val="0"/>
        <c:axPos val="t"/>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050" b="0" i="0" u="none" strike="noStrike" kern="1200" baseline="0" smtId="4294967295">
                <a:solidFill>
                  <a:srgbClr val="0F283E"/>
                </a:solidFill>
                <a:latin typeface="Times New Roman" panose="02020603050405020304" pitchFamily="18" charset="0"/>
                <a:ea typeface="+mn-ea"/>
                <a:cs typeface="Times New Roman" panose="02020603050405020304" pitchFamily="18" charset="0"/>
              </a:defRPr>
            </a:pPr>
            <a:endParaRPr lang="es-MX"/>
          </a:p>
        </c:txPr>
        <c:crossAx val="67451136"/>
        <c:crosses val="autoZero"/>
        <c:crossBetween val="between"/>
      </c:valAx>
      <c:spPr>
        <a:solidFill>
          <a:schemeClr val="bg1"/>
        </a:solidFill>
        <a:ln>
          <a:noFill/>
        </a:ln>
        <a:effectLst/>
      </c:spPr>
    </c:plotArea>
    <c:plotVisOnly val="1"/>
    <c:dispBlanksAs val="zero"/>
    <c:showDLblsOverMax val="1"/>
  </c:chart>
  <c:spPr>
    <a:solidFill>
      <a:schemeClr val="bg1"/>
    </a:solidFill>
    <a:ln w="6350" cap="flat" cmpd="sng" algn="ctr">
      <a:solidFill>
        <a:schemeClr val="tx1">
          <a:tint val="75000"/>
        </a:schemeClr>
      </a:solidFill>
      <a:prstDash val="solid"/>
      <a:round/>
    </a:ln>
    <a:effectLst/>
  </c:spPr>
  <c:txPr>
    <a:bodyPr/>
    <a:lstStyle/>
    <a:p>
      <a:pPr>
        <a:defRPr sz="1800" smtId="4294967295"/>
      </a:pPr>
      <a:endParaRPr lang="es-MX"/>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ndard"/>
        <c:varyColors val="0"/>
        <c:ser>
          <c:idx val="0"/>
          <c:order val="0"/>
          <c:tx>
            <c:strRef>
              <c:f>Hoja1!$B$2</c:f>
              <c:strCache>
                <c:ptCount val="1"/>
                <c:pt idx="0">
                  <c:v>Elmentario y Secundario</c:v>
                </c:pt>
              </c:strCache>
            </c:strRef>
          </c:tx>
          <c:spPr>
            <a:ln w="28575" cap="rnd">
              <a:solidFill>
                <a:schemeClr val="accent1">
                  <a:tint val="65000"/>
                </a:schemeClr>
              </a:solidFill>
              <a:round/>
            </a:ln>
            <a:effectLst/>
          </c:spPr>
          <c:marker>
            <c:symbol val="none"/>
          </c:marker>
          <c:cat>
            <c:numRef>
              <c:f>Hoja1!$A$3:$A$7</c:f>
              <c:numCache>
                <c:formatCode>General</c:formatCode>
                <c:ptCount val="5"/>
                <c:pt idx="0">
                  <c:v>2015</c:v>
                </c:pt>
                <c:pt idx="1">
                  <c:v>2016</c:v>
                </c:pt>
                <c:pt idx="2">
                  <c:v>2017</c:v>
                </c:pt>
                <c:pt idx="3">
                  <c:v>2018</c:v>
                </c:pt>
                <c:pt idx="4">
                  <c:v>2019</c:v>
                </c:pt>
              </c:numCache>
            </c:numRef>
          </c:cat>
          <c:val>
            <c:numRef>
              <c:f>Hoja1!$B$3:$B$7</c:f>
              <c:numCache>
                <c:formatCode>General</c:formatCode>
                <c:ptCount val="5"/>
                <c:pt idx="0">
                  <c:v>35.1</c:v>
                </c:pt>
                <c:pt idx="1">
                  <c:v>35.9</c:v>
                </c:pt>
                <c:pt idx="2">
                  <c:v>36.200000000000003</c:v>
                </c:pt>
                <c:pt idx="3">
                  <c:v>39.700000000000003</c:v>
                </c:pt>
                <c:pt idx="4">
                  <c:v>40.1</c:v>
                </c:pt>
              </c:numCache>
            </c:numRef>
          </c:val>
          <c:smooth val="1"/>
          <c:extLst>
            <c:ext xmlns:c16="http://schemas.microsoft.com/office/drawing/2014/chart" uri="{C3380CC4-5D6E-409C-BE32-E72D297353CC}">
              <c16:uniqueId val="{00000000-A158-4A7B-B9C8-796FDC3D15DB}"/>
            </c:ext>
          </c:extLst>
        </c:ser>
        <c:ser>
          <c:idx val="1"/>
          <c:order val="1"/>
          <c:tx>
            <c:strRef>
              <c:f>Hoja1!$C$2</c:f>
              <c:strCache>
                <c:ptCount val="1"/>
                <c:pt idx="0">
                  <c:v>Postsecundaria y Postgrado</c:v>
                </c:pt>
              </c:strCache>
            </c:strRef>
          </c:tx>
          <c:spPr>
            <a:ln w="28575" cap="rnd">
              <a:solidFill>
                <a:schemeClr val="accent1"/>
              </a:solidFill>
              <a:round/>
            </a:ln>
            <a:effectLst/>
          </c:spPr>
          <c:marker>
            <c:symbol val="none"/>
          </c:marker>
          <c:cat>
            <c:numRef>
              <c:f>Hoja1!$A$3:$A$7</c:f>
              <c:numCache>
                <c:formatCode>General</c:formatCode>
                <c:ptCount val="5"/>
                <c:pt idx="0">
                  <c:v>2015</c:v>
                </c:pt>
                <c:pt idx="1">
                  <c:v>2016</c:v>
                </c:pt>
                <c:pt idx="2">
                  <c:v>2017</c:v>
                </c:pt>
                <c:pt idx="3">
                  <c:v>2018</c:v>
                </c:pt>
                <c:pt idx="4">
                  <c:v>2019</c:v>
                </c:pt>
              </c:numCache>
            </c:numRef>
          </c:cat>
          <c:val>
            <c:numRef>
              <c:f>Hoja1!$C$3:$C$7</c:f>
              <c:numCache>
                <c:formatCode>General</c:formatCode>
                <c:ptCount val="5"/>
                <c:pt idx="0">
                  <c:v>30.3</c:v>
                </c:pt>
                <c:pt idx="1">
                  <c:v>28.6</c:v>
                </c:pt>
                <c:pt idx="2">
                  <c:v>30.8</c:v>
                </c:pt>
                <c:pt idx="3">
                  <c:v>23.4</c:v>
                </c:pt>
                <c:pt idx="4">
                  <c:v>33.799999999999997</c:v>
                </c:pt>
              </c:numCache>
            </c:numRef>
          </c:val>
          <c:smooth val="1"/>
          <c:extLst>
            <c:ext xmlns:c16="http://schemas.microsoft.com/office/drawing/2014/chart" uri="{C3380CC4-5D6E-409C-BE32-E72D297353CC}">
              <c16:uniqueId val="{00000001-A158-4A7B-B9C8-796FDC3D15DB}"/>
            </c:ext>
          </c:extLst>
        </c:ser>
        <c:ser>
          <c:idx val="2"/>
          <c:order val="2"/>
          <c:tx>
            <c:strRef>
              <c:f>Hoja1!$D$2</c:f>
              <c:strCache>
                <c:ptCount val="1"/>
                <c:pt idx="0">
                  <c:v>Otros programas educativos</c:v>
                </c:pt>
              </c:strCache>
            </c:strRef>
          </c:tx>
          <c:spPr>
            <a:ln w="28575" cap="rnd">
              <a:solidFill>
                <a:schemeClr val="accent1">
                  <a:shade val="65000"/>
                </a:schemeClr>
              </a:solidFill>
              <a:round/>
            </a:ln>
            <a:effectLst/>
          </c:spPr>
          <c:marker>
            <c:symbol val="none"/>
          </c:marker>
          <c:cat>
            <c:numRef>
              <c:f>Hoja1!$A$3:$A$7</c:f>
              <c:numCache>
                <c:formatCode>General</c:formatCode>
                <c:ptCount val="5"/>
                <c:pt idx="0">
                  <c:v>2015</c:v>
                </c:pt>
                <c:pt idx="1">
                  <c:v>2016</c:v>
                </c:pt>
                <c:pt idx="2">
                  <c:v>2017</c:v>
                </c:pt>
                <c:pt idx="3">
                  <c:v>2018</c:v>
                </c:pt>
                <c:pt idx="4">
                  <c:v>2019</c:v>
                </c:pt>
              </c:numCache>
            </c:numRef>
          </c:cat>
          <c:val>
            <c:numRef>
              <c:f>Hoja1!$D$3:$D$7</c:f>
              <c:numCache>
                <c:formatCode>General</c:formatCode>
                <c:ptCount val="5"/>
                <c:pt idx="0">
                  <c:v>99</c:v>
                </c:pt>
                <c:pt idx="1">
                  <c:v>99.3</c:v>
                </c:pt>
                <c:pt idx="2">
                  <c:v>97.3</c:v>
                </c:pt>
                <c:pt idx="3">
                  <c:v>7.1</c:v>
                </c:pt>
                <c:pt idx="4">
                  <c:v>7.2</c:v>
                </c:pt>
              </c:numCache>
            </c:numRef>
          </c:val>
          <c:smooth val="1"/>
          <c:extLst>
            <c:ext xmlns:c16="http://schemas.microsoft.com/office/drawing/2014/chart" uri="{C3380CC4-5D6E-409C-BE32-E72D297353CC}">
              <c16:uniqueId val="{00000002-A158-4A7B-B9C8-796FDC3D15DB}"/>
            </c:ext>
          </c:extLst>
        </c:ser>
        <c:dLbls>
          <c:showLegendKey val="0"/>
          <c:showVal val="0"/>
          <c:showCatName val="0"/>
          <c:showSerName val="0"/>
          <c:showPercent val="0"/>
          <c:showBubbleSize val="0"/>
        </c:dLbls>
        <c:smooth val="0"/>
        <c:axId val="168599600"/>
        <c:axId val="168600016"/>
      </c:lineChart>
      <c:catAx>
        <c:axId val="168599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MX"/>
          </a:p>
        </c:txPr>
        <c:crossAx val="168600016"/>
        <c:crosses val="autoZero"/>
        <c:auto val="1"/>
        <c:lblAlgn val="ctr"/>
        <c:lblOffset val="100"/>
        <c:noMultiLvlLbl val="0"/>
      </c:catAx>
      <c:valAx>
        <c:axId val="1686000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MX"/>
          </a:p>
        </c:txPr>
        <c:crossAx val="168599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Sheet1!$B$1</c:f>
              <c:strCache>
                <c:ptCount val="1"/>
                <c:pt idx="0">
                  <c:v>R&amp;D expenditures in million U.S. dollars</c:v>
                </c:pt>
              </c:strCache>
            </c:strRef>
          </c:tx>
          <c:spPr>
            <a:solidFill>
              <a:srgbClr val="002060"/>
            </a:solidFill>
            <a:ln>
              <a:noFill/>
            </a:ln>
            <a:effectLst/>
          </c:spPr>
          <c:invertIfNegative val="0"/>
          <c:dLbls>
            <c:dLbl>
              <c:idx val="0"/>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0-147F-4AB8-8DA4-6AC8062474EE}"/>
                </c:ext>
              </c:extLst>
            </c:dLbl>
            <c:dLbl>
              <c:idx val="1"/>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1-147F-4AB8-8DA4-6AC8062474EE}"/>
                </c:ext>
              </c:extLst>
            </c:dLbl>
            <c:dLbl>
              <c:idx val="2"/>
              <c:numFmt formatCode="#,##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2-147F-4AB8-8DA4-6AC8062474EE}"/>
                </c:ext>
              </c:extLst>
            </c:dLbl>
            <c:dLbl>
              <c:idx val="3"/>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3-147F-4AB8-8DA4-6AC8062474EE}"/>
                </c:ext>
              </c:extLst>
            </c:dLbl>
            <c:dLbl>
              <c:idx val="4"/>
              <c:numFmt formatCode="#,##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4-147F-4AB8-8DA4-6AC8062474EE}"/>
                </c:ext>
              </c:extLst>
            </c:dLbl>
            <c:dLbl>
              <c:idx val="5"/>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5-147F-4AB8-8DA4-6AC8062474EE}"/>
                </c:ext>
              </c:extLst>
            </c:dLbl>
            <c:dLbl>
              <c:idx val="6"/>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6-147F-4AB8-8DA4-6AC8062474EE}"/>
                </c:ext>
              </c:extLst>
            </c:dLbl>
            <c:dLbl>
              <c:idx val="7"/>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7-147F-4AB8-8DA4-6AC8062474EE}"/>
                </c:ext>
              </c:extLst>
            </c:dLbl>
            <c:dLbl>
              <c:idx val="8"/>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8-147F-4AB8-8DA4-6AC8062474EE}"/>
                </c:ext>
              </c:extLst>
            </c:dLbl>
            <c:dLbl>
              <c:idx val="9"/>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9-147F-4AB8-8DA4-6AC8062474EE}"/>
                </c:ext>
              </c:extLst>
            </c:dLbl>
            <c:dLbl>
              <c:idx val="10"/>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A-147F-4AB8-8DA4-6AC8062474EE}"/>
                </c:ext>
              </c:extLst>
            </c:dLbl>
            <c:dLbl>
              <c:idx val="11"/>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B-147F-4AB8-8DA4-6AC8062474EE}"/>
                </c:ext>
              </c:extLst>
            </c:dLbl>
            <c:dLbl>
              <c:idx val="12"/>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C-147F-4AB8-8DA4-6AC8062474EE}"/>
                </c:ext>
              </c:extLst>
            </c:dLbl>
            <c:dLbl>
              <c:idx val="13"/>
              <c:numFmt formatCode="#,##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D-147F-4AB8-8DA4-6AC8062474EE}"/>
                </c:ext>
              </c:extLst>
            </c:dLbl>
            <c:dLbl>
              <c:idx val="14"/>
              <c:numFmt formatCode="#,##0.00" sourceLinked="0"/>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E-147F-4AB8-8DA4-6AC8062474EE}"/>
                </c:ext>
              </c:extLst>
            </c:dLbl>
            <c:spPr>
              <a:noFill/>
              <a:ln>
                <a:noFill/>
              </a:ln>
              <a:effectLst/>
            </c:spPr>
            <c:txPr>
              <a:bodyPr rot="0" spcFirstLastPara="1" vertOverflow="ellipsis" vert="horz" wrap="square" anchor="ctr" anchorCtr="1"/>
              <a:lstStyle/>
              <a:p>
                <a:pPr>
                  <a:defRPr sz="70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showLegendKey val="0"/>
            <c:showVal val="1"/>
            <c:showCatName val="0"/>
            <c:showSerName val="0"/>
            <c:showPercent val="0"/>
            <c:showBubbleSize val="0"/>
            <c:showLeaderLines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15:showLeaderLines val="0"/>
              </c:ext>
            </c:extLst>
          </c:dLbls>
          <c:cat>
            <c:strRef>
              <c:f>Sheet1!$A$2:$A$16</c:f>
              <c:strCache>
                <c:ptCount val="15"/>
                <c:pt idx="0">
                  <c:v>Johns Hopkins University*</c:v>
                </c:pt>
                <c:pt idx="1">
                  <c:v>University of Michigan, Ann Arbor</c:v>
                </c:pt>
                <c:pt idx="2">
                  <c:v>University of California, San Francisco</c:v>
                </c:pt>
                <c:pt idx="3">
                  <c:v>University of Pennsylvania</c:v>
                </c:pt>
                <c:pt idx="4">
                  <c:v>University of Washington, Seattle</c:v>
                </c:pt>
                <c:pt idx="5">
                  <c:v>University of California, San Diego</c:v>
                </c:pt>
                <c:pt idx="6">
                  <c:v>University of California, Los Angeles</c:v>
                </c:pt>
                <c:pt idx="7">
                  <c:v>University of Wisconsin-Madison</c:v>
                </c:pt>
                <c:pt idx="8">
                  <c:v>Harvard University</c:v>
                </c:pt>
                <c:pt idx="9">
                  <c:v>Duke University</c:v>
                </c:pt>
                <c:pt idx="10">
                  <c:v>Stanford University</c:v>
                </c:pt>
                <c:pt idx="11">
                  <c:v>University of North Carolina at Chapel Hill</c:v>
                </c:pt>
                <c:pt idx="12">
                  <c:v>Cornell University</c:v>
                </c:pt>
                <c:pt idx="13">
                  <c:v>University of Maryland</c:v>
                </c:pt>
                <c:pt idx="14">
                  <c:v>University of Pittsburgh, Pittsburgh</c:v>
                </c:pt>
              </c:strCache>
            </c:strRef>
          </c:cat>
          <c:val>
            <c:numRef>
              <c:f>Sheet1!$B$2:$B$16</c:f>
              <c:numCache>
                <c:formatCode>General</c:formatCode>
                <c:ptCount val="15"/>
                <c:pt idx="0">
                  <c:v>2917.44</c:v>
                </c:pt>
                <c:pt idx="1">
                  <c:v>1657.81</c:v>
                </c:pt>
                <c:pt idx="2">
                  <c:v>1595.1</c:v>
                </c:pt>
                <c:pt idx="3">
                  <c:v>1506.29</c:v>
                </c:pt>
                <c:pt idx="4">
                  <c:v>1425.6</c:v>
                </c:pt>
                <c:pt idx="5">
                  <c:v>1353.76</c:v>
                </c:pt>
                <c:pt idx="6">
                  <c:v>1306.3800000000001</c:v>
                </c:pt>
                <c:pt idx="7">
                  <c:v>1297.33</c:v>
                </c:pt>
                <c:pt idx="8">
                  <c:v>1239.74</c:v>
                </c:pt>
                <c:pt idx="9">
                  <c:v>1226.52</c:v>
                </c:pt>
                <c:pt idx="10">
                  <c:v>1204.1199999999999</c:v>
                </c:pt>
                <c:pt idx="11">
                  <c:v>1153.77</c:v>
                </c:pt>
                <c:pt idx="12">
                  <c:v>1144.53</c:v>
                </c:pt>
                <c:pt idx="13">
                  <c:v>1096.5999999999999</c:v>
                </c:pt>
                <c:pt idx="14">
                  <c:v>1080.95</c:v>
                </c:pt>
              </c:numCache>
            </c:numRef>
          </c:val>
          <c:extLst>
            <c:ext xmlns:c16="http://schemas.microsoft.com/office/drawing/2014/chart" uri="{C3380CC4-5D6E-409C-BE32-E72D297353CC}">
              <c16:uniqueId val="{0000000F-147F-4AB8-8DA4-6AC8062474EE}"/>
            </c:ext>
          </c:extLst>
        </c:ser>
        <c:dLbls>
          <c:showLegendKey val="0"/>
          <c:showVal val="0"/>
          <c:showCatName val="0"/>
          <c:showSerName val="0"/>
          <c:showPercent val="0"/>
          <c:showBubbleSize val="0"/>
        </c:dLbls>
        <c:gapWidth val="80"/>
        <c:overlap val="-30"/>
        <c:axId val="67451136"/>
        <c:axId val="66437120"/>
      </c:barChart>
      <c:catAx>
        <c:axId val="67451136"/>
        <c:scaling>
          <c:orientation val="maxMin"/>
        </c:scaling>
        <c:delete val="0"/>
        <c:axPos val="l"/>
        <c:numFmt formatCode="General" sourceLinked="0"/>
        <c:majorTickMark val="none"/>
        <c:minorTickMark val="none"/>
        <c:tickLblPos val="low"/>
        <c:spPr>
          <a:noFill/>
          <a:ln w="9525" cap="flat" cmpd="sng" algn="ctr">
            <a:solidFill>
              <a:srgbClr val="2F2F2F"/>
            </a:solidFill>
            <a:prstDash val="solid"/>
            <a:round/>
          </a:ln>
          <a:effectLst/>
        </c:spPr>
        <c:txPr>
          <a:bodyPr rot="-60000000" spcFirstLastPara="1" vertOverflow="ellipsis" vert="horz" wrap="square" anchor="ctr" anchorCtr="1"/>
          <a:lstStyle/>
          <a:p>
            <a:pPr>
              <a:defRPr sz="105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crossAx val="66437120"/>
        <c:crosses val="autoZero"/>
        <c:auto val="0"/>
        <c:lblAlgn val="ctr"/>
        <c:lblOffset val="100"/>
        <c:noMultiLvlLbl val="0"/>
      </c:catAx>
      <c:valAx>
        <c:axId val="66437120"/>
        <c:scaling>
          <c:orientation val="minMax"/>
          <c:min val="0"/>
        </c:scaling>
        <c:delete val="0"/>
        <c:axPos val="t"/>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050" b="0" i="0" u="none" strike="noStrike" kern="1200" baseline="0" smtId="4294967295">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es-MX"/>
          </a:p>
        </c:txPr>
        <c:crossAx val="67451136"/>
        <c:crosses val="autoZero"/>
        <c:crossBetween val="between"/>
      </c:valAx>
      <c:spPr>
        <a:solidFill>
          <a:schemeClr val="bg1"/>
        </a:solidFill>
        <a:ln>
          <a:noFill/>
        </a:ln>
        <a:effectLst/>
      </c:spPr>
    </c:plotArea>
    <c:plotVisOnly val="1"/>
    <c:dispBlanksAs val="zero"/>
    <c:showDLblsOverMax val="1"/>
  </c:chart>
  <c:spPr>
    <a:solidFill>
      <a:schemeClr val="bg1"/>
    </a:solidFill>
    <a:ln w="6350" cap="flat" cmpd="sng" algn="ctr">
      <a:solidFill>
        <a:schemeClr val="tx1">
          <a:tint val="75000"/>
        </a:schemeClr>
      </a:solidFill>
      <a:prstDash val="solid"/>
      <a:round/>
    </a:ln>
    <a:effectLst/>
  </c:spPr>
  <c:txPr>
    <a:bodyPr/>
    <a:lstStyle/>
    <a:p>
      <a:pPr>
        <a:defRPr sz="1800" smtId="4294967295"/>
      </a:pPr>
      <a:endParaRPr lang="es-MX"/>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416350602036347E-2"/>
          <c:y val="4.7619130298900067E-2"/>
          <c:w val="0.9190529308836396"/>
          <c:h val="0.72992688413948259"/>
        </c:manualLayout>
      </c:layout>
      <c:lineChart>
        <c:grouping val="standard"/>
        <c:varyColors val="0"/>
        <c:ser>
          <c:idx val="0"/>
          <c:order val="0"/>
          <c:tx>
            <c:strRef>
              <c:f>Hoja1!$B$1</c:f>
              <c:strCache>
                <c:ptCount val="1"/>
                <c:pt idx="0">
                  <c:v>Tasa de crecimiento del comercio electrónico de EE. UU</c:v>
                </c:pt>
              </c:strCache>
            </c:strRef>
          </c:tx>
          <c:spPr>
            <a:ln w="28575" cap="rnd">
              <a:solidFill>
                <a:srgbClr val="002060"/>
              </a:solidFill>
              <a:round/>
            </a:ln>
            <a:effectLst/>
          </c:spPr>
          <c:marker>
            <c:symbol val="circle"/>
            <c:size val="5"/>
            <c:spPr>
              <a:solidFill>
                <a:srgbClr val="002060"/>
              </a:solidFill>
              <a:ln w="9525">
                <a:solidFill>
                  <a:schemeClr val="accent1"/>
                </a:solidFill>
              </a:ln>
              <a:effectLst/>
            </c:spPr>
          </c:marker>
          <c:cat>
            <c:strRef>
              <c:f>Hoja1!$A$2:$A$21</c:f>
              <c:strCache>
                <c:ptCount val="20"/>
                <c:pt idx="0">
                  <c:v>2015 Q1</c:v>
                </c:pt>
                <c:pt idx="1">
                  <c:v>2015 Q2</c:v>
                </c:pt>
                <c:pt idx="2">
                  <c:v>2015 Q3</c:v>
                </c:pt>
                <c:pt idx="3">
                  <c:v>2015 Q4</c:v>
                </c:pt>
                <c:pt idx="4">
                  <c:v>2016 Q1</c:v>
                </c:pt>
                <c:pt idx="5">
                  <c:v>2016 Q2</c:v>
                </c:pt>
                <c:pt idx="6">
                  <c:v>2016 Q3</c:v>
                </c:pt>
                <c:pt idx="7">
                  <c:v>2016 Q4</c:v>
                </c:pt>
                <c:pt idx="8">
                  <c:v>2017 Q1</c:v>
                </c:pt>
                <c:pt idx="9">
                  <c:v>2017 Q2</c:v>
                </c:pt>
                <c:pt idx="10">
                  <c:v>2017 Q3</c:v>
                </c:pt>
                <c:pt idx="11">
                  <c:v>2017 Q4</c:v>
                </c:pt>
                <c:pt idx="12">
                  <c:v>2018 Q1</c:v>
                </c:pt>
                <c:pt idx="13">
                  <c:v>2018 Q2</c:v>
                </c:pt>
                <c:pt idx="14">
                  <c:v>2018 Q3</c:v>
                </c:pt>
                <c:pt idx="15">
                  <c:v>2018 Q4</c:v>
                </c:pt>
                <c:pt idx="16">
                  <c:v>2019 Q1</c:v>
                </c:pt>
                <c:pt idx="17">
                  <c:v>2019 Q2</c:v>
                </c:pt>
                <c:pt idx="18">
                  <c:v>2019 Q3</c:v>
                </c:pt>
                <c:pt idx="19">
                  <c:v>2019 Q4</c:v>
                </c:pt>
              </c:strCache>
            </c:strRef>
          </c:cat>
          <c:val>
            <c:numRef>
              <c:f>Hoja1!$B$2:$B$21</c:f>
              <c:numCache>
                <c:formatCode>General</c:formatCode>
                <c:ptCount val="20"/>
                <c:pt idx="0">
                  <c:v>13.79</c:v>
                </c:pt>
                <c:pt idx="1">
                  <c:v>13.57</c:v>
                </c:pt>
                <c:pt idx="2">
                  <c:v>13.66</c:v>
                </c:pt>
                <c:pt idx="3">
                  <c:v>13.14</c:v>
                </c:pt>
                <c:pt idx="4">
                  <c:v>13.25</c:v>
                </c:pt>
                <c:pt idx="5">
                  <c:v>14.01</c:v>
                </c:pt>
                <c:pt idx="6">
                  <c:v>13.61</c:v>
                </c:pt>
                <c:pt idx="7">
                  <c:v>12.81</c:v>
                </c:pt>
                <c:pt idx="8">
                  <c:v>14.1</c:v>
                </c:pt>
                <c:pt idx="9">
                  <c:v>15.7</c:v>
                </c:pt>
                <c:pt idx="10">
                  <c:v>15.73</c:v>
                </c:pt>
                <c:pt idx="11">
                  <c:v>16.43</c:v>
                </c:pt>
                <c:pt idx="12">
                  <c:v>16.41</c:v>
                </c:pt>
                <c:pt idx="13">
                  <c:v>15.77</c:v>
                </c:pt>
                <c:pt idx="14">
                  <c:v>14.89</c:v>
                </c:pt>
                <c:pt idx="15">
                  <c:v>10.98</c:v>
                </c:pt>
                <c:pt idx="16">
                  <c:v>11.38</c:v>
                </c:pt>
                <c:pt idx="17">
                  <c:v>13.2</c:v>
                </c:pt>
                <c:pt idx="18">
                  <c:v>16.809999999999999</c:v>
                </c:pt>
                <c:pt idx="19">
                  <c:v>15.3</c:v>
                </c:pt>
              </c:numCache>
            </c:numRef>
          </c:val>
          <c:smooth val="0"/>
          <c:extLst>
            <c:ext xmlns:c16="http://schemas.microsoft.com/office/drawing/2014/chart" uri="{C3380CC4-5D6E-409C-BE32-E72D297353CC}">
              <c16:uniqueId val="{00000000-7C7E-49DC-BA40-B1727F2E5B3B}"/>
            </c:ext>
          </c:extLst>
        </c:ser>
        <c:dLbls>
          <c:showLegendKey val="0"/>
          <c:showVal val="0"/>
          <c:showCatName val="0"/>
          <c:showSerName val="0"/>
          <c:showPercent val="0"/>
          <c:showBubbleSize val="0"/>
        </c:dLbls>
        <c:marker val="1"/>
        <c:smooth val="0"/>
        <c:axId val="591362015"/>
        <c:axId val="591365759"/>
      </c:lineChart>
      <c:catAx>
        <c:axId val="591362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MX"/>
          </a:p>
        </c:txPr>
        <c:crossAx val="591365759"/>
        <c:crosses val="autoZero"/>
        <c:auto val="1"/>
        <c:lblAlgn val="ctr"/>
        <c:lblOffset val="100"/>
        <c:noMultiLvlLbl val="0"/>
      </c:catAx>
      <c:valAx>
        <c:axId val="5913657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91362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Hoja8!$B$4:$B$8</c:f>
              <c:numCache>
                <c:formatCode>General</c:formatCode>
                <c:ptCount val="5"/>
                <c:pt idx="0">
                  <c:v>2015</c:v>
                </c:pt>
                <c:pt idx="1">
                  <c:v>2016</c:v>
                </c:pt>
                <c:pt idx="2">
                  <c:v>2017</c:v>
                </c:pt>
                <c:pt idx="3">
                  <c:v>2018</c:v>
                </c:pt>
                <c:pt idx="4">
                  <c:v>2019</c:v>
                </c:pt>
              </c:numCache>
            </c:numRef>
          </c:cat>
          <c:val>
            <c:numRef>
              <c:f>Hoja8!$C$4:$C$8</c:f>
              <c:numCache>
                <c:formatCode>General</c:formatCode>
                <c:ptCount val="5"/>
                <c:pt idx="0">
                  <c:v>1502.57</c:v>
                </c:pt>
                <c:pt idx="1">
                  <c:v>1451.01</c:v>
                </c:pt>
                <c:pt idx="2">
                  <c:v>1546.27</c:v>
                </c:pt>
                <c:pt idx="3">
                  <c:v>1663.98</c:v>
                </c:pt>
                <c:pt idx="4">
                  <c:v>1643.16</c:v>
                </c:pt>
              </c:numCache>
            </c:numRef>
          </c:val>
          <c:extLst>
            <c:ext xmlns:c16="http://schemas.microsoft.com/office/drawing/2014/chart" uri="{C3380CC4-5D6E-409C-BE32-E72D297353CC}">
              <c16:uniqueId val="{00000000-B07F-46B3-9097-126E1103B2A2}"/>
            </c:ext>
          </c:extLst>
        </c:ser>
        <c:dLbls>
          <c:dLblPos val="outEnd"/>
          <c:showLegendKey val="0"/>
          <c:showVal val="1"/>
          <c:showCatName val="0"/>
          <c:showSerName val="0"/>
          <c:showPercent val="0"/>
          <c:showBubbleSize val="0"/>
        </c:dLbls>
        <c:gapWidth val="219"/>
        <c:overlap val="-27"/>
        <c:axId val="1750030911"/>
        <c:axId val="1750026335"/>
      </c:barChart>
      <c:catAx>
        <c:axId val="1750030911"/>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1750026335"/>
        <c:crosses val="autoZero"/>
        <c:auto val="1"/>
        <c:lblAlgn val="ctr"/>
        <c:lblOffset val="100"/>
        <c:noMultiLvlLbl val="0"/>
      </c:catAx>
      <c:valAx>
        <c:axId val="175002633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17500309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2060"/>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Hoja3!$B$3:$B$7</c:f>
              <c:numCache>
                <c:formatCode>General</c:formatCode>
                <c:ptCount val="5"/>
                <c:pt idx="0">
                  <c:v>2015</c:v>
                </c:pt>
                <c:pt idx="1">
                  <c:v>2016</c:v>
                </c:pt>
                <c:pt idx="2">
                  <c:v>2017</c:v>
                </c:pt>
                <c:pt idx="3">
                  <c:v>2018</c:v>
                </c:pt>
                <c:pt idx="4">
                  <c:v>2019</c:v>
                </c:pt>
              </c:numCache>
            </c:numRef>
          </c:cat>
          <c:val>
            <c:numRef>
              <c:f>Hoja3!$C$3:$C$7</c:f>
              <c:numCache>
                <c:formatCode>0.00%</c:formatCode>
                <c:ptCount val="5"/>
                <c:pt idx="0">
                  <c:v>2.7E-2</c:v>
                </c:pt>
                <c:pt idx="1">
                  <c:v>1.67E-2</c:v>
                </c:pt>
                <c:pt idx="2">
                  <c:v>2.2599999999999999E-2</c:v>
                </c:pt>
                <c:pt idx="3">
                  <c:v>2.92E-2</c:v>
                </c:pt>
                <c:pt idx="4">
                  <c:v>2.29E-2</c:v>
                </c:pt>
              </c:numCache>
            </c:numRef>
          </c:val>
          <c:extLst>
            <c:ext xmlns:c16="http://schemas.microsoft.com/office/drawing/2014/chart" uri="{C3380CC4-5D6E-409C-BE32-E72D297353CC}">
              <c16:uniqueId val="{00000000-51AC-4FE0-88B5-30FE89588CAA}"/>
            </c:ext>
          </c:extLst>
        </c:ser>
        <c:dLbls>
          <c:showLegendKey val="0"/>
          <c:showVal val="0"/>
          <c:showCatName val="0"/>
          <c:showSerName val="0"/>
          <c:showPercent val="0"/>
          <c:showBubbleSize val="0"/>
        </c:dLbls>
        <c:gapWidth val="219"/>
        <c:overlap val="-27"/>
        <c:axId val="763074176"/>
        <c:axId val="763056288"/>
      </c:barChart>
      <c:catAx>
        <c:axId val="763074176"/>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crossAx val="763056288"/>
        <c:crosses val="autoZero"/>
        <c:auto val="1"/>
        <c:lblAlgn val="ctr"/>
        <c:lblOffset val="100"/>
        <c:noMultiLvlLbl val="0"/>
      </c:catAx>
      <c:valAx>
        <c:axId val="763056288"/>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crossAx val="763074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Times New Roman" panose="02020603050405020304" pitchFamily="18" charset="0"/>
          <a:cs typeface="Times New Roman" panose="02020603050405020304" pitchFamily="18" charset="0"/>
        </a:defRPr>
      </a:pPr>
      <a:endParaRPr lang="es-MX"/>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Hoja11!$B$5:$B$9</c:f>
              <c:numCache>
                <c:formatCode>General</c:formatCode>
                <c:ptCount val="5"/>
                <c:pt idx="0">
                  <c:v>2015</c:v>
                </c:pt>
                <c:pt idx="1">
                  <c:v>2016</c:v>
                </c:pt>
                <c:pt idx="2">
                  <c:v>2017</c:v>
                </c:pt>
                <c:pt idx="3">
                  <c:v>2018</c:v>
                </c:pt>
                <c:pt idx="4">
                  <c:v>2019</c:v>
                </c:pt>
              </c:numCache>
            </c:numRef>
          </c:cat>
          <c:val>
            <c:numRef>
              <c:f>Hoja11!$C$5:$C$9</c:f>
              <c:numCache>
                <c:formatCode>General</c:formatCode>
                <c:ptCount val="5"/>
                <c:pt idx="0">
                  <c:v>2315.3000000000002</c:v>
                </c:pt>
                <c:pt idx="1">
                  <c:v>2250.15</c:v>
                </c:pt>
                <c:pt idx="2">
                  <c:v>2408.48</c:v>
                </c:pt>
                <c:pt idx="3">
                  <c:v>2614.2199999999998</c:v>
                </c:pt>
                <c:pt idx="4">
                  <c:v>2567.44</c:v>
                </c:pt>
              </c:numCache>
            </c:numRef>
          </c:val>
          <c:extLst>
            <c:ext xmlns:c16="http://schemas.microsoft.com/office/drawing/2014/chart" uri="{C3380CC4-5D6E-409C-BE32-E72D297353CC}">
              <c16:uniqueId val="{00000000-1458-4F65-85F7-3974B293E2A1}"/>
            </c:ext>
          </c:extLst>
        </c:ser>
        <c:dLbls>
          <c:dLblPos val="outEnd"/>
          <c:showLegendKey val="0"/>
          <c:showVal val="1"/>
          <c:showCatName val="0"/>
          <c:showSerName val="0"/>
          <c:showPercent val="0"/>
          <c:showBubbleSize val="0"/>
        </c:dLbls>
        <c:gapWidth val="219"/>
        <c:overlap val="-27"/>
        <c:axId val="1666130159"/>
        <c:axId val="1666133487"/>
      </c:barChart>
      <c:catAx>
        <c:axId val="1666130159"/>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1666133487"/>
        <c:crosses val="autoZero"/>
        <c:auto val="1"/>
        <c:lblAlgn val="ctr"/>
        <c:lblOffset val="100"/>
        <c:noMultiLvlLbl val="0"/>
      </c:catAx>
      <c:valAx>
        <c:axId val="166613348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16661301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solidFill>
            <a:sysClr val="windowText" lastClr="000000"/>
          </a:solidFill>
          <a:latin typeface="Times New Roman" panose="02020603050405020304" pitchFamily="18" charset="0"/>
          <a:cs typeface="Times New Roman" panose="02020603050405020304" pitchFamily="18" charset="0"/>
        </a:defRPr>
      </a:pPr>
      <a:endParaRPr lang="es-MX"/>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Hoja10!$B$3:$B$6</c:f>
              <c:strCache>
                <c:ptCount val="4"/>
                <c:pt idx="0">
                  <c:v>Canada</c:v>
                </c:pt>
                <c:pt idx="1">
                  <c:v>Mexico</c:v>
                </c:pt>
                <c:pt idx="2">
                  <c:v>China</c:v>
                </c:pt>
                <c:pt idx="3">
                  <c:v>Japan</c:v>
                </c:pt>
              </c:strCache>
            </c:strRef>
          </c:cat>
          <c:val>
            <c:numRef>
              <c:f>Hoja10!$C$3:$C$6</c:f>
              <c:numCache>
                <c:formatCode>0%</c:formatCode>
                <c:ptCount val="4"/>
                <c:pt idx="0">
                  <c:v>0.17</c:v>
                </c:pt>
                <c:pt idx="1">
                  <c:v>0.16</c:v>
                </c:pt>
                <c:pt idx="2">
                  <c:v>7.0000000000000007E-2</c:v>
                </c:pt>
                <c:pt idx="3">
                  <c:v>0.05</c:v>
                </c:pt>
              </c:numCache>
            </c:numRef>
          </c:val>
          <c:extLst>
            <c:ext xmlns:c16="http://schemas.microsoft.com/office/drawing/2014/chart" uri="{C3380CC4-5D6E-409C-BE32-E72D297353CC}">
              <c16:uniqueId val="{00000000-D9F3-4C1D-868F-514EAE3CADBB}"/>
            </c:ext>
          </c:extLst>
        </c:ser>
        <c:dLbls>
          <c:dLblPos val="outEnd"/>
          <c:showLegendKey val="0"/>
          <c:showVal val="1"/>
          <c:showCatName val="0"/>
          <c:showSerName val="0"/>
          <c:showPercent val="0"/>
          <c:showBubbleSize val="0"/>
        </c:dLbls>
        <c:gapWidth val="219"/>
        <c:overlap val="-27"/>
        <c:axId val="1666105615"/>
        <c:axId val="1666111855"/>
      </c:barChart>
      <c:catAx>
        <c:axId val="1666105615"/>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1666111855"/>
        <c:crosses val="autoZero"/>
        <c:auto val="1"/>
        <c:lblAlgn val="ctr"/>
        <c:lblOffset val="100"/>
        <c:noMultiLvlLbl val="0"/>
      </c:catAx>
      <c:valAx>
        <c:axId val="1666111855"/>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16661056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s-MX"/>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524172381678072E-2"/>
          <c:y val="4.9807561693457097E-2"/>
          <c:w val="0.9004758276183219"/>
          <c:h val="0.85143014017067198"/>
        </c:manualLayout>
      </c:layout>
      <c:barChart>
        <c:barDir val="col"/>
        <c:grouping val="clustered"/>
        <c:varyColors val="0"/>
        <c:ser>
          <c:idx val="0"/>
          <c:order val="0"/>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Hoja13!$B$4:$B$8</c:f>
              <c:strCache>
                <c:ptCount val="5"/>
                <c:pt idx="0">
                  <c:v>China</c:v>
                </c:pt>
                <c:pt idx="1">
                  <c:v>Mexico</c:v>
                </c:pt>
                <c:pt idx="2">
                  <c:v>Canada</c:v>
                </c:pt>
                <c:pt idx="3">
                  <c:v>Japan</c:v>
                </c:pt>
                <c:pt idx="4">
                  <c:v>Alemania</c:v>
                </c:pt>
              </c:strCache>
            </c:strRef>
          </c:cat>
          <c:val>
            <c:numRef>
              <c:f>Hoja13!$C$4:$C$8</c:f>
              <c:numCache>
                <c:formatCode>0%</c:formatCode>
                <c:ptCount val="5"/>
                <c:pt idx="0">
                  <c:v>0.18</c:v>
                </c:pt>
                <c:pt idx="1">
                  <c:v>0.15</c:v>
                </c:pt>
                <c:pt idx="2">
                  <c:v>0.13</c:v>
                </c:pt>
                <c:pt idx="3">
                  <c:v>0.06</c:v>
                </c:pt>
                <c:pt idx="4">
                  <c:v>0.05</c:v>
                </c:pt>
              </c:numCache>
            </c:numRef>
          </c:val>
          <c:extLst>
            <c:ext xmlns:c16="http://schemas.microsoft.com/office/drawing/2014/chart" uri="{C3380CC4-5D6E-409C-BE32-E72D297353CC}">
              <c16:uniqueId val="{00000000-AB2C-4585-9A87-152F17CEFC20}"/>
            </c:ext>
          </c:extLst>
        </c:ser>
        <c:dLbls>
          <c:dLblPos val="outEnd"/>
          <c:showLegendKey val="0"/>
          <c:showVal val="1"/>
          <c:showCatName val="0"/>
          <c:showSerName val="0"/>
          <c:showPercent val="0"/>
          <c:showBubbleSize val="0"/>
        </c:dLbls>
        <c:gapWidth val="219"/>
        <c:overlap val="-27"/>
        <c:axId val="1791199279"/>
        <c:axId val="1791210927"/>
      </c:barChart>
      <c:catAx>
        <c:axId val="1791199279"/>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1791210927"/>
        <c:crosses val="autoZero"/>
        <c:auto val="1"/>
        <c:lblAlgn val="ctr"/>
        <c:lblOffset val="100"/>
        <c:noMultiLvlLbl val="0"/>
      </c:catAx>
      <c:valAx>
        <c:axId val="1791210927"/>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17911992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s-MX"/>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Sheet1!$C$12:$C$31</c:f>
              <c:numCache>
                <c:formatCode>General</c:formatCode>
                <c:ptCount val="20"/>
                <c:pt idx="0">
                  <c:v>1971</c:v>
                </c:pt>
                <c:pt idx="1">
                  <c:v>1972</c:v>
                </c:pt>
                <c:pt idx="2">
                  <c:v>1973</c:v>
                </c:pt>
                <c:pt idx="3">
                  <c:v>1974</c:v>
                </c:pt>
                <c:pt idx="4">
                  <c:v>1975</c:v>
                </c:pt>
                <c:pt idx="5">
                  <c:v>1976</c:v>
                </c:pt>
                <c:pt idx="6">
                  <c:v>1977</c:v>
                </c:pt>
                <c:pt idx="7">
                  <c:v>1978</c:v>
                </c:pt>
                <c:pt idx="8">
                  <c:v>1979</c:v>
                </c:pt>
                <c:pt idx="9">
                  <c:v>1980</c:v>
                </c:pt>
                <c:pt idx="10">
                  <c:v>1981</c:v>
                </c:pt>
                <c:pt idx="11">
                  <c:v>1982</c:v>
                </c:pt>
                <c:pt idx="12">
                  <c:v>1983</c:v>
                </c:pt>
                <c:pt idx="13">
                  <c:v>1984</c:v>
                </c:pt>
                <c:pt idx="14">
                  <c:v>1985</c:v>
                </c:pt>
                <c:pt idx="15">
                  <c:v>1986</c:v>
                </c:pt>
                <c:pt idx="16">
                  <c:v>1987</c:v>
                </c:pt>
                <c:pt idx="17">
                  <c:v>1988</c:v>
                </c:pt>
                <c:pt idx="18">
                  <c:v>1989</c:v>
                </c:pt>
                <c:pt idx="19">
                  <c:v>1990</c:v>
                </c:pt>
              </c:numCache>
            </c:numRef>
          </c:cat>
          <c:val>
            <c:numRef>
              <c:f>Sheet1!$D$12:$D$31</c:f>
              <c:numCache>
                <c:formatCode>General</c:formatCode>
                <c:ptCount val="20"/>
                <c:pt idx="0">
                  <c:v>1.99561082573474</c:v>
                </c:pt>
                <c:pt idx="1">
                  <c:v>4.1380849130834498</c:v>
                </c:pt>
                <c:pt idx="2">
                  <c:v>4.6421526767468704</c:v>
                </c:pt>
                <c:pt idx="3">
                  <c:v>-1.44512925732209</c:v>
                </c:pt>
                <c:pt idx="4">
                  <c:v>-1.1845892810832099</c:v>
                </c:pt>
                <c:pt idx="5">
                  <c:v>4.3914628083419602</c:v>
                </c:pt>
                <c:pt idx="6">
                  <c:v>3.5771527820234499</c:v>
                </c:pt>
                <c:pt idx="7">
                  <c:v>4.4229823599883202</c:v>
                </c:pt>
                <c:pt idx="8">
                  <c:v>2.0338919737314298</c:v>
                </c:pt>
                <c:pt idx="9">
                  <c:v>-1.20930048707186</c:v>
                </c:pt>
                <c:pt idx="10">
                  <c:v>1.53631967381895</c:v>
                </c:pt>
                <c:pt idx="11">
                  <c:v>-2.7345568957870499</c:v>
                </c:pt>
                <c:pt idx="12">
                  <c:v>3.6319931196722899</c:v>
                </c:pt>
                <c:pt idx="13">
                  <c:v>6.3121546206166199</c:v>
                </c:pt>
                <c:pt idx="14">
                  <c:v>3.2506561591054499</c:v>
                </c:pt>
                <c:pt idx="15">
                  <c:v>2.5108916478438199</c:v>
                </c:pt>
                <c:pt idx="16">
                  <c:v>2.5389412549244201</c:v>
                </c:pt>
                <c:pt idx="17">
                  <c:v>3.2354013316270298</c:v>
                </c:pt>
                <c:pt idx="18">
                  <c:v>2.6981747761423698</c:v>
                </c:pt>
                <c:pt idx="19">
                  <c:v>0.74148152036886505</c:v>
                </c:pt>
              </c:numCache>
            </c:numRef>
          </c:val>
          <c:smooth val="1"/>
          <c:extLst>
            <c:ext xmlns:c16="http://schemas.microsoft.com/office/drawing/2014/chart" uri="{C3380CC4-5D6E-409C-BE32-E72D297353CC}">
              <c16:uniqueId val="{00000000-227E-4691-BF11-C163F2E051CB}"/>
            </c:ext>
          </c:extLst>
        </c:ser>
        <c:dLbls>
          <c:showLegendKey val="0"/>
          <c:showVal val="0"/>
          <c:showCatName val="0"/>
          <c:showSerName val="0"/>
          <c:showPercent val="0"/>
          <c:showBubbleSize val="0"/>
        </c:dLbls>
        <c:smooth val="0"/>
        <c:axId val="221261055"/>
        <c:axId val="221271871"/>
      </c:lineChart>
      <c:catAx>
        <c:axId val="221261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21271871"/>
        <c:crosses val="autoZero"/>
        <c:auto val="1"/>
        <c:lblAlgn val="ctr"/>
        <c:lblOffset val="100"/>
        <c:noMultiLvlLbl val="0"/>
      </c:catAx>
      <c:valAx>
        <c:axId val="22127187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21261055"/>
        <c:crosses val="autoZero"/>
        <c:crossBetween val="between"/>
      </c:valAx>
      <c:spPr>
        <a:noFill/>
        <a:ln>
          <a:noFill/>
        </a:ln>
        <a:effectLst>
          <a:softEdge rad="0"/>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r>
              <a:rPr lang="en-US" sz="1400" b="1">
                <a:solidFill>
                  <a:sysClr val="windowText" lastClr="000000"/>
                </a:solidFill>
              </a:rPr>
              <a:t>Producto Bruto Interno de EEUU 1960 - 2019 (MM USD)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s-MX"/>
        </a:p>
      </c:txPr>
    </c:title>
    <c:autoTitleDeleted val="0"/>
    <c:plotArea>
      <c:layout/>
      <c:lineChart>
        <c:grouping val="standard"/>
        <c:varyColors val="0"/>
        <c:ser>
          <c:idx val="1"/>
          <c:order val="0"/>
          <c:tx>
            <c:strRef>
              <c:f>'[graficos.xlsx]GDP 1960 - 2020'!$C$2</c:f>
              <c:strCache>
                <c:ptCount val="1"/>
                <c:pt idx="0">
                  <c:v>PBI Real</c:v>
                </c:pt>
              </c:strCache>
            </c:strRef>
          </c:tx>
          <c:spPr>
            <a:ln w="28575" cap="rnd">
              <a:solidFill>
                <a:srgbClr val="002060"/>
              </a:solidFill>
              <a:round/>
            </a:ln>
            <a:effectLst/>
          </c:spPr>
          <c:marker>
            <c:symbol val="none"/>
          </c:marker>
          <c:cat>
            <c:numRef>
              <c:f>'[graficos.xlsx]GDP 1960 - 2020'!$B$3:$B$62</c:f>
              <c:numCache>
                <c:formatCode>General</c:formatCode>
                <c:ptCount val="60"/>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pt idx="59">
                  <c:v>2019</c:v>
                </c:pt>
              </c:numCache>
            </c:numRef>
          </c:cat>
          <c:val>
            <c:numRef>
              <c:f>'[graficos.xlsx]GDP 1960 - 2020'!$C$3:$C$62</c:f>
              <c:numCache>
                <c:formatCode>0.00</c:formatCode>
                <c:ptCount val="60"/>
                <c:pt idx="0">
                  <c:v>0.54330000000000001</c:v>
                </c:pt>
                <c:pt idx="1">
                  <c:v>0.56330000000000002</c:v>
                </c:pt>
                <c:pt idx="2">
                  <c:v>0.60509999999999997</c:v>
                </c:pt>
                <c:pt idx="3">
                  <c:v>0.63859999999999995</c:v>
                </c:pt>
                <c:pt idx="4">
                  <c:v>0.68579999999999997</c:v>
                </c:pt>
                <c:pt idx="5">
                  <c:v>0.74370000000000003</c:v>
                </c:pt>
                <c:pt idx="6">
                  <c:v>0.81499999999999995</c:v>
                </c:pt>
                <c:pt idx="7">
                  <c:v>0.86170000000000002</c:v>
                </c:pt>
                <c:pt idx="8">
                  <c:v>0.9425</c:v>
                </c:pt>
                <c:pt idx="9">
                  <c:v>1.0199</c:v>
                </c:pt>
                <c:pt idx="10">
                  <c:v>1.0733029999999999</c:v>
                </c:pt>
                <c:pt idx="11">
                  <c:v>1.1648499999999999</c:v>
                </c:pt>
                <c:pt idx="12">
                  <c:v>1.27911</c:v>
                </c:pt>
                <c:pt idx="13">
                  <c:v>1.425376</c:v>
                </c:pt>
                <c:pt idx="14">
                  <c:v>1.5452429999999999</c:v>
                </c:pt>
                <c:pt idx="15">
                  <c:v>1.684904</c:v>
                </c:pt>
                <c:pt idx="16">
                  <c:v>1.8734120000000001</c:v>
                </c:pt>
                <c:pt idx="17">
                  <c:v>2.081826</c:v>
                </c:pt>
                <c:pt idx="18">
                  <c:v>2.3515990000000002</c:v>
                </c:pt>
                <c:pt idx="19">
                  <c:v>2.6273330000000001</c:v>
                </c:pt>
                <c:pt idx="20">
                  <c:v>2.857307</c:v>
                </c:pt>
                <c:pt idx="21">
                  <c:v>3.2070409999999998</c:v>
                </c:pt>
                <c:pt idx="22">
                  <c:v>3.3437890000000001</c:v>
                </c:pt>
                <c:pt idx="23">
                  <c:v>3.6340379999999999</c:v>
                </c:pt>
                <c:pt idx="24">
                  <c:v>4.0376130000000003</c:v>
                </c:pt>
                <c:pt idx="25">
                  <c:v>4.3389790000000001</c:v>
                </c:pt>
                <c:pt idx="26">
                  <c:v>4.579631</c:v>
                </c:pt>
                <c:pt idx="27">
                  <c:v>4.8552150000000003</c:v>
                </c:pt>
                <c:pt idx="28">
                  <c:v>5.2364379999999997</c:v>
                </c:pt>
                <c:pt idx="29">
                  <c:v>5.6415800000000003</c:v>
                </c:pt>
                <c:pt idx="30">
                  <c:v>5.9631439999999998</c:v>
                </c:pt>
                <c:pt idx="31">
                  <c:v>6.1581289999999997</c:v>
                </c:pt>
                <c:pt idx="32">
                  <c:v>6.520327</c:v>
                </c:pt>
                <c:pt idx="33">
                  <c:v>6.8585589999999996</c:v>
                </c:pt>
                <c:pt idx="34">
                  <c:v>7.287236</c:v>
                </c:pt>
                <c:pt idx="35">
                  <c:v>7.6397490000000001</c:v>
                </c:pt>
                <c:pt idx="36">
                  <c:v>8.0731219999999997</c:v>
                </c:pt>
                <c:pt idx="37">
                  <c:v>8.5775544569999997</c:v>
                </c:pt>
                <c:pt idx="38">
                  <c:v>9.0628182020000008</c:v>
                </c:pt>
                <c:pt idx="39">
                  <c:v>9.6306642020000002</c:v>
                </c:pt>
                <c:pt idx="40">
                  <c:v>10.252345463999999</c:v>
                </c:pt>
                <c:pt idx="41">
                  <c:v>10.581821399000001</c:v>
                </c:pt>
                <c:pt idx="42">
                  <c:v>10.936419054</c:v>
                </c:pt>
                <c:pt idx="43">
                  <c:v>11.458243877999999</c:v>
                </c:pt>
                <c:pt idx="44">
                  <c:v>12.213729147</c:v>
                </c:pt>
                <c:pt idx="45">
                  <c:v>13.03664023</c:v>
                </c:pt>
                <c:pt idx="46">
                  <c:v>13.814611414</c:v>
                </c:pt>
                <c:pt idx="47">
                  <c:v>14.451858656000001</c:v>
                </c:pt>
                <c:pt idx="48">
                  <c:v>14.712844084</c:v>
                </c:pt>
                <c:pt idx="49">
                  <c:v>14.448933025000001</c:v>
                </c:pt>
                <c:pt idx="50">
                  <c:v>14.992052727000001</c:v>
                </c:pt>
                <c:pt idx="51">
                  <c:v>15.542581104</c:v>
                </c:pt>
                <c:pt idx="52">
                  <c:v>16.197007349</c:v>
                </c:pt>
                <c:pt idx="53">
                  <c:v>16.784849196</c:v>
                </c:pt>
                <c:pt idx="54">
                  <c:v>17.527163694999999</c:v>
                </c:pt>
                <c:pt idx="55">
                  <c:v>18.238300569</c:v>
                </c:pt>
                <c:pt idx="56">
                  <c:v>18.745075687</c:v>
                </c:pt>
                <c:pt idx="57">
                  <c:v>19.542979183</c:v>
                </c:pt>
                <c:pt idx="58">
                  <c:v>20.611860933999999</c:v>
                </c:pt>
                <c:pt idx="59">
                  <c:v>21.433224697</c:v>
                </c:pt>
              </c:numCache>
            </c:numRef>
          </c:val>
          <c:smooth val="0"/>
          <c:extLst>
            <c:ext xmlns:c16="http://schemas.microsoft.com/office/drawing/2014/chart" uri="{C3380CC4-5D6E-409C-BE32-E72D297353CC}">
              <c16:uniqueId val="{00000000-A0BB-4CC5-9A84-BCEE9CEA27AC}"/>
            </c:ext>
          </c:extLst>
        </c:ser>
        <c:dLbls>
          <c:showLegendKey val="0"/>
          <c:showVal val="0"/>
          <c:showCatName val="0"/>
          <c:showSerName val="0"/>
          <c:showPercent val="0"/>
          <c:showBubbleSize val="0"/>
        </c:dLbls>
        <c:smooth val="0"/>
        <c:axId val="538873487"/>
        <c:axId val="538894703"/>
      </c:lineChart>
      <c:catAx>
        <c:axId val="538873487"/>
        <c:scaling>
          <c:orientation val="minMax"/>
        </c:scaling>
        <c:delete val="0"/>
        <c:axPos val="b"/>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j-lt"/>
                <a:ea typeface="+mn-ea"/>
                <a:cs typeface="+mn-cs"/>
              </a:defRPr>
            </a:pPr>
            <a:endParaRPr lang="es-MX"/>
          </a:p>
        </c:txPr>
        <c:crossAx val="538894703"/>
        <c:crosses val="autoZero"/>
        <c:auto val="1"/>
        <c:lblAlgn val="ctr"/>
        <c:lblOffset val="100"/>
        <c:noMultiLvlLbl val="0"/>
      </c:catAx>
      <c:valAx>
        <c:axId val="538894703"/>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j-lt"/>
                <a:ea typeface="+mn-ea"/>
                <a:cs typeface="+mn-cs"/>
              </a:defRPr>
            </a:pPr>
            <a:endParaRPr lang="es-MX"/>
          </a:p>
        </c:txPr>
        <c:crossAx val="538873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mj-lt"/>
        </a:defRPr>
      </a:pPr>
      <a:endParaRPr lang="es-MX"/>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40" b="1" i="0" u="none" strike="noStrike" kern="1200" spc="0" baseline="0">
                <a:solidFill>
                  <a:sysClr val="windowText" lastClr="000000"/>
                </a:solidFill>
                <a:latin typeface="+mj-lt"/>
                <a:ea typeface="+mn-ea"/>
                <a:cs typeface="+mn-cs"/>
              </a:defRPr>
            </a:pPr>
            <a:r>
              <a:rPr lang="es-PE" b="1">
                <a:solidFill>
                  <a:sysClr val="windowText" lastClr="000000"/>
                </a:solidFill>
              </a:rPr>
              <a:t>PBI Per cápita 1986 - 2019 (USD)</a:t>
            </a:r>
          </a:p>
        </c:rich>
      </c:tx>
      <c:overlay val="0"/>
      <c:spPr>
        <a:noFill/>
        <a:ln>
          <a:noFill/>
        </a:ln>
        <a:effectLst/>
      </c:spPr>
      <c:txPr>
        <a:bodyPr rot="0" spcFirstLastPara="1" vertOverflow="ellipsis" vert="horz" wrap="square" anchor="ctr" anchorCtr="1"/>
        <a:lstStyle/>
        <a:p>
          <a:pPr>
            <a:defRPr sz="1440" b="1" i="0" u="none" strike="noStrike" kern="1200" spc="0" baseline="0">
              <a:solidFill>
                <a:sysClr val="windowText" lastClr="000000"/>
              </a:solidFill>
              <a:latin typeface="+mj-lt"/>
              <a:ea typeface="+mn-ea"/>
              <a:cs typeface="+mn-cs"/>
            </a:defRPr>
          </a:pPr>
          <a:endParaRPr lang="es-MX"/>
        </a:p>
      </c:txPr>
    </c:title>
    <c:autoTitleDeleted val="0"/>
    <c:plotArea>
      <c:layout/>
      <c:lineChart>
        <c:grouping val="standard"/>
        <c:varyColors val="0"/>
        <c:ser>
          <c:idx val="0"/>
          <c:order val="0"/>
          <c:spPr>
            <a:ln w="28575" cap="rnd">
              <a:solidFill>
                <a:srgbClr val="002060"/>
              </a:solidFill>
              <a:round/>
            </a:ln>
            <a:effectLst/>
          </c:spPr>
          <c:marker>
            <c:symbol val="none"/>
          </c:marker>
          <c:cat>
            <c:strRef>
              <c:f>'[graficos.xlsx]GDP 1960 - 2020'!$B$68:$B$101</c:f>
              <c:strCache>
                <c:ptCount val="34"/>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strCache>
            </c:strRef>
          </c:cat>
          <c:val>
            <c:numRef>
              <c:f>'[graficos.xlsx]GDP 1960 - 2020'!$C$68:$C$101</c:f>
              <c:numCache>
                <c:formatCode>General</c:formatCode>
                <c:ptCount val="34"/>
                <c:pt idx="0">
                  <c:v>19034.77</c:v>
                </c:pt>
                <c:pt idx="1">
                  <c:v>20000.97</c:v>
                </c:pt>
                <c:pt idx="2">
                  <c:v>21376</c:v>
                </c:pt>
                <c:pt idx="3">
                  <c:v>22814.080000000002</c:v>
                </c:pt>
                <c:pt idx="4">
                  <c:v>23847.98</c:v>
                </c:pt>
                <c:pt idx="5">
                  <c:v>24302.78</c:v>
                </c:pt>
                <c:pt idx="6">
                  <c:v>25392.93</c:v>
                </c:pt>
                <c:pt idx="7">
                  <c:v>26364.19</c:v>
                </c:pt>
                <c:pt idx="8">
                  <c:v>27674.02</c:v>
                </c:pt>
                <c:pt idx="9">
                  <c:v>28671.48</c:v>
                </c:pt>
                <c:pt idx="10">
                  <c:v>29946.97</c:v>
                </c:pt>
                <c:pt idx="11">
                  <c:v>31440.09</c:v>
                </c:pt>
                <c:pt idx="12">
                  <c:v>32833.67</c:v>
                </c:pt>
                <c:pt idx="13">
                  <c:v>34494.54</c:v>
                </c:pt>
                <c:pt idx="14">
                  <c:v>36317.74</c:v>
                </c:pt>
                <c:pt idx="15">
                  <c:v>37101.1</c:v>
                </c:pt>
                <c:pt idx="16">
                  <c:v>37971.279999999999</c:v>
                </c:pt>
                <c:pt idx="17">
                  <c:v>39411.550000000003</c:v>
                </c:pt>
                <c:pt idx="18">
                  <c:v>41629.86</c:v>
                </c:pt>
                <c:pt idx="19">
                  <c:v>44025.56</c:v>
                </c:pt>
                <c:pt idx="20">
                  <c:v>46213.51</c:v>
                </c:pt>
                <c:pt idx="21">
                  <c:v>47869.24</c:v>
                </c:pt>
                <c:pt idx="22">
                  <c:v>48283.41</c:v>
                </c:pt>
                <c:pt idx="23">
                  <c:v>47007.67</c:v>
                </c:pt>
                <c:pt idx="24">
                  <c:v>48403.3</c:v>
                </c:pt>
                <c:pt idx="25">
                  <c:v>49829.06</c:v>
                </c:pt>
                <c:pt idx="26">
                  <c:v>51563.13</c:v>
                </c:pt>
                <c:pt idx="27">
                  <c:v>53071.82</c:v>
                </c:pt>
                <c:pt idx="28">
                  <c:v>55024.66</c:v>
                </c:pt>
                <c:pt idx="29">
                  <c:v>56848.51</c:v>
                </c:pt>
                <c:pt idx="30">
                  <c:v>57839.99</c:v>
                </c:pt>
                <c:pt idx="31">
                  <c:v>59885.71</c:v>
                </c:pt>
                <c:pt idx="32">
                  <c:v>62769.66</c:v>
                </c:pt>
                <c:pt idx="33">
                  <c:v>65051.88</c:v>
                </c:pt>
              </c:numCache>
            </c:numRef>
          </c:val>
          <c:smooth val="0"/>
          <c:extLst>
            <c:ext xmlns:c16="http://schemas.microsoft.com/office/drawing/2014/chart" uri="{C3380CC4-5D6E-409C-BE32-E72D297353CC}">
              <c16:uniqueId val="{00000000-8452-4182-B6B9-27C1DCDD6CF1}"/>
            </c:ext>
          </c:extLst>
        </c:ser>
        <c:dLbls>
          <c:showLegendKey val="0"/>
          <c:showVal val="0"/>
          <c:showCatName val="0"/>
          <c:showSerName val="0"/>
          <c:showPercent val="0"/>
          <c:showBubbleSize val="0"/>
        </c:dLbls>
        <c:smooth val="0"/>
        <c:axId val="397263599"/>
        <c:axId val="397263183"/>
      </c:lineChart>
      <c:catAx>
        <c:axId val="397263599"/>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s-MX"/>
          </a:p>
        </c:txPr>
        <c:crossAx val="397263183"/>
        <c:crosses val="autoZero"/>
        <c:auto val="1"/>
        <c:lblAlgn val="ctr"/>
        <c:lblOffset val="100"/>
        <c:noMultiLvlLbl val="0"/>
      </c:catAx>
      <c:valAx>
        <c:axId val="39726318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s-MX"/>
          </a:p>
        </c:txPr>
        <c:crossAx val="3972635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mj-lt"/>
        </a:defRPr>
      </a:pPr>
      <a:endParaRPr lang="es-MX"/>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Hoja4!$C$3</c:f>
              <c:strCache>
                <c:ptCount val="1"/>
                <c:pt idx="0">
                  <c:v>Agricultura</c:v>
                </c:pt>
              </c:strCache>
            </c:strRef>
          </c:tx>
          <c:spPr>
            <a:solidFill>
              <a:schemeClr val="accent1"/>
            </a:solidFill>
            <a:ln>
              <a:noFill/>
            </a:ln>
            <a:effectLst/>
          </c:spPr>
          <c:invertIfNegative val="0"/>
          <c:cat>
            <c:numRef>
              <c:f>Hoja4!$B$4:$B$8</c:f>
              <c:numCache>
                <c:formatCode>General</c:formatCode>
                <c:ptCount val="5"/>
                <c:pt idx="0">
                  <c:v>2015</c:v>
                </c:pt>
                <c:pt idx="1">
                  <c:v>2016</c:v>
                </c:pt>
                <c:pt idx="2">
                  <c:v>2017</c:v>
                </c:pt>
                <c:pt idx="3">
                  <c:v>2018</c:v>
                </c:pt>
                <c:pt idx="4">
                  <c:v>2019</c:v>
                </c:pt>
              </c:numCache>
            </c:numRef>
          </c:cat>
          <c:val>
            <c:numRef>
              <c:f>Hoja4!$C$4:$C$8</c:f>
              <c:numCache>
                <c:formatCode>0.00%</c:formatCode>
                <c:ptCount val="5"/>
                <c:pt idx="0">
                  <c:v>1.1900000000000001E-2</c:v>
                </c:pt>
                <c:pt idx="1">
                  <c:v>1.04E-2</c:v>
                </c:pt>
                <c:pt idx="2">
                  <c:v>9.4000000000000004E-3</c:v>
                </c:pt>
                <c:pt idx="3">
                  <c:v>9.4000000000000004E-3</c:v>
                </c:pt>
                <c:pt idx="4">
                  <c:v>8.6E-3</c:v>
                </c:pt>
              </c:numCache>
            </c:numRef>
          </c:val>
          <c:extLst>
            <c:ext xmlns:c16="http://schemas.microsoft.com/office/drawing/2014/chart" uri="{C3380CC4-5D6E-409C-BE32-E72D297353CC}">
              <c16:uniqueId val="{00000000-EFB0-4DEE-951E-FFAC16269D64}"/>
            </c:ext>
          </c:extLst>
        </c:ser>
        <c:ser>
          <c:idx val="1"/>
          <c:order val="1"/>
          <c:tx>
            <c:strRef>
              <c:f>Hoja4!$D$3</c:f>
              <c:strCache>
                <c:ptCount val="1"/>
                <c:pt idx="0">
                  <c:v>Industria</c:v>
                </c:pt>
              </c:strCache>
            </c:strRef>
          </c:tx>
          <c:spPr>
            <a:solidFill>
              <a:srgbClr val="FF0000"/>
            </a:solidFill>
            <a:ln>
              <a:noFill/>
            </a:ln>
            <a:effectLst/>
          </c:spPr>
          <c:invertIfNegative val="0"/>
          <c:cat>
            <c:numRef>
              <c:f>Hoja4!$B$4:$B$8</c:f>
              <c:numCache>
                <c:formatCode>General</c:formatCode>
                <c:ptCount val="5"/>
                <c:pt idx="0">
                  <c:v>2015</c:v>
                </c:pt>
                <c:pt idx="1">
                  <c:v>2016</c:v>
                </c:pt>
                <c:pt idx="2">
                  <c:v>2017</c:v>
                </c:pt>
                <c:pt idx="3">
                  <c:v>2018</c:v>
                </c:pt>
                <c:pt idx="4">
                  <c:v>2019</c:v>
                </c:pt>
              </c:numCache>
            </c:numRef>
          </c:cat>
          <c:val>
            <c:numRef>
              <c:f>Hoja4!$D$4:$D$8</c:f>
              <c:numCache>
                <c:formatCode>0.00%</c:formatCode>
                <c:ptCount val="5"/>
                <c:pt idx="0">
                  <c:v>0.1933</c:v>
                </c:pt>
                <c:pt idx="1">
                  <c:v>0.18529999999999999</c:v>
                </c:pt>
                <c:pt idx="2">
                  <c:v>0.17979999999999999</c:v>
                </c:pt>
                <c:pt idx="3">
                  <c:v>0.18340000000000001</c:v>
                </c:pt>
                <c:pt idx="4">
                  <c:v>0.18640000000000001</c:v>
                </c:pt>
              </c:numCache>
            </c:numRef>
          </c:val>
          <c:extLst>
            <c:ext xmlns:c16="http://schemas.microsoft.com/office/drawing/2014/chart" uri="{C3380CC4-5D6E-409C-BE32-E72D297353CC}">
              <c16:uniqueId val="{00000001-EFB0-4DEE-951E-FFAC16269D64}"/>
            </c:ext>
          </c:extLst>
        </c:ser>
        <c:ser>
          <c:idx val="2"/>
          <c:order val="2"/>
          <c:tx>
            <c:strRef>
              <c:f>Hoja4!$E$3</c:f>
              <c:strCache>
                <c:ptCount val="1"/>
                <c:pt idx="0">
                  <c:v>Servicios</c:v>
                </c:pt>
              </c:strCache>
            </c:strRef>
          </c:tx>
          <c:spPr>
            <a:solidFill>
              <a:srgbClr val="002060"/>
            </a:solidFill>
            <a:ln>
              <a:noFill/>
            </a:ln>
            <a:effectLst/>
          </c:spPr>
          <c:invertIfNegative val="0"/>
          <c:cat>
            <c:numRef>
              <c:f>Hoja4!$B$4:$B$8</c:f>
              <c:numCache>
                <c:formatCode>General</c:formatCode>
                <c:ptCount val="5"/>
                <c:pt idx="0">
                  <c:v>2015</c:v>
                </c:pt>
                <c:pt idx="1">
                  <c:v>2016</c:v>
                </c:pt>
                <c:pt idx="2">
                  <c:v>2017</c:v>
                </c:pt>
                <c:pt idx="3">
                  <c:v>2018</c:v>
                </c:pt>
                <c:pt idx="4">
                  <c:v>2019</c:v>
                </c:pt>
              </c:numCache>
            </c:numRef>
          </c:cat>
          <c:val>
            <c:numRef>
              <c:f>Hoja4!$E$4:$E$8</c:f>
              <c:numCache>
                <c:formatCode>0.00%</c:formatCode>
                <c:ptCount val="5"/>
                <c:pt idx="0">
                  <c:v>0.7581</c:v>
                </c:pt>
                <c:pt idx="1">
                  <c:v>0.76800000000000002</c:v>
                </c:pt>
                <c:pt idx="2">
                  <c:v>0.77510000000000001</c:v>
                </c:pt>
                <c:pt idx="3">
                  <c:v>0.77200000000000002</c:v>
                </c:pt>
                <c:pt idx="4">
                  <c:v>0.76890000000000003</c:v>
                </c:pt>
              </c:numCache>
            </c:numRef>
          </c:val>
          <c:extLst>
            <c:ext xmlns:c16="http://schemas.microsoft.com/office/drawing/2014/chart" uri="{C3380CC4-5D6E-409C-BE32-E72D297353CC}">
              <c16:uniqueId val="{00000002-EFB0-4DEE-951E-FFAC16269D64}"/>
            </c:ext>
          </c:extLst>
        </c:ser>
        <c:dLbls>
          <c:showLegendKey val="0"/>
          <c:showVal val="0"/>
          <c:showCatName val="0"/>
          <c:showSerName val="0"/>
          <c:showPercent val="0"/>
          <c:showBubbleSize val="0"/>
        </c:dLbls>
        <c:gapWidth val="150"/>
        <c:overlap val="100"/>
        <c:axId val="1138731248"/>
        <c:axId val="1138747888"/>
      </c:barChart>
      <c:catAx>
        <c:axId val="1138731248"/>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1138747888"/>
        <c:crosses val="autoZero"/>
        <c:auto val="1"/>
        <c:lblAlgn val="ctr"/>
        <c:lblOffset val="100"/>
        <c:noMultiLvlLbl val="0"/>
      </c:catAx>
      <c:valAx>
        <c:axId val="1138747888"/>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crossAx val="1138731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solidFill>
            <a:sysClr val="windowText" lastClr="000000"/>
          </a:solidFill>
          <a:latin typeface="Times New Roman" panose="02020603050405020304" pitchFamily="18" charset="0"/>
          <a:cs typeface="Times New Roman" panose="02020603050405020304" pitchFamily="18" charset="0"/>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'GDP 1960 - 2020'!$E$105:$E$109</c:f>
              <c:numCache>
                <c:formatCode>General</c:formatCode>
                <c:ptCount val="5"/>
                <c:pt idx="0">
                  <c:v>2015</c:v>
                </c:pt>
                <c:pt idx="1">
                  <c:v>2016</c:v>
                </c:pt>
                <c:pt idx="2">
                  <c:v>2017</c:v>
                </c:pt>
                <c:pt idx="3">
                  <c:v>2018</c:v>
                </c:pt>
                <c:pt idx="4">
                  <c:v>2019</c:v>
                </c:pt>
              </c:numCache>
            </c:numRef>
          </c:cat>
          <c:val>
            <c:numRef>
              <c:f>'GDP 1960 - 2020'!$F$105:$F$109</c:f>
              <c:numCache>
                <c:formatCode>#,##0</c:formatCode>
                <c:ptCount val="5"/>
                <c:pt idx="0">
                  <c:v>56848.51</c:v>
                </c:pt>
                <c:pt idx="1">
                  <c:v>57839.99</c:v>
                </c:pt>
                <c:pt idx="2">
                  <c:v>59885.71</c:v>
                </c:pt>
                <c:pt idx="3">
                  <c:v>62769.66</c:v>
                </c:pt>
                <c:pt idx="4">
                  <c:v>65051.88</c:v>
                </c:pt>
              </c:numCache>
            </c:numRef>
          </c:val>
          <c:extLst>
            <c:ext xmlns:c16="http://schemas.microsoft.com/office/drawing/2014/chart" uri="{C3380CC4-5D6E-409C-BE32-E72D297353CC}">
              <c16:uniqueId val="{00000000-1B98-4AE2-AF84-821707176C3A}"/>
            </c:ext>
          </c:extLst>
        </c:ser>
        <c:dLbls>
          <c:dLblPos val="outEnd"/>
          <c:showLegendKey val="0"/>
          <c:showVal val="1"/>
          <c:showCatName val="0"/>
          <c:showSerName val="0"/>
          <c:showPercent val="0"/>
          <c:showBubbleSize val="0"/>
        </c:dLbls>
        <c:gapWidth val="219"/>
        <c:overlap val="-27"/>
        <c:axId val="453299839"/>
        <c:axId val="453283199"/>
      </c:barChart>
      <c:catAx>
        <c:axId val="453299839"/>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MX"/>
          </a:p>
        </c:txPr>
        <c:crossAx val="453283199"/>
        <c:crosses val="autoZero"/>
        <c:auto val="1"/>
        <c:lblAlgn val="ctr"/>
        <c:lblOffset val="100"/>
        <c:noMultiLvlLbl val="0"/>
      </c:catAx>
      <c:valAx>
        <c:axId val="453283199"/>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MX"/>
          </a:p>
        </c:txPr>
        <c:crossAx val="4532998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Hoja5!$C$4</c:f>
              <c:strCache>
                <c:ptCount val="1"/>
                <c:pt idx="0">
                  <c:v>Agricultura</c:v>
                </c:pt>
              </c:strCache>
            </c:strRef>
          </c:tx>
          <c:spPr>
            <a:solidFill>
              <a:schemeClr val="accent1"/>
            </a:solidFill>
            <a:ln>
              <a:noFill/>
            </a:ln>
            <a:effectLst/>
          </c:spPr>
          <c:invertIfNegative val="0"/>
          <c:cat>
            <c:numRef>
              <c:f>Hoja5!$B$5:$B$9</c:f>
              <c:numCache>
                <c:formatCode>General</c:formatCode>
                <c:ptCount val="5"/>
                <c:pt idx="0">
                  <c:v>2015</c:v>
                </c:pt>
                <c:pt idx="1">
                  <c:v>2016</c:v>
                </c:pt>
                <c:pt idx="2">
                  <c:v>2017</c:v>
                </c:pt>
                <c:pt idx="3">
                  <c:v>2018</c:v>
                </c:pt>
                <c:pt idx="4">
                  <c:v>2019</c:v>
                </c:pt>
              </c:numCache>
            </c:numRef>
          </c:cat>
          <c:val>
            <c:numRef>
              <c:f>Hoja5!$C$5:$C$9</c:f>
              <c:numCache>
                <c:formatCode>0.00%</c:formatCode>
                <c:ptCount val="5"/>
                <c:pt idx="0">
                  <c:v>1.44E-2</c:v>
                </c:pt>
                <c:pt idx="1">
                  <c:v>1.43E-2</c:v>
                </c:pt>
                <c:pt idx="2">
                  <c:v>1.43E-2</c:v>
                </c:pt>
                <c:pt idx="3">
                  <c:v>1.37E-2</c:v>
                </c:pt>
                <c:pt idx="4">
                  <c:v>1.3599999999999999E-2</c:v>
                </c:pt>
              </c:numCache>
            </c:numRef>
          </c:val>
          <c:extLst>
            <c:ext xmlns:c16="http://schemas.microsoft.com/office/drawing/2014/chart" uri="{C3380CC4-5D6E-409C-BE32-E72D297353CC}">
              <c16:uniqueId val="{00000000-C68D-44BF-9DDB-EBCE2F52A395}"/>
            </c:ext>
          </c:extLst>
        </c:ser>
        <c:ser>
          <c:idx val="1"/>
          <c:order val="1"/>
          <c:tx>
            <c:strRef>
              <c:f>Hoja5!$D$4</c:f>
              <c:strCache>
                <c:ptCount val="1"/>
                <c:pt idx="0">
                  <c:v>Industria</c:v>
                </c:pt>
              </c:strCache>
            </c:strRef>
          </c:tx>
          <c:spPr>
            <a:solidFill>
              <a:srgbClr val="FF0000"/>
            </a:solidFill>
            <a:ln>
              <a:noFill/>
            </a:ln>
            <a:effectLst/>
          </c:spPr>
          <c:invertIfNegative val="0"/>
          <c:cat>
            <c:numRef>
              <c:f>Hoja5!$B$5:$B$9</c:f>
              <c:numCache>
                <c:formatCode>General</c:formatCode>
                <c:ptCount val="5"/>
                <c:pt idx="0">
                  <c:v>2015</c:v>
                </c:pt>
                <c:pt idx="1">
                  <c:v>2016</c:v>
                </c:pt>
                <c:pt idx="2">
                  <c:v>2017</c:v>
                </c:pt>
                <c:pt idx="3">
                  <c:v>2018</c:v>
                </c:pt>
                <c:pt idx="4">
                  <c:v>2019</c:v>
                </c:pt>
              </c:numCache>
            </c:numRef>
          </c:cat>
          <c:val>
            <c:numRef>
              <c:f>Hoja5!$D$5:$D$9</c:f>
              <c:numCache>
                <c:formatCode>0.00%</c:formatCode>
                <c:ptCount val="5"/>
                <c:pt idx="0">
                  <c:v>0.1986</c:v>
                </c:pt>
                <c:pt idx="1">
                  <c:v>0.1978</c:v>
                </c:pt>
                <c:pt idx="2">
                  <c:v>0.1973</c:v>
                </c:pt>
                <c:pt idx="3">
                  <c:v>0.19869999999999999</c:v>
                </c:pt>
                <c:pt idx="4">
                  <c:v>0.1991</c:v>
                </c:pt>
              </c:numCache>
            </c:numRef>
          </c:val>
          <c:extLst>
            <c:ext xmlns:c16="http://schemas.microsoft.com/office/drawing/2014/chart" uri="{C3380CC4-5D6E-409C-BE32-E72D297353CC}">
              <c16:uniqueId val="{00000001-C68D-44BF-9DDB-EBCE2F52A395}"/>
            </c:ext>
          </c:extLst>
        </c:ser>
        <c:ser>
          <c:idx val="2"/>
          <c:order val="2"/>
          <c:tx>
            <c:strRef>
              <c:f>Hoja5!$E$4</c:f>
              <c:strCache>
                <c:ptCount val="1"/>
                <c:pt idx="0">
                  <c:v>Servicio</c:v>
                </c:pt>
              </c:strCache>
            </c:strRef>
          </c:tx>
          <c:spPr>
            <a:solidFill>
              <a:srgbClr val="002060"/>
            </a:solidFill>
            <a:ln>
              <a:noFill/>
            </a:ln>
            <a:effectLst/>
          </c:spPr>
          <c:invertIfNegative val="0"/>
          <c:cat>
            <c:numRef>
              <c:f>Hoja5!$B$5:$B$9</c:f>
              <c:numCache>
                <c:formatCode>General</c:formatCode>
                <c:ptCount val="5"/>
                <c:pt idx="0">
                  <c:v>2015</c:v>
                </c:pt>
                <c:pt idx="1">
                  <c:v>2016</c:v>
                </c:pt>
                <c:pt idx="2">
                  <c:v>2017</c:v>
                </c:pt>
                <c:pt idx="3">
                  <c:v>2018</c:v>
                </c:pt>
                <c:pt idx="4">
                  <c:v>2019</c:v>
                </c:pt>
              </c:numCache>
            </c:numRef>
          </c:cat>
          <c:val>
            <c:numRef>
              <c:f>Hoja5!$E$5:$E$9</c:f>
              <c:numCache>
                <c:formatCode>0.00%</c:formatCode>
                <c:ptCount val="5"/>
                <c:pt idx="0">
                  <c:v>0.78700000000000003</c:v>
                </c:pt>
                <c:pt idx="1">
                  <c:v>0.78790000000000004</c:v>
                </c:pt>
                <c:pt idx="2">
                  <c:v>0.78849999999999998</c:v>
                </c:pt>
                <c:pt idx="3">
                  <c:v>0.78759999999999997</c:v>
                </c:pt>
                <c:pt idx="4">
                  <c:v>0.78739999999999999</c:v>
                </c:pt>
              </c:numCache>
            </c:numRef>
          </c:val>
          <c:extLst>
            <c:ext xmlns:c16="http://schemas.microsoft.com/office/drawing/2014/chart" uri="{C3380CC4-5D6E-409C-BE32-E72D297353CC}">
              <c16:uniqueId val="{00000002-C68D-44BF-9DDB-EBCE2F52A395}"/>
            </c:ext>
          </c:extLst>
        </c:ser>
        <c:dLbls>
          <c:showLegendKey val="0"/>
          <c:showVal val="0"/>
          <c:showCatName val="0"/>
          <c:showSerName val="0"/>
          <c:showPercent val="0"/>
          <c:showBubbleSize val="0"/>
        </c:dLbls>
        <c:gapWidth val="150"/>
        <c:overlap val="100"/>
        <c:axId val="1138737488"/>
        <c:axId val="1138742896"/>
      </c:barChart>
      <c:catAx>
        <c:axId val="1138737488"/>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crossAx val="1138742896"/>
        <c:crosses val="autoZero"/>
        <c:auto val="1"/>
        <c:lblAlgn val="ctr"/>
        <c:lblOffset val="100"/>
        <c:noMultiLvlLbl val="0"/>
      </c:catAx>
      <c:valAx>
        <c:axId val="1138742896"/>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crossAx val="1138737488"/>
        <c:crosses val="autoZero"/>
        <c:crossBetween val="between"/>
      </c:valAx>
      <c:spPr>
        <a:noFill/>
        <a:ln>
          <a:noFill/>
        </a:ln>
        <a:effectLst/>
      </c:spPr>
    </c:plotArea>
    <c:legend>
      <c:legendPos val="b"/>
      <c:layout>
        <c:manualLayout>
          <c:xMode val="edge"/>
          <c:yMode val="edge"/>
          <c:x val="0.29601917145621215"/>
          <c:y val="0.90338108338867285"/>
          <c:w val="0.36334141907677059"/>
          <c:h val="6.8129209752395406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2060"/>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Hoja6!$B$3:$B$7</c:f>
              <c:numCache>
                <c:formatCode>General</c:formatCode>
                <c:ptCount val="5"/>
                <c:pt idx="0">
                  <c:v>2015</c:v>
                </c:pt>
                <c:pt idx="1">
                  <c:v>2016</c:v>
                </c:pt>
                <c:pt idx="2">
                  <c:v>2017</c:v>
                </c:pt>
                <c:pt idx="3">
                  <c:v>2018</c:v>
                </c:pt>
                <c:pt idx="4">
                  <c:v>2019</c:v>
                </c:pt>
              </c:numCache>
            </c:numRef>
          </c:cat>
          <c:val>
            <c:numRef>
              <c:f>Hoja6!$C$3:$C$7</c:f>
              <c:numCache>
                <c:formatCode>General</c:formatCode>
                <c:ptCount val="5"/>
                <c:pt idx="0">
                  <c:v>148.85</c:v>
                </c:pt>
                <c:pt idx="1">
                  <c:v>151.44</c:v>
                </c:pt>
                <c:pt idx="2">
                  <c:v>153.34</c:v>
                </c:pt>
                <c:pt idx="3">
                  <c:v>155.76</c:v>
                </c:pt>
                <c:pt idx="4">
                  <c:v>157.54</c:v>
                </c:pt>
              </c:numCache>
            </c:numRef>
          </c:val>
          <c:extLst>
            <c:ext xmlns:c16="http://schemas.microsoft.com/office/drawing/2014/chart" uri="{C3380CC4-5D6E-409C-BE32-E72D297353CC}">
              <c16:uniqueId val="{00000000-D203-48ED-A5C9-B7E9FBD651A5}"/>
            </c:ext>
          </c:extLst>
        </c:ser>
        <c:dLbls>
          <c:dLblPos val="outEnd"/>
          <c:showLegendKey val="0"/>
          <c:showVal val="1"/>
          <c:showCatName val="0"/>
          <c:showSerName val="0"/>
          <c:showPercent val="0"/>
          <c:showBubbleSize val="0"/>
        </c:dLbls>
        <c:gapWidth val="219"/>
        <c:overlap val="-27"/>
        <c:axId val="1138793232"/>
        <c:axId val="1138794480"/>
      </c:barChart>
      <c:catAx>
        <c:axId val="1138793232"/>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crossAx val="1138794480"/>
        <c:crosses val="autoZero"/>
        <c:auto val="1"/>
        <c:lblAlgn val="ctr"/>
        <c:lblOffset val="100"/>
        <c:noMultiLvlLbl val="0"/>
      </c:catAx>
      <c:valAx>
        <c:axId val="11387944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crossAx val="113879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Times New Roman" panose="02020603050405020304" pitchFamily="18" charset="0"/>
          <a:cs typeface="Times New Roman" panose="02020603050405020304" pitchFamily="18" charset="0"/>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rgbClr val="002060"/>
              </a:solidFill>
              <a:round/>
            </a:ln>
            <a:effectLst/>
          </c:spPr>
          <c:marker>
            <c:symbol val="circle"/>
            <c:size val="5"/>
            <c:spPr>
              <a:solidFill>
                <a:schemeClr val="bg1"/>
              </a:solidFill>
              <a:ln w="9525">
                <a:solidFill>
                  <a:schemeClr val="accent1"/>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73F6-4528-A36F-478FEF51D880}"/>
                </c:ext>
              </c:extLst>
            </c:dLbl>
            <c:dLbl>
              <c:idx val="1"/>
              <c:delete val="1"/>
              <c:extLst>
                <c:ext xmlns:c15="http://schemas.microsoft.com/office/drawing/2012/chart" uri="{CE6537A1-D6FC-4f65-9D91-7224C49458BB}"/>
                <c:ext xmlns:c16="http://schemas.microsoft.com/office/drawing/2014/chart" uri="{C3380CC4-5D6E-409C-BE32-E72D297353CC}">
                  <c16:uniqueId val="{00000001-73F6-4528-A36F-478FEF51D880}"/>
                </c:ext>
              </c:extLst>
            </c:dLbl>
            <c:dLbl>
              <c:idx val="2"/>
              <c:delete val="1"/>
              <c:extLst>
                <c:ext xmlns:c15="http://schemas.microsoft.com/office/drawing/2012/chart" uri="{CE6537A1-D6FC-4f65-9D91-7224C49458BB}"/>
                <c:ext xmlns:c16="http://schemas.microsoft.com/office/drawing/2014/chart" uri="{C3380CC4-5D6E-409C-BE32-E72D297353CC}">
                  <c16:uniqueId val="{00000002-73F6-4528-A36F-478FEF51D880}"/>
                </c:ext>
              </c:extLst>
            </c:dLbl>
            <c:dLbl>
              <c:idx val="3"/>
              <c:delete val="1"/>
              <c:extLst>
                <c:ext xmlns:c15="http://schemas.microsoft.com/office/drawing/2012/chart" uri="{CE6537A1-D6FC-4f65-9D91-7224C49458BB}"/>
                <c:ext xmlns:c16="http://schemas.microsoft.com/office/drawing/2014/chart" uri="{C3380CC4-5D6E-409C-BE32-E72D297353CC}">
                  <c16:uniqueId val="{00000003-73F6-4528-A36F-478FEF51D880}"/>
                </c:ext>
              </c:extLst>
            </c:dLbl>
            <c:dLbl>
              <c:idx val="4"/>
              <c:delete val="1"/>
              <c:extLst>
                <c:ext xmlns:c15="http://schemas.microsoft.com/office/drawing/2012/chart" uri="{CE6537A1-D6FC-4f65-9D91-7224C49458BB}"/>
                <c:ext xmlns:c16="http://schemas.microsoft.com/office/drawing/2014/chart" uri="{C3380CC4-5D6E-409C-BE32-E72D297353CC}">
                  <c16:uniqueId val="{00000004-73F6-4528-A36F-478FEF51D880}"/>
                </c:ext>
              </c:extLst>
            </c:dLbl>
            <c:dLbl>
              <c:idx val="5"/>
              <c:delete val="1"/>
              <c:extLst>
                <c:ext xmlns:c15="http://schemas.microsoft.com/office/drawing/2012/chart" uri="{CE6537A1-D6FC-4f65-9D91-7224C49458BB}"/>
                <c:ext xmlns:c16="http://schemas.microsoft.com/office/drawing/2014/chart" uri="{C3380CC4-5D6E-409C-BE32-E72D297353CC}">
                  <c16:uniqueId val="{00000005-73F6-4528-A36F-478FEF51D880}"/>
                </c:ext>
              </c:extLst>
            </c:dLbl>
            <c:dLbl>
              <c:idx val="6"/>
              <c:delete val="1"/>
              <c:extLst>
                <c:ext xmlns:c15="http://schemas.microsoft.com/office/drawing/2012/chart" uri="{CE6537A1-D6FC-4f65-9D91-7224C49458BB}"/>
                <c:ext xmlns:c16="http://schemas.microsoft.com/office/drawing/2014/chart" uri="{C3380CC4-5D6E-409C-BE32-E72D297353CC}">
                  <c16:uniqueId val="{00000006-73F6-4528-A36F-478FEF51D880}"/>
                </c:ext>
              </c:extLst>
            </c:dLbl>
            <c:dLbl>
              <c:idx val="7"/>
              <c:delete val="1"/>
              <c:extLst>
                <c:ext xmlns:c15="http://schemas.microsoft.com/office/drawing/2012/chart" uri="{CE6537A1-D6FC-4f65-9D91-7224C49458BB}"/>
                <c:ext xmlns:c16="http://schemas.microsoft.com/office/drawing/2014/chart" uri="{C3380CC4-5D6E-409C-BE32-E72D297353CC}">
                  <c16:uniqueId val="{00000007-73F6-4528-A36F-478FEF51D88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Hoja7!$B$9:$B$21</c:f>
              <c:numCache>
                <c:formatCode>General</c:formatCode>
                <c:ptCount val="13"/>
                <c:pt idx="0">
                  <c:v>2007</c:v>
                </c:pt>
                <c:pt idx="1">
                  <c:v>2008</c:v>
                </c:pt>
                <c:pt idx="2">
                  <c:v>2009</c:v>
                </c:pt>
                <c:pt idx="3">
                  <c:v>2010</c:v>
                </c:pt>
                <c:pt idx="4">
                  <c:v>2011</c:v>
                </c:pt>
                <c:pt idx="5">
                  <c:v>2012</c:v>
                </c:pt>
                <c:pt idx="6">
                  <c:v>2013</c:v>
                </c:pt>
                <c:pt idx="7">
                  <c:v>2014</c:v>
                </c:pt>
                <c:pt idx="8">
                  <c:v>2015</c:v>
                </c:pt>
                <c:pt idx="9">
                  <c:v>2016</c:v>
                </c:pt>
                <c:pt idx="10">
                  <c:v>2017</c:v>
                </c:pt>
                <c:pt idx="11">
                  <c:v>2018</c:v>
                </c:pt>
                <c:pt idx="12">
                  <c:v>2019</c:v>
                </c:pt>
              </c:numCache>
              <c:extLst/>
            </c:numRef>
          </c:cat>
          <c:val>
            <c:numRef>
              <c:f>Hoja7!$C$9:$C$21</c:f>
              <c:numCache>
                <c:formatCode>0.00%</c:formatCode>
                <c:ptCount val="13"/>
                <c:pt idx="0">
                  <c:v>4.6199999999999998E-2</c:v>
                </c:pt>
                <c:pt idx="1">
                  <c:v>5.7799999999999997E-2</c:v>
                </c:pt>
                <c:pt idx="2">
                  <c:v>9.2499999999999999E-2</c:v>
                </c:pt>
                <c:pt idx="3">
                  <c:v>9.6299999999999997E-2</c:v>
                </c:pt>
                <c:pt idx="4">
                  <c:v>8.9499999999999996E-2</c:v>
                </c:pt>
                <c:pt idx="5">
                  <c:v>8.0699999999999994E-2</c:v>
                </c:pt>
                <c:pt idx="6">
                  <c:v>7.3800000000000004E-2</c:v>
                </c:pt>
                <c:pt idx="7">
                  <c:v>6.1699999999999998E-2</c:v>
                </c:pt>
                <c:pt idx="8">
                  <c:v>5.28E-2</c:v>
                </c:pt>
                <c:pt idx="9">
                  <c:v>4.87E-2</c:v>
                </c:pt>
                <c:pt idx="10">
                  <c:v>4.36E-2</c:v>
                </c:pt>
                <c:pt idx="11">
                  <c:v>3.9E-2</c:v>
                </c:pt>
                <c:pt idx="12">
                  <c:v>3.6700000000000003E-2</c:v>
                </c:pt>
              </c:numCache>
              <c:extLst/>
            </c:numRef>
          </c:val>
          <c:smooth val="1"/>
          <c:extLst>
            <c:ext xmlns:c16="http://schemas.microsoft.com/office/drawing/2014/chart" uri="{C3380CC4-5D6E-409C-BE32-E72D297353CC}">
              <c16:uniqueId val="{00000008-73F6-4528-A36F-478FEF51D880}"/>
            </c:ext>
          </c:extLst>
        </c:ser>
        <c:dLbls>
          <c:showLegendKey val="0"/>
          <c:showVal val="0"/>
          <c:showCatName val="0"/>
          <c:showSerName val="0"/>
          <c:showPercent val="0"/>
          <c:showBubbleSize val="0"/>
        </c:dLbls>
        <c:marker val="1"/>
        <c:smooth val="0"/>
        <c:axId val="1180424448"/>
        <c:axId val="1180424032"/>
      </c:lineChart>
      <c:catAx>
        <c:axId val="1180424448"/>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crossAx val="1180424032"/>
        <c:crosses val="autoZero"/>
        <c:auto val="1"/>
        <c:lblAlgn val="ctr"/>
        <c:lblOffset val="100"/>
        <c:noMultiLvlLbl val="0"/>
      </c:catAx>
      <c:valAx>
        <c:axId val="118042403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s-MX"/>
          </a:p>
        </c:txPr>
        <c:crossAx val="1180424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Times New Roman" panose="02020603050405020304" pitchFamily="18" charset="0"/>
          <a:cs typeface="Times New Roman" panose="02020603050405020304" pitchFamily="18" charset="0"/>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Población de EEUU (en millones)</c:v>
          </c:tx>
          <c:spPr>
            <a:solidFill>
              <a:srgbClr val="002060"/>
            </a:solidFill>
            <a:ln w="25400">
              <a:noFill/>
            </a:ln>
          </c:spPr>
          <c:invertIfNegative val="0"/>
          <c:dLbls>
            <c:spPr>
              <a:noFill/>
              <a:ln w="25400">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spPr>
              <a:ln w="19050" cap="rnd">
                <a:solidFill>
                  <a:schemeClr val="accent1"/>
                </a:solidFill>
                <a:prstDash val="sysDot"/>
              </a:ln>
              <a:effectLst/>
            </c:spPr>
            <c:trendlineType val="linear"/>
            <c:dispRSqr val="0"/>
            <c:dispEq val="0"/>
          </c:trendline>
          <c:cat>
            <c:numRef>
              <c:f>Data!$BO$255:$BS$255</c:f>
              <c:numCache>
                <c:formatCode>General</c:formatCode>
                <c:ptCount val="5"/>
                <c:pt idx="0">
                  <c:v>2015</c:v>
                </c:pt>
                <c:pt idx="1">
                  <c:v>2016</c:v>
                </c:pt>
                <c:pt idx="2">
                  <c:v>2017</c:v>
                </c:pt>
                <c:pt idx="3">
                  <c:v>2018</c:v>
                </c:pt>
                <c:pt idx="4">
                  <c:v>2019</c:v>
                </c:pt>
              </c:numCache>
            </c:numRef>
          </c:cat>
          <c:val>
            <c:numRef>
              <c:f>Data!$BO$256:$BS$256</c:f>
              <c:numCache>
                <c:formatCode>0.00</c:formatCode>
                <c:ptCount val="5"/>
                <c:pt idx="0">
                  <c:v>320.73899399999999</c:v>
                </c:pt>
                <c:pt idx="1">
                  <c:v>323.071755</c:v>
                </c:pt>
                <c:pt idx="2">
                  <c:v>325.12212799999998</c:v>
                </c:pt>
                <c:pt idx="3">
                  <c:v>326.83819899999997</c:v>
                </c:pt>
                <c:pt idx="4">
                  <c:v>328.32995299999999</c:v>
                </c:pt>
              </c:numCache>
            </c:numRef>
          </c:val>
          <c:extLst>
            <c:ext xmlns:c16="http://schemas.microsoft.com/office/drawing/2014/chart" uri="{C3380CC4-5D6E-409C-BE32-E72D297353CC}">
              <c16:uniqueId val="{00000001-0A61-4F03-9958-D1503D3429A7}"/>
            </c:ext>
          </c:extLst>
        </c:ser>
        <c:dLbls>
          <c:showLegendKey val="0"/>
          <c:showVal val="0"/>
          <c:showCatName val="0"/>
          <c:showSerName val="0"/>
          <c:showPercent val="0"/>
          <c:showBubbleSize val="0"/>
        </c:dLbls>
        <c:gapWidth val="219"/>
        <c:overlap val="-27"/>
        <c:axId val="1699578064"/>
        <c:axId val="1"/>
      </c:barChart>
      <c:catAx>
        <c:axId val="169957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Años</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
        <c:crosses val="autoZero"/>
        <c:auto val="1"/>
        <c:lblAlgn val="ctr"/>
        <c:lblOffset val="100"/>
        <c:noMultiLvlLbl val="0"/>
      </c:catAx>
      <c:valAx>
        <c:axId val="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Habitantes</a:t>
                </a:r>
                <a:r>
                  <a:rPr lang="en-GB" baseline="0"/>
                  <a:t> en millones</a:t>
                </a:r>
                <a:endParaRPr lang="en-GB"/>
              </a:p>
            </c:rich>
          </c:tx>
          <c:overlay val="0"/>
          <c:spPr>
            <a:noFill/>
            <a:ln w="25400">
              <a:noFill/>
            </a:ln>
          </c:spPr>
        </c:title>
        <c:numFmt formatCode="0.00"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699578064"/>
        <c:crosses val="autoZero"/>
        <c:crossBetween val="between"/>
      </c:valAx>
      <c:spPr>
        <a:noFill/>
        <a:ln w="25400">
          <a:noFill/>
        </a:ln>
      </c:spPr>
    </c:plotArea>
    <c:legend>
      <c:legendPos val="b"/>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Crecimiento poblacional</c:v>
          </c:tx>
          <c:spPr>
            <a:solidFill>
              <a:srgbClr val="002060"/>
            </a:solidFill>
            <a:ln w="25400">
              <a:noFill/>
            </a:ln>
          </c:spPr>
          <c:invertIfNegative val="0"/>
          <c:dLbls>
            <c:spPr>
              <a:noFill/>
              <a:ln w="25400">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spPr>
              <a:ln w="19050" cap="rnd">
                <a:solidFill>
                  <a:schemeClr val="accent1"/>
                </a:solidFill>
                <a:prstDash val="sysDot"/>
              </a:ln>
              <a:effectLst/>
            </c:spPr>
            <c:trendlineType val="linear"/>
            <c:dispRSqr val="0"/>
            <c:dispEq val="0"/>
          </c:trendline>
          <c:cat>
            <c:numRef>
              <c:f>Data!$BO$259:$BS$259</c:f>
              <c:numCache>
                <c:formatCode>General</c:formatCode>
                <c:ptCount val="5"/>
                <c:pt idx="0">
                  <c:v>2015</c:v>
                </c:pt>
                <c:pt idx="1">
                  <c:v>2016</c:v>
                </c:pt>
                <c:pt idx="2">
                  <c:v>2017</c:v>
                </c:pt>
                <c:pt idx="3">
                  <c:v>2018</c:v>
                </c:pt>
                <c:pt idx="4">
                  <c:v>2019</c:v>
                </c:pt>
              </c:numCache>
            </c:numRef>
          </c:cat>
          <c:val>
            <c:numRef>
              <c:f>Data!$BO$260:$BS$260</c:f>
              <c:numCache>
                <c:formatCode>0.00%</c:formatCode>
                <c:ptCount val="5"/>
                <c:pt idx="0">
                  <c:v>7.4000000000000003E-3</c:v>
                </c:pt>
                <c:pt idx="1">
                  <c:v>7.1999999999999998E-3</c:v>
                </c:pt>
                <c:pt idx="2">
                  <c:v>6.3E-3</c:v>
                </c:pt>
                <c:pt idx="3">
                  <c:v>5.3E-3</c:v>
                </c:pt>
                <c:pt idx="4">
                  <c:v>4.5999999999999999E-3</c:v>
                </c:pt>
              </c:numCache>
            </c:numRef>
          </c:val>
          <c:extLst>
            <c:ext xmlns:c16="http://schemas.microsoft.com/office/drawing/2014/chart" uri="{C3380CC4-5D6E-409C-BE32-E72D297353CC}">
              <c16:uniqueId val="{00000001-F134-45D0-8577-F7B295DFAEFF}"/>
            </c:ext>
          </c:extLst>
        </c:ser>
        <c:dLbls>
          <c:showLegendKey val="0"/>
          <c:showVal val="0"/>
          <c:showCatName val="0"/>
          <c:showSerName val="0"/>
          <c:showPercent val="0"/>
          <c:showBubbleSize val="0"/>
        </c:dLbls>
        <c:gapWidth val="219"/>
        <c:overlap val="-27"/>
        <c:axId val="1815704448"/>
        <c:axId val="1"/>
      </c:barChart>
      <c:catAx>
        <c:axId val="1815704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Años</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
        <c:crosses val="autoZero"/>
        <c:auto val="1"/>
        <c:lblAlgn val="ctr"/>
        <c:lblOffset val="100"/>
        <c:noMultiLvlLbl val="0"/>
      </c:catAx>
      <c:valAx>
        <c:axId val="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Tasa de crecimiento</a:t>
                </a:r>
                <a:r>
                  <a:rPr lang="en-GB" baseline="0"/>
                  <a:t> poblacional </a:t>
                </a:r>
                <a:endParaRPr lang="en-GB"/>
              </a:p>
            </c:rich>
          </c:tx>
          <c:overlay val="0"/>
          <c:spPr>
            <a:noFill/>
            <a:ln w="25400">
              <a:noFill/>
            </a:ln>
          </c:spPr>
        </c:title>
        <c:numFmt formatCode="0.00%"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815704448"/>
        <c:crosses val="autoZero"/>
        <c:crossBetween val="between"/>
      </c:valAx>
      <c:spPr>
        <a:noFill/>
        <a:ln w="25400">
          <a:noFill/>
        </a:ln>
      </c:spPr>
    </c:plotArea>
    <c:legend>
      <c:legendPos val="b"/>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withinLinearReversed" id="21">
  <a:schemeClr val="accent1"/>
</cs:colorStyle>
</file>

<file path=word/charts/colors11.xml><?xml version="1.0" encoding="utf-8"?>
<cs:colorStyle xmlns:cs="http://schemas.microsoft.com/office/drawing/2012/chartStyle" xmlns:a="http://schemas.openxmlformats.org/drawingml/2006/main" meth="withinLinearReversed" id="21">
  <a:schemeClr val="accent1"/>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Reversed" id="21">
  <a:schemeClr val="accent1"/>
</cs:colorStyle>
</file>

<file path=word/charts/colors9.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0.14057</cdr:x>
      <cdr:y>0.0536</cdr:y>
    </cdr:from>
    <cdr:to>
      <cdr:x>0.83808</cdr:x>
      <cdr:y>0.51076</cdr:y>
    </cdr:to>
    <cdr:cxnSp macro="">
      <cdr:nvCxnSpPr>
        <cdr:cNvPr id="2" name="Conector recto 1"/>
        <cdr:cNvCxnSpPr/>
      </cdr:nvCxnSpPr>
      <cdr:spPr>
        <a:xfrm xmlns:a="http://schemas.openxmlformats.org/drawingml/2006/main" flipV="1">
          <a:off x="752475" y="154940"/>
          <a:ext cx="3733800" cy="1321435"/>
        </a:xfrm>
        <a:prstGeom xmlns:a="http://schemas.openxmlformats.org/drawingml/2006/main" prst="line">
          <a:avLst/>
        </a:prstGeom>
        <a:ln xmlns:a="http://schemas.openxmlformats.org/drawingml/2006/main" w="9525" cap="flat" cmpd="sng" algn="ctr">
          <a:solidFill>
            <a:schemeClr val="tx1">
              <a:lumMod val="95000"/>
              <a:lumOff val="5000"/>
            </a:schemeClr>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Các18</b:Tag>
    <b:SourceType>Book</b:SourceType>
    <b:Guid>{F773F81A-D5FC-4639-A752-09363F9327C1}</b:Guid>
    <b:Title>El desarrollo rural establecido en las áreas Vulnerables</b:Title>
    <b:Year>2018</b:Year>
    <b:City>Lima</b:City>
    <b:Publisher>Colección Racso</b:Publisher>
    <b:Author>
      <b:Author>
        <b:NameList>
          <b:Person>
            <b:Last>Dirven </b:Last>
            <b:Middle>Beto</b:Middle>
            <b:First>Blass</b:First>
          </b:Person>
          <b:Person>
            <b:Last>Pérez</b:Last>
            <b:First>Ronal</b:First>
          </b:Person>
          <b:Person>
            <b:Last>Cáceres</b:Last>
            <b:Middle>Juan</b:Middle>
            <b:First>Royer</b:First>
          </b:Person>
          <b:Person>
            <b:Last>Tito</b:Last>
            <b:Middle>Tanio</b:Middle>
            <b:First>Alfredo</b:First>
          </b:Person>
          <b:Person>
            <b:Last>Gómez </b:Last>
            <b:Middle>Kiara</b:Middle>
            <b:First>Rocío</b:First>
          </b:Person>
          <b:Person>
            <b:Last>Ticona</b:Last>
            <b:First>Arthur</b:First>
          </b:Person>
        </b:NameList>
      </b:Author>
    </b:Author>
    <b:RefOrder>1</b:RefOrder>
  </b:Source>
  <b:Source>
    <b:Tag>Tov86</b:Tag>
    <b:SourceType>Book</b:SourceType>
    <b:Guid>{38A27886-0309-42B2-8184-99BC0ED9B795}</b:Guid>
    <b:Title>El asentamiento y la segregación de los Blancos y Mestizos</b:Title>
    <b:Year>1986</b:Year>
    <b:City>Bogotá</b:City>
    <b:Publisher>Cengage</b:Publisher>
    <b:Author>
      <b:Author>
        <b:NameList>
          <b:Person>
            <b:Last>Tovar</b:Last>
            <b:Middle>Luis</b:Middle>
            <b:First>Genner</b:First>
          </b:Person>
        </b:NameList>
      </b:Author>
    </b:Author>
    <b:RefOrder>2</b:RefOrder>
  </b:Source>
  <b:Source>
    <b:Tag>Agh09</b:Tag>
    <b:SourceType>JournalArticle</b:SourceType>
    <b:Guid>{91099F3A-1415-49C1-BB74-55D77240DAA7}</b:Guid>
    <b:Title>The causal impact of education on economic growth: evidence from US</b:Title>
    <b:JournalName>Brookings papers on economic activity</b:JournalName>
    <b:Year>2009</b:Year>
    <b:Pages>1-73</b:Pages>
    <b:Author>
      <b:Author>
        <b:NameList>
          <b:Person>
            <b:Last>Aghion</b:Last>
            <b:First>P.</b:First>
          </b:Person>
          <b:Person>
            <b:Last>Boustan</b:Last>
            <b:First>L.</b:First>
          </b:Person>
          <b:Person>
            <b:Last>Hoxby</b:Last>
            <b:First>C.</b:First>
          </b:Person>
          <b:Person>
            <b:Last>Vandenbussche</b:Last>
            <b:First>J.</b:First>
          </b:Person>
        </b:NameList>
      </b:Author>
    </b:Author>
    <b:Volume>1</b:Volume>
    <b:Issue>1</b:Issue>
    <b:RefOrder>3</b:RefOrder>
  </b:Source>
  <b:Source>
    <b:Tag>Han21</b:Tag>
    <b:SourceType>ArticleInAPeriodical</b:SourceType>
    <b:Guid>{776ADB4B-EAC8-4553-9214-A61117B735B1}</b:Guid>
    <b:Title>Estadísticas de gasto en educación pública de EE. UU.</b:Title>
    <b:Year>2021</b:Year>
    <b:Author>
      <b:Author>
        <b:NameList>
          <b:Person>
            <b:Last>Hanson</b:Last>
            <b:First>Melanie</b:First>
          </b:Person>
        </b:NameList>
      </b:Author>
    </b:Author>
    <b:PeriodicalTitle>EducationData.org</b:PeriodicalTitle>
    <b:Month>agosto</b:Month>
    <b:Day>2</b:Day>
    <b:URL>https://educationdata.org/public-education-spending-statistics</b:URL>
    <b:RefOrder>4</b:RefOrder>
  </b:Source>
  <b:Source>
    <b:Tag>Ber96</b:Tag>
    <b:SourceType>JournalArticle</b:SourceType>
    <b:Guid>{F1DC2135-D70D-4232-9AD9-2A4EF22C5A74}</b:Guid>
    <b:Author>
      <b:Author>
        <b:NameList>
          <b:Person>
            <b:Last>Berntein</b:Last>
            <b:First>I</b:First>
          </b:Person>
        </b:NameList>
      </b:Author>
    </b:Author>
    <b:Title>Armas de matequilla</b:Title>
    <b:Year>1996</b:Year>
    <b:JournalName>La presedencia de Lyndon Johnson.</b:JournalName>
    <b:City>Estados Unidos</b:City>
    <b:Publisher>Universidad de Oxford</b:Publisher>
    <b:RefOrder>5</b:RefOrder>
  </b:Source>
  <b:Source>
    <b:Tag>Ser97</b:Tag>
    <b:SourceType>JournalArticle</b:SourceType>
    <b:Guid>{30C735EC-C010-41AB-B62D-D110CC99380A}</b:Guid>
    <b:Author>
      <b:Author>
        <b:NameList>
          <b:Person>
            <b:Last>Serrano</b:Last>
            <b:First>J.</b:First>
          </b:Person>
        </b:NameList>
      </b:Author>
    </b:Author>
    <b:Title>Llegada de inmigrantes a Estados Unidos</b:Title>
    <b:Year>1997</b:Year>
    <b:RefOrder>6</b:RefOrder>
  </b:Source>
  <b:Source>
    <b:Tag>Psa85</b:Tag>
    <b:SourceType>JournalArticle</b:SourceType>
    <b:Guid>{FF0B8F48-EDEE-483C-9517-4574295D7F1E}</b:Guid>
    <b:Author>
      <b:Author>
        <b:NameList>
          <b:Person>
            <b:Last>Psacharopoulos</b:Last>
          </b:Person>
        </b:NameList>
      </b:Author>
    </b:Author>
    <b:Title>Educación para el desarrollo</b:Title>
    <b:Year>1985</b:Year>
    <b:Pages>27</b:Pages>
    <b:City>Estados Unidos</b:City>
    <b:Medium>World Bank</b:Medium>
    <b:RefOrder>7</b:RefOrder>
  </b:Source>
  <b:Source>
    <b:Tag>Vit11</b:Tag>
    <b:SourceType>JournalArticle</b:SourceType>
    <b:Guid>{998EBE54-4705-4BE9-92D9-971D1DE00875}</b:Guid>
    <b:Title>The Morphology of US five crisis after 1970</b:Title>
    <b:JournalName>Economía UNAM</b:JournalName>
    <b:Year>2011</b:Year>
    <b:Author>
      <b:Author>
        <b:NameList>
          <b:Person>
            <b:Last>Vitelli</b:Last>
            <b:First>Guillermo</b:First>
          </b:Person>
        </b:NameList>
      </b:Author>
    </b:Author>
    <b:City>Ciudad de Mexico</b:City>
    <b:Volume>8</b:Volume>
    <b:Issue>23</b:Issue>
    <b:RefOrder>8</b:RefOrder>
  </b:Source>
  <b:Source>
    <b:Tag>Cai18</b:Tag>
    <b:SourceType>Report</b:SourceType>
    <b:Guid>{87538F54-1B18-4DD0-9EA1-C0EE331DD56D}</b:Guid>
    <b:Author>
      <b:Author>
        <b:Corporate>CaixaBank Research</b:Corporate>
      </b:Author>
    </b:Author>
    <b:Title>Impacto de la educación en el crecimiento económico</b:Title>
    <b:Year>2018</b:Year>
    <b:RefOrder>9</b:RefOrder>
  </b:Source>
  <b:Source>
    <b:Tag>Den62</b:Tag>
    <b:SourceType>JournalArticle</b:SourceType>
    <b:Guid>{876B3984-E4D9-4B7B-950B-9E6C3CB017C4}</b:Guid>
    <b:Title>The sources of economic grows in the united states and alternatives befores us</b:Title>
    <b:Year>1962</b:Year>
    <b:City>New York</b:City>
    <b:Author>
      <b:Author>
        <b:NameList>
          <b:Person>
            <b:Last>Denison</b:Last>
            <b:First>Edwar.</b:First>
          </b:Person>
        </b:NameList>
      </b:Author>
    </b:Author>
    <b:JournalName>Committe for economic develploment</b:JournalName>
    <b:RefOrder>10</b:RefOrder>
  </b:Source>
  <b:Source>
    <b:Tag>Sch61</b:Tag>
    <b:SourceType>JournalArticle</b:SourceType>
    <b:Guid>{E023B8E8-BF40-4C5C-AC93-98B3B41AFB75}</b:Guid>
    <b:Author>
      <b:Author>
        <b:NameList>
          <b:Person>
            <b:Last>Schultz</b:Last>
            <b:First>T.</b:First>
          </b:Person>
        </b:NameList>
      </b:Author>
    </b:Author>
    <b:Title>Investment in human capital</b:Title>
    <b:JournalName>American economic review</b:JournalName>
    <b:Year>1961</b:Year>
    <b:RefOrder>11</b:RefOrder>
  </b:Source>
  <b:Source>
    <b:Tag>Lan14</b:Tag>
    <b:SourceType>JournalArticle</b:SourceType>
    <b:Guid>{5E34E032-B7BF-4E14-97B6-C83072DB330E}</b:Guid>
    <b:Author>
      <b:Author>
        <b:NameList>
          <b:Person>
            <b:Last>Lane</b:Last>
            <b:First>P.</b:First>
            <b:Middle>R.</b:Middle>
          </b:Person>
        </b:NameList>
      </b:Author>
    </b:Author>
    <b:Title>Financial globalization and the crisis</b:Title>
    <b:JournalName>Open economy review</b:JournalName>
    <b:Year>2014</b:Year>
    <b:Pages>555-580</b:Pages>
    <b:Volume>24</b:Volume>
    <b:RefOrder>12</b:RefOrder>
  </b:Source>
  <b:Source>
    <b:Tag>Iga14</b:Tag>
    <b:SourceType>JournalArticle</b:SourceType>
    <b:Guid>{47913635-1903-49D1-97A4-24E85219A176}</b:Guid>
    <b:Author>
      <b:Author>
        <b:NameList>
          <b:Person>
            <b:Last>Igan</b:Last>
            <b:First>D.</b:First>
          </b:Person>
        </b:NameList>
      </b:Author>
    </b:Author>
    <b:Title>Cinco prioridades para mejorar el futuro económico de Estados Unidos</b:Title>
    <b:JournalName>Blog dialogoafondo</b:JournalName>
    <b:Year>2014</b:Year>
    <b:Pages>htts://blog-dialogoafondo.imf.org/?p=4611</b:Pages>
    <b:RefOrder>13</b:RefOrder>
  </b:Source>
  <b:Source>
    <b:Tag>San</b:Tag>
    <b:SourceType>JournalArticle</b:SourceType>
    <b:Guid>{E3CECACD-8003-4D8A-8977-4EC7FAEB945E}</b:Guid>
    <b:Title>Política y economía de Estados Unidos</b:Title>
    <b:Author>
      <b:Author>
        <b:Corporate>Santandertrade</b:Corporate>
      </b:Author>
    </b:Author>
    <b:URL>https://santandertrade.com/es/portal/analizar-mercados/estados-unidos/politica-y-economia.</b:URL>
    <b:RefOrder>14</b:RefOrder>
  </b:Source>
  <b:Source>
    <b:Tag>Ban181</b:Tag>
    <b:SourceType>Report</b:SourceType>
    <b:Guid>{B578A055-3A57-4756-8C89-9A53C61D4E92}</b:Guid>
    <b:Title>La economía de Estados Unidos, diez años después de la crisis</b:Title>
    <b:Year>2018</b:Year>
    <b:Author>
      <b:Author>
        <b:Corporate>Banco central europeo </b:Corporate>
      </b:Author>
    </b:Author>
    <b:RefOrder>15</b:RefOrder>
  </b:Source>
  <b:Source>
    <b:Tag>BBV15</b:Tag>
    <b:SourceType>Report</b:SourceType>
    <b:Guid>{DCBD861C-BEDD-48DB-90CF-9556E2AB3D44}</b:Guid>
    <b:Author>
      <b:Author>
        <b:Corporate>BBVA </b:Corporate>
      </b:Author>
    </b:Author>
    <b:Title>Research informe situatio de EE.UU. </b:Title>
    <b:Year>2015</b:Year>
    <b:RefOrder>16</b:RefOrder>
  </b:Source>
  <b:Source>
    <b:Tag>BBV16</b:Tag>
    <b:SourceType>Report</b:SourceType>
    <b:Guid>{7E75F336-7BDE-448B-B5BF-95D9B9673606}</b:Guid>
    <b:Author>
      <b:Author>
        <b:Corporate>BBVA</b:Corporate>
      </b:Author>
    </b:Author>
    <b:Title>Research Informe situation de EE. UU. </b:Title>
    <b:Year>2016</b:Year>
    <b:RefOrder>17</b:RefOrder>
  </b:Source>
  <b:Source>
    <b:Tag>BBV17</b:Tag>
    <b:SourceType>Report</b:SourceType>
    <b:Guid>{9662B5A2-D996-4E0E-B521-9CDEF0F3E46A}</b:Guid>
    <b:Author>
      <b:Author>
        <b:Corporate>BBVA</b:Corporate>
      </b:Author>
    </b:Author>
    <b:Title>Research Informe situation de EEUU</b:Title>
    <b:Year>2017</b:Year>
    <b:RefOrder>18</b:RefOrder>
  </b:Source>
  <b:Source>
    <b:Tag>BBV18</b:Tag>
    <b:SourceType>Report</b:SourceType>
    <b:Guid>{D0689FD0-2191-42A8-A443-630895C767CD}</b:Guid>
    <b:Author>
      <b:Author>
        <b:Corporate>BBVA</b:Corporate>
      </b:Author>
    </b:Author>
    <b:Title>Research Informe situation de EEUU </b:Title>
    <b:Year>2018</b:Year>
    <b:RefOrder>19</b:RefOrder>
  </b:Source>
  <b:Source>
    <b:Tag>BBV19</b:Tag>
    <b:SourceType>Report</b:SourceType>
    <b:Guid>{35E4D59C-3678-4179-A2DA-D1AD203A113D}</b:Guid>
    <b:Author>
      <b:Author>
        <b:Corporate>BBVA</b:Corporate>
      </b:Author>
    </b:Author>
    <b:Title>Research Informe situation de EEUU</b:Title>
    <b:Year>2019</b:Year>
    <b:RefOrder>20</b:RefOrder>
  </b:Source>
</b:Sources>
</file>

<file path=customXml/itemProps1.xml><?xml version="1.0" encoding="utf-8"?>
<ds:datastoreItem xmlns:ds="http://schemas.openxmlformats.org/officeDocument/2006/customXml" ds:itemID="{32868B45-341E-497F-98A2-5495DCF0F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7 Edicion.dotx</Template>
  <TotalTime>1179</TotalTime>
  <Pages>43</Pages>
  <Words>6962</Words>
  <Characters>38295</Characters>
  <Application>Microsoft Office Word</Application>
  <DocSecurity>0</DocSecurity>
  <Lines>319</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45167</CharactersWithSpaces>
  <SharedDoc>false</SharedDoc>
  <HLinks>
    <vt:vector size="204" baseType="variant">
      <vt:variant>
        <vt:i4>1507389</vt:i4>
      </vt:variant>
      <vt:variant>
        <vt:i4>200</vt:i4>
      </vt:variant>
      <vt:variant>
        <vt:i4>0</vt:i4>
      </vt:variant>
      <vt:variant>
        <vt:i4>5</vt:i4>
      </vt:variant>
      <vt:variant>
        <vt:lpwstr/>
      </vt:variant>
      <vt:variant>
        <vt:lpwstr>_Toc91547267</vt:lpwstr>
      </vt:variant>
      <vt:variant>
        <vt:i4>1441853</vt:i4>
      </vt:variant>
      <vt:variant>
        <vt:i4>194</vt:i4>
      </vt:variant>
      <vt:variant>
        <vt:i4>0</vt:i4>
      </vt:variant>
      <vt:variant>
        <vt:i4>5</vt:i4>
      </vt:variant>
      <vt:variant>
        <vt:lpwstr/>
      </vt:variant>
      <vt:variant>
        <vt:lpwstr>_Toc91547266</vt:lpwstr>
      </vt:variant>
      <vt:variant>
        <vt:i4>1376317</vt:i4>
      </vt:variant>
      <vt:variant>
        <vt:i4>188</vt:i4>
      </vt:variant>
      <vt:variant>
        <vt:i4>0</vt:i4>
      </vt:variant>
      <vt:variant>
        <vt:i4>5</vt:i4>
      </vt:variant>
      <vt:variant>
        <vt:lpwstr/>
      </vt:variant>
      <vt:variant>
        <vt:lpwstr>_Toc91547265</vt:lpwstr>
      </vt:variant>
      <vt:variant>
        <vt:i4>1310781</vt:i4>
      </vt:variant>
      <vt:variant>
        <vt:i4>182</vt:i4>
      </vt:variant>
      <vt:variant>
        <vt:i4>0</vt:i4>
      </vt:variant>
      <vt:variant>
        <vt:i4>5</vt:i4>
      </vt:variant>
      <vt:variant>
        <vt:lpwstr/>
      </vt:variant>
      <vt:variant>
        <vt:lpwstr>_Toc91547264</vt:lpwstr>
      </vt:variant>
      <vt:variant>
        <vt:i4>1245245</vt:i4>
      </vt:variant>
      <vt:variant>
        <vt:i4>176</vt:i4>
      </vt:variant>
      <vt:variant>
        <vt:i4>0</vt:i4>
      </vt:variant>
      <vt:variant>
        <vt:i4>5</vt:i4>
      </vt:variant>
      <vt:variant>
        <vt:lpwstr/>
      </vt:variant>
      <vt:variant>
        <vt:lpwstr>_Toc91547263</vt:lpwstr>
      </vt:variant>
      <vt:variant>
        <vt:i4>1179709</vt:i4>
      </vt:variant>
      <vt:variant>
        <vt:i4>170</vt:i4>
      </vt:variant>
      <vt:variant>
        <vt:i4>0</vt:i4>
      </vt:variant>
      <vt:variant>
        <vt:i4>5</vt:i4>
      </vt:variant>
      <vt:variant>
        <vt:lpwstr/>
      </vt:variant>
      <vt:variant>
        <vt:lpwstr>_Toc91547262</vt:lpwstr>
      </vt:variant>
      <vt:variant>
        <vt:i4>1114173</vt:i4>
      </vt:variant>
      <vt:variant>
        <vt:i4>164</vt:i4>
      </vt:variant>
      <vt:variant>
        <vt:i4>0</vt:i4>
      </vt:variant>
      <vt:variant>
        <vt:i4>5</vt:i4>
      </vt:variant>
      <vt:variant>
        <vt:lpwstr/>
      </vt:variant>
      <vt:variant>
        <vt:lpwstr>_Toc91547261</vt:lpwstr>
      </vt:variant>
      <vt:variant>
        <vt:i4>1048637</vt:i4>
      </vt:variant>
      <vt:variant>
        <vt:i4>158</vt:i4>
      </vt:variant>
      <vt:variant>
        <vt:i4>0</vt:i4>
      </vt:variant>
      <vt:variant>
        <vt:i4>5</vt:i4>
      </vt:variant>
      <vt:variant>
        <vt:lpwstr/>
      </vt:variant>
      <vt:variant>
        <vt:lpwstr>_Toc91547260</vt:lpwstr>
      </vt:variant>
      <vt:variant>
        <vt:i4>1638462</vt:i4>
      </vt:variant>
      <vt:variant>
        <vt:i4>152</vt:i4>
      </vt:variant>
      <vt:variant>
        <vt:i4>0</vt:i4>
      </vt:variant>
      <vt:variant>
        <vt:i4>5</vt:i4>
      </vt:variant>
      <vt:variant>
        <vt:lpwstr/>
      </vt:variant>
      <vt:variant>
        <vt:lpwstr>_Toc91547259</vt:lpwstr>
      </vt:variant>
      <vt:variant>
        <vt:i4>1572926</vt:i4>
      </vt:variant>
      <vt:variant>
        <vt:i4>146</vt:i4>
      </vt:variant>
      <vt:variant>
        <vt:i4>0</vt:i4>
      </vt:variant>
      <vt:variant>
        <vt:i4>5</vt:i4>
      </vt:variant>
      <vt:variant>
        <vt:lpwstr/>
      </vt:variant>
      <vt:variant>
        <vt:lpwstr>_Toc91547258</vt:lpwstr>
      </vt:variant>
      <vt:variant>
        <vt:i4>1507390</vt:i4>
      </vt:variant>
      <vt:variant>
        <vt:i4>140</vt:i4>
      </vt:variant>
      <vt:variant>
        <vt:i4>0</vt:i4>
      </vt:variant>
      <vt:variant>
        <vt:i4>5</vt:i4>
      </vt:variant>
      <vt:variant>
        <vt:lpwstr/>
      </vt:variant>
      <vt:variant>
        <vt:lpwstr>_Toc91547257</vt:lpwstr>
      </vt:variant>
      <vt:variant>
        <vt:i4>1441854</vt:i4>
      </vt:variant>
      <vt:variant>
        <vt:i4>134</vt:i4>
      </vt:variant>
      <vt:variant>
        <vt:i4>0</vt:i4>
      </vt:variant>
      <vt:variant>
        <vt:i4>5</vt:i4>
      </vt:variant>
      <vt:variant>
        <vt:lpwstr/>
      </vt:variant>
      <vt:variant>
        <vt:lpwstr>_Toc91547256</vt:lpwstr>
      </vt:variant>
      <vt:variant>
        <vt:i4>1376318</vt:i4>
      </vt:variant>
      <vt:variant>
        <vt:i4>128</vt:i4>
      </vt:variant>
      <vt:variant>
        <vt:i4>0</vt:i4>
      </vt:variant>
      <vt:variant>
        <vt:i4>5</vt:i4>
      </vt:variant>
      <vt:variant>
        <vt:lpwstr/>
      </vt:variant>
      <vt:variant>
        <vt:lpwstr>_Toc91547255</vt:lpwstr>
      </vt:variant>
      <vt:variant>
        <vt:i4>1310782</vt:i4>
      </vt:variant>
      <vt:variant>
        <vt:i4>122</vt:i4>
      </vt:variant>
      <vt:variant>
        <vt:i4>0</vt:i4>
      </vt:variant>
      <vt:variant>
        <vt:i4>5</vt:i4>
      </vt:variant>
      <vt:variant>
        <vt:lpwstr/>
      </vt:variant>
      <vt:variant>
        <vt:lpwstr>_Toc91547254</vt:lpwstr>
      </vt:variant>
      <vt:variant>
        <vt:i4>1245246</vt:i4>
      </vt:variant>
      <vt:variant>
        <vt:i4>116</vt:i4>
      </vt:variant>
      <vt:variant>
        <vt:i4>0</vt:i4>
      </vt:variant>
      <vt:variant>
        <vt:i4>5</vt:i4>
      </vt:variant>
      <vt:variant>
        <vt:lpwstr/>
      </vt:variant>
      <vt:variant>
        <vt:lpwstr>_Toc91547253</vt:lpwstr>
      </vt:variant>
      <vt:variant>
        <vt:i4>1179710</vt:i4>
      </vt:variant>
      <vt:variant>
        <vt:i4>110</vt:i4>
      </vt:variant>
      <vt:variant>
        <vt:i4>0</vt:i4>
      </vt:variant>
      <vt:variant>
        <vt:i4>5</vt:i4>
      </vt:variant>
      <vt:variant>
        <vt:lpwstr/>
      </vt:variant>
      <vt:variant>
        <vt:lpwstr>_Toc91547252</vt:lpwstr>
      </vt:variant>
      <vt:variant>
        <vt:i4>1114174</vt:i4>
      </vt:variant>
      <vt:variant>
        <vt:i4>104</vt:i4>
      </vt:variant>
      <vt:variant>
        <vt:i4>0</vt:i4>
      </vt:variant>
      <vt:variant>
        <vt:i4>5</vt:i4>
      </vt:variant>
      <vt:variant>
        <vt:lpwstr/>
      </vt:variant>
      <vt:variant>
        <vt:lpwstr>_Toc91547251</vt:lpwstr>
      </vt:variant>
      <vt:variant>
        <vt:i4>1048638</vt:i4>
      </vt:variant>
      <vt:variant>
        <vt:i4>98</vt:i4>
      </vt:variant>
      <vt:variant>
        <vt:i4>0</vt:i4>
      </vt:variant>
      <vt:variant>
        <vt:i4>5</vt:i4>
      </vt:variant>
      <vt:variant>
        <vt:lpwstr/>
      </vt:variant>
      <vt:variant>
        <vt:lpwstr>_Toc91547250</vt:lpwstr>
      </vt:variant>
      <vt:variant>
        <vt:i4>1638463</vt:i4>
      </vt:variant>
      <vt:variant>
        <vt:i4>92</vt:i4>
      </vt:variant>
      <vt:variant>
        <vt:i4>0</vt:i4>
      </vt:variant>
      <vt:variant>
        <vt:i4>5</vt:i4>
      </vt:variant>
      <vt:variant>
        <vt:lpwstr/>
      </vt:variant>
      <vt:variant>
        <vt:lpwstr>_Toc91547249</vt:lpwstr>
      </vt:variant>
      <vt:variant>
        <vt:i4>1572927</vt:i4>
      </vt:variant>
      <vt:variant>
        <vt:i4>86</vt:i4>
      </vt:variant>
      <vt:variant>
        <vt:i4>0</vt:i4>
      </vt:variant>
      <vt:variant>
        <vt:i4>5</vt:i4>
      </vt:variant>
      <vt:variant>
        <vt:lpwstr/>
      </vt:variant>
      <vt:variant>
        <vt:lpwstr>_Toc91547248</vt:lpwstr>
      </vt:variant>
      <vt:variant>
        <vt:i4>1507391</vt:i4>
      </vt:variant>
      <vt:variant>
        <vt:i4>80</vt:i4>
      </vt:variant>
      <vt:variant>
        <vt:i4>0</vt:i4>
      </vt:variant>
      <vt:variant>
        <vt:i4>5</vt:i4>
      </vt:variant>
      <vt:variant>
        <vt:lpwstr/>
      </vt:variant>
      <vt:variant>
        <vt:lpwstr>_Toc91547247</vt:lpwstr>
      </vt:variant>
      <vt:variant>
        <vt:i4>1441855</vt:i4>
      </vt:variant>
      <vt:variant>
        <vt:i4>74</vt:i4>
      </vt:variant>
      <vt:variant>
        <vt:i4>0</vt:i4>
      </vt:variant>
      <vt:variant>
        <vt:i4>5</vt:i4>
      </vt:variant>
      <vt:variant>
        <vt:lpwstr/>
      </vt:variant>
      <vt:variant>
        <vt:lpwstr>_Toc91547246</vt:lpwstr>
      </vt:variant>
      <vt:variant>
        <vt:i4>1376319</vt:i4>
      </vt:variant>
      <vt:variant>
        <vt:i4>68</vt:i4>
      </vt:variant>
      <vt:variant>
        <vt:i4>0</vt:i4>
      </vt:variant>
      <vt:variant>
        <vt:i4>5</vt:i4>
      </vt:variant>
      <vt:variant>
        <vt:lpwstr/>
      </vt:variant>
      <vt:variant>
        <vt:lpwstr>_Toc91547245</vt:lpwstr>
      </vt:variant>
      <vt:variant>
        <vt:i4>1310783</vt:i4>
      </vt:variant>
      <vt:variant>
        <vt:i4>62</vt:i4>
      </vt:variant>
      <vt:variant>
        <vt:i4>0</vt:i4>
      </vt:variant>
      <vt:variant>
        <vt:i4>5</vt:i4>
      </vt:variant>
      <vt:variant>
        <vt:lpwstr/>
      </vt:variant>
      <vt:variant>
        <vt:lpwstr>_Toc91547244</vt:lpwstr>
      </vt:variant>
      <vt:variant>
        <vt:i4>1245247</vt:i4>
      </vt:variant>
      <vt:variant>
        <vt:i4>56</vt:i4>
      </vt:variant>
      <vt:variant>
        <vt:i4>0</vt:i4>
      </vt:variant>
      <vt:variant>
        <vt:i4>5</vt:i4>
      </vt:variant>
      <vt:variant>
        <vt:lpwstr/>
      </vt:variant>
      <vt:variant>
        <vt:lpwstr>_Toc91547243</vt:lpwstr>
      </vt:variant>
      <vt:variant>
        <vt:i4>1179711</vt:i4>
      </vt:variant>
      <vt:variant>
        <vt:i4>50</vt:i4>
      </vt:variant>
      <vt:variant>
        <vt:i4>0</vt:i4>
      </vt:variant>
      <vt:variant>
        <vt:i4>5</vt:i4>
      </vt:variant>
      <vt:variant>
        <vt:lpwstr/>
      </vt:variant>
      <vt:variant>
        <vt:lpwstr>_Toc91547242</vt:lpwstr>
      </vt:variant>
      <vt:variant>
        <vt:i4>1114175</vt:i4>
      </vt:variant>
      <vt:variant>
        <vt:i4>44</vt:i4>
      </vt:variant>
      <vt:variant>
        <vt:i4>0</vt:i4>
      </vt:variant>
      <vt:variant>
        <vt:i4>5</vt:i4>
      </vt:variant>
      <vt:variant>
        <vt:lpwstr/>
      </vt:variant>
      <vt:variant>
        <vt:lpwstr>_Toc91547241</vt:lpwstr>
      </vt:variant>
      <vt:variant>
        <vt:i4>1048639</vt:i4>
      </vt:variant>
      <vt:variant>
        <vt:i4>38</vt:i4>
      </vt:variant>
      <vt:variant>
        <vt:i4>0</vt:i4>
      </vt:variant>
      <vt:variant>
        <vt:i4>5</vt:i4>
      </vt:variant>
      <vt:variant>
        <vt:lpwstr/>
      </vt:variant>
      <vt:variant>
        <vt:lpwstr>_Toc91547240</vt:lpwstr>
      </vt:variant>
      <vt:variant>
        <vt:i4>1638456</vt:i4>
      </vt:variant>
      <vt:variant>
        <vt:i4>32</vt:i4>
      </vt:variant>
      <vt:variant>
        <vt:i4>0</vt:i4>
      </vt:variant>
      <vt:variant>
        <vt:i4>5</vt:i4>
      </vt:variant>
      <vt:variant>
        <vt:lpwstr/>
      </vt:variant>
      <vt:variant>
        <vt:lpwstr>_Toc91547239</vt:lpwstr>
      </vt:variant>
      <vt:variant>
        <vt:i4>1572920</vt:i4>
      </vt:variant>
      <vt:variant>
        <vt:i4>26</vt:i4>
      </vt:variant>
      <vt:variant>
        <vt:i4>0</vt:i4>
      </vt:variant>
      <vt:variant>
        <vt:i4>5</vt:i4>
      </vt:variant>
      <vt:variant>
        <vt:lpwstr/>
      </vt:variant>
      <vt:variant>
        <vt:lpwstr>_Toc91547238</vt:lpwstr>
      </vt:variant>
      <vt:variant>
        <vt:i4>1507384</vt:i4>
      </vt:variant>
      <vt:variant>
        <vt:i4>20</vt:i4>
      </vt:variant>
      <vt:variant>
        <vt:i4>0</vt:i4>
      </vt:variant>
      <vt:variant>
        <vt:i4>5</vt:i4>
      </vt:variant>
      <vt:variant>
        <vt:lpwstr/>
      </vt:variant>
      <vt:variant>
        <vt:lpwstr>_Toc91547237</vt:lpwstr>
      </vt:variant>
      <vt:variant>
        <vt:i4>1441848</vt:i4>
      </vt:variant>
      <vt:variant>
        <vt:i4>14</vt:i4>
      </vt:variant>
      <vt:variant>
        <vt:i4>0</vt:i4>
      </vt:variant>
      <vt:variant>
        <vt:i4>5</vt:i4>
      </vt:variant>
      <vt:variant>
        <vt:lpwstr/>
      </vt:variant>
      <vt:variant>
        <vt:lpwstr>_Toc91547236</vt:lpwstr>
      </vt:variant>
      <vt:variant>
        <vt:i4>1376312</vt:i4>
      </vt:variant>
      <vt:variant>
        <vt:i4>8</vt:i4>
      </vt:variant>
      <vt:variant>
        <vt:i4>0</vt:i4>
      </vt:variant>
      <vt:variant>
        <vt:i4>5</vt:i4>
      </vt:variant>
      <vt:variant>
        <vt:lpwstr/>
      </vt:variant>
      <vt:variant>
        <vt:lpwstr>_Toc91547235</vt:lpwstr>
      </vt:variant>
      <vt:variant>
        <vt:i4>1310776</vt:i4>
      </vt:variant>
      <vt:variant>
        <vt:i4>2</vt:i4>
      </vt:variant>
      <vt:variant>
        <vt:i4>0</vt:i4>
      </vt:variant>
      <vt:variant>
        <vt:i4>5</vt:i4>
      </vt:variant>
      <vt:variant>
        <vt:lpwstr/>
      </vt:variant>
      <vt:variant>
        <vt:lpwstr>_Toc91547234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Edison Achalma Mendoza</dc:creator>
  <cp:keywords/>
  <dc:description/>
  <cp:lastModifiedBy>E. Edison Achalma Mendoza</cp:lastModifiedBy>
  <cp:revision>913</cp:revision>
  <cp:lastPrinted>2021-12-28T06:47:00Z</cp:lastPrinted>
  <dcterms:created xsi:type="dcterms:W3CDTF">2021-12-26T05:16:00Z</dcterms:created>
  <dcterms:modified xsi:type="dcterms:W3CDTF">2021-12-28T07:26:00Z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200fea76-7854-30c9-adcc-19ad3e994ed7</vt:lpwstr>
  </property>
</Properties>
</file>