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5080" w14:textId="77777777" w:rsidR="007F300C" w:rsidRPr="00EE3D3C" w:rsidRDefault="007F300C" w:rsidP="007F300C">
      <w:pPr>
        <w:pStyle w:val="NormalWeb"/>
        <w:spacing w:before="0" w:beforeAutospacing="0" w:after="160" w:afterAutospacing="0"/>
        <w:jc w:val="both"/>
      </w:pPr>
      <w:r w:rsidRPr="00EE3D3C">
        <w:rPr>
          <w:b/>
          <w:bCs/>
          <w:color w:val="000000"/>
        </w:rPr>
        <w:t>CAPÍTULO I</w:t>
      </w:r>
      <w:r w:rsidRPr="00EE3D3C">
        <w:rPr>
          <w:color w:val="000000"/>
        </w:rPr>
        <w:t> </w:t>
      </w:r>
    </w:p>
    <w:p w14:paraId="6CBC1FD4" w14:textId="77777777" w:rsidR="007F300C" w:rsidRPr="00EE3D3C" w:rsidRDefault="007F300C" w:rsidP="00FC2093">
      <w:pPr>
        <w:pStyle w:val="NormalWeb"/>
        <w:spacing w:before="0" w:beforeAutospacing="0" w:after="160" w:afterAutospacing="0" w:line="360" w:lineRule="auto"/>
        <w:jc w:val="both"/>
      </w:pPr>
      <w:r w:rsidRPr="00EE3D3C">
        <w:rPr>
          <w:b/>
          <w:bCs/>
          <w:color w:val="000000"/>
        </w:rPr>
        <w:t>SITUACIÓN ECONÓMICA, SOCIAL, TECNOLÓGICO, DE INVESTIGACIÓN Y DESARROLLO 2015 – 2019</w:t>
      </w:r>
    </w:p>
    <w:p w14:paraId="562BD3C7" w14:textId="18452ADE" w:rsidR="002905C9" w:rsidRPr="00EE3D3C" w:rsidRDefault="007F300C" w:rsidP="002905C9">
      <w:pPr>
        <w:pStyle w:val="NormalWeb"/>
        <w:numPr>
          <w:ilvl w:val="1"/>
          <w:numId w:val="3"/>
        </w:numPr>
        <w:spacing w:before="0" w:beforeAutospacing="0" w:after="0" w:afterAutospacing="0"/>
        <w:jc w:val="both"/>
        <w:textAlignment w:val="baseline"/>
        <w:rPr>
          <w:b/>
          <w:bCs/>
          <w:color w:val="000000"/>
        </w:rPr>
      </w:pPr>
      <w:r w:rsidRPr="00EE3D3C">
        <w:rPr>
          <w:b/>
          <w:bCs/>
          <w:color w:val="000000"/>
        </w:rPr>
        <w:t>Situación económica de EE. UU</w:t>
      </w:r>
    </w:p>
    <w:p w14:paraId="308A3A20" w14:textId="77777777" w:rsidR="002905C9" w:rsidRPr="00EE3D3C" w:rsidRDefault="002905C9" w:rsidP="002905C9">
      <w:pPr>
        <w:pStyle w:val="NormalWeb"/>
        <w:spacing w:before="0" w:beforeAutospacing="0" w:after="0" w:afterAutospacing="0"/>
        <w:jc w:val="both"/>
        <w:textAlignment w:val="baseline"/>
        <w:rPr>
          <w:b/>
          <w:bCs/>
          <w:color w:val="000000"/>
        </w:rPr>
      </w:pPr>
    </w:p>
    <w:p w14:paraId="7E673CA2" w14:textId="4AA7C25F" w:rsidR="002361C8" w:rsidRDefault="00B94AAF" w:rsidP="00C465B4">
      <w:pPr>
        <w:pStyle w:val="NormalWeb"/>
        <w:spacing w:before="0" w:beforeAutospacing="0" w:after="0" w:afterAutospacing="0"/>
        <w:ind w:left="426"/>
        <w:jc w:val="both"/>
        <w:textAlignment w:val="baseline"/>
        <w:rPr>
          <w:shd w:val="clear" w:color="auto" w:fill="FFFFFF"/>
        </w:rPr>
      </w:pPr>
      <w:r w:rsidRPr="00EE3D3C">
        <w:rPr>
          <w:shd w:val="clear" w:color="auto" w:fill="FFFFFF"/>
        </w:rPr>
        <w:t>Estados Unidos es la economía más grande</w:t>
      </w:r>
      <w:r w:rsidR="00C26B2B" w:rsidRPr="00EE3D3C">
        <w:rPr>
          <w:shd w:val="clear" w:color="auto" w:fill="FFFFFF"/>
        </w:rPr>
        <w:t xml:space="preserve"> </w:t>
      </w:r>
      <w:r w:rsidRPr="00EE3D3C">
        <w:rPr>
          <w:shd w:val="clear" w:color="auto" w:fill="FFFFFF"/>
        </w:rPr>
        <w:t>a nivel mundial</w:t>
      </w:r>
      <w:r w:rsidR="00A2583F">
        <w:rPr>
          <w:shd w:val="clear" w:color="auto" w:fill="FFFFFF"/>
        </w:rPr>
        <w:t xml:space="preserve">, en el 2019 presento un PBI </w:t>
      </w:r>
      <w:r w:rsidR="00FE2AE0">
        <w:rPr>
          <w:shd w:val="clear" w:color="auto" w:fill="FFFFFF"/>
        </w:rPr>
        <w:t xml:space="preserve"> de 21.43</w:t>
      </w:r>
      <w:r w:rsidR="00A2583F">
        <w:rPr>
          <w:shd w:val="clear" w:color="auto" w:fill="FFFFFF"/>
        </w:rPr>
        <w:t xml:space="preserve"> USD  billones de dolares</w:t>
      </w:r>
      <w:r w:rsidR="00C465B4">
        <w:rPr>
          <w:shd w:val="clear" w:color="auto" w:fill="FFFFFF"/>
        </w:rPr>
        <w:t xml:space="preserve"> y un alto nivel de PBI per cápita de 65,279.53 USD,</w:t>
      </w:r>
      <w:r w:rsidR="00FE2AE0">
        <w:rPr>
          <w:shd w:val="clear" w:color="auto" w:fill="FFFFFF"/>
        </w:rPr>
        <w:t xml:space="preserve"> </w:t>
      </w:r>
      <w:r w:rsidR="002361C8">
        <w:rPr>
          <w:shd w:val="clear" w:color="auto" w:fill="FFFFFF"/>
        </w:rPr>
        <w:t xml:space="preserve">es </w:t>
      </w:r>
      <w:r w:rsidR="002361C8" w:rsidRPr="00EB3F5B">
        <w:rPr>
          <w:rStyle w:val="normaltextrun"/>
          <w:color w:val="000000" w:themeColor="text1"/>
          <w:lang w:val="es-ES"/>
        </w:rPr>
        <w:t>altamente industrializado con elevados niveles de productividad y uso de tecnología moderna</w:t>
      </w:r>
      <w:r w:rsidR="00BF22AE">
        <w:rPr>
          <w:rStyle w:val="normaltextrun"/>
          <w:color w:val="000000" w:themeColor="text1"/>
          <w:lang w:val="es-ES"/>
        </w:rPr>
        <w:t xml:space="preserve">, </w:t>
      </w:r>
      <w:r w:rsidR="00BF22AE">
        <w:t>es el mayor productor industrial del mundo, y el país comercial más grande .</w:t>
      </w:r>
      <w:r w:rsidR="00C465B4">
        <w:rPr>
          <w:rStyle w:val="normaltextrun"/>
          <w:shd w:val="clear" w:color="auto" w:fill="FFFFFF"/>
        </w:rPr>
        <w:t xml:space="preserve"> Presenta </w:t>
      </w:r>
      <w:r w:rsidR="005D637E">
        <w:rPr>
          <w:shd w:val="clear" w:color="auto" w:fill="FFFFFF"/>
        </w:rPr>
        <w:t xml:space="preserve">un </w:t>
      </w:r>
      <w:r w:rsidR="00BF22AE">
        <w:rPr>
          <w:shd w:val="clear" w:color="auto" w:fill="FFFFFF"/>
        </w:rPr>
        <w:t>incremento</w:t>
      </w:r>
      <w:r w:rsidR="00E24847">
        <w:rPr>
          <w:shd w:val="clear" w:color="auto" w:fill="FFFFFF"/>
        </w:rPr>
        <w:t xml:space="preserve"> sostenido</w:t>
      </w:r>
      <w:r w:rsidR="00BF22AE">
        <w:rPr>
          <w:shd w:val="clear" w:color="auto" w:fill="FFFFFF"/>
        </w:rPr>
        <w:t xml:space="preserve"> del empleo </w:t>
      </w:r>
      <w:r w:rsidR="00E24847">
        <w:rPr>
          <w:shd w:val="clear" w:color="auto" w:fill="FFFFFF"/>
        </w:rPr>
        <w:t xml:space="preserve">que genera </w:t>
      </w:r>
      <w:r w:rsidR="00BF22AE">
        <w:rPr>
          <w:shd w:val="clear" w:color="auto" w:fill="FFFFFF"/>
        </w:rPr>
        <w:t xml:space="preserve">mayores </w:t>
      </w:r>
      <w:r w:rsidR="008A18C4">
        <w:rPr>
          <w:shd w:val="clear" w:color="auto" w:fill="FFFFFF"/>
        </w:rPr>
        <w:t>puestos de trabajo</w:t>
      </w:r>
      <w:r w:rsidR="005D637E">
        <w:rPr>
          <w:shd w:val="clear" w:color="auto" w:fill="FFFFFF"/>
        </w:rPr>
        <w:t xml:space="preserve"> y</w:t>
      </w:r>
      <w:r w:rsidR="00E24847">
        <w:rPr>
          <w:shd w:val="clear" w:color="auto" w:fill="FFFFFF"/>
        </w:rPr>
        <w:t xml:space="preserve"> mejora el nivel de vida de las personas</w:t>
      </w:r>
      <w:r w:rsidR="00FE2AE0">
        <w:rPr>
          <w:shd w:val="clear" w:color="auto" w:fill="FFFFFF"/>
        </w:rPr>
        <w:t>,</w:t>
      </w:r>
      <w:r w:rsidR="00E24847">
        <w:rPr>
          <w:shd w:val="clear" w:color="auto" w:fill="FFFFFF"/>
        </w:rPr>
        <w:t xml:space="preserve"> </w:t>
      </w:r>
      <w:r w:rsidR="00702E03" w:rsidRPr="00EE3D3C">
        <w:rPr>
          <w:shd w:val="clear" w:color="auto" w:fill="FFFFFF"/>
        </w:rPr>
        <w:t>la esperanza de vida ha ido aumentando ligeramente en la última década</w:t>
      </w:r>
      <w:r w:rsidR="002361C8">
        <w:rPr>
          <w:shd w:val="clear" w:color="auto" w:fill="FFFFFF"/>
        </w:rPr>
        <w:t xml:space="preserve"> por lo cual </w:t>
      </w:r>
      <w:r w:rsidR="008A18C4">
        <w:rPr>
          <w:shd w:val="clear" w:color="auto" w:fill="FFFFFF"/>
        </w:rPr>
        <w:t xml:space="preserve">presenta una menor </w:t>
      </w:r>
      <w:r w:rsidR="00702E03" w:rsidRPr="00EE3D3C">
        <w:rPr>
          <w:shd w:val="clear" w:color="auto" w:fill="FFFFFF"/>
        </w:rPr>
        <w:t>tasa de desempleo</w:t>
      </w:r>
      <w:r w:rsidR="006F13E6">
        <w:rPr>
          <w:shd w:val="clear" w:color="auto" w:fill="FFFFFF"/>
        </w:rPr>
        <w:t xml:space="preserve"> </w:t>
      </w:r>
      <w:r w:rsidR="008A18C4">
        <w:rPr>
          <w:shd w:val="clear" w:color="auto" w:fill="FFFFFF"/>
        </w:rPr>
        <w:t xml:space="preserve">que  se ha ido  </w:t>
      </w:r>
      <w:r w:rsidR="00702E03" w:rsidRPr="00EE3D3C">
        <w:rPr>
          <w:shd w:val="clear" w:color="auto" w:fill="FFFFFF"/>
        </w:rPr>
        <w:t>reduciendo desde la crisis</w:t>
      </w:r>
      <w:r w:rsidR="00970F85">
        <w:rPr>
          <w:shd w:val="clear" w:color="auto" w:fill="FFFFFF"/>
        </w:rPr>
        <w:t xml:space="preserve"> del 2008.</w:t>
      </w:r>
      <w:r w:rsidR="00EE281E">
        <w:rPr>
          <w:shd w:val="clear" w:color="auto" w:fill="FFFFFF"/>
        </w:rPr>
        <w:t xml:space="preserve"> </w:t>
      </w:r>
    </w:p>
    <w:p w14:paraId="66921B13" w14:textId="77777777" w:rsidR="006F13E6" w:rsidRDefault="006F13E6" w:rsidP="004E3153">
      <w:pPr>
        <w:pStyle w:val="paragraph"/>
        <w:spacing w:before="0" w:beforeAutospacing="0" w:after="0" w:afterAutospacing="0"/>
        <w:jc w:val="both"/>
        <w:textAlignment w:val="baseline"/>
        <w:rPr>
          <w:rStyle w:val="normaltextrun"/>
          <w:color w:val="000000" w:themeColor="text1"/>
          <w:lang w:val="es-ES"/>
        </w:rPr>
      </w:pPr>
    </w:p>
    <w:p w14:paraId="59B6CE40" w14:textId="31B8778D" w:rsidR="00D25B0A" w:rsidRDefault="00EB3F5B" w:rsidP="004C1F14">
      <w:pPr>
        <w:pStyle w:val="paragraph"/>
        <w:spacing w:before="0" w:beforeAutospacing="0" w:after="0" w:afterAutospacing="0"/>
        <w:ind w:left="426"/>
        <w:jc w:val="both"/>
        <w:textAlignment w:val="baseline"/>
        <w:rPr>
          <w:rStyle w:val="normaltextrun"/>
          <w:color w:val="000000" w:themeColor="text1"/>
          <w:lang w:val="es-ES"/>
        </w:rPr>
      </w:pPr>
      <w:r w:rsidRPr="00EB3F5B">
        <w:rPr>
          <w:rStyle w:val="normaltextrun"/>
          <w:color w:val="000000" w:themeColor="text1"/>
          <w:lang w:val="es-ES"/>
        </w:rPr>
        <w:t>Los sectores claves que impulsan el crecimiento </w:t>
      </w:r>
      <w:r w:rsidR="006F13E6" w:rsidRPr="00EB3F5B">
        <w:rPr>
          <w:rStyle w:val="normaltextrun"/>
          <w:color w:val="000000" w:themeColor="text1"/>
          <w:lang w:val="es-ES"/>
        </w:rPr>
        <w:t>económico</w:t>
      </w:r>
      <w:r w:rsidRPr="00EB3F5B">
        <w:rPr>
          <w:rStyle w:val="normaltextrun"/>
          <w:color w:val="000000" w:themeColor="text1"/>
          <w:lang w:val="es-ES"/>
        </w:rPr>
        <w:t> son la agricultura</w:t>
      </w:r>
      <w:r w:rsidR="006F13E6">
        <w:rPr>
          <w:rStyle w:val="normaltextrun"/>
          <w:color w:val="000000" w:themeColor="text1"/>
          <w:lang w:val="es-ES"/>
        </w:rPr>
        <w:t xml:space="preserve">, </w:t>
      </w:r>
      <w:r w:rsidRPr="00EB3F5B">
        <w:rPr>
          <w:rStyle w:val="normaltextrun"/>
          <w:color w:val="000000" w:themeColor="text1"/>
          <w:lang w:val="es-ES"/>
        </w:rPr>
        <w:t>manufactura de maquinaria, productos químicos, comida</w:t>
      </w:r>
      <w:r w:rsidR="007E243F">
        <w:rPr>
          <w:rStyle w:val="normaltextrun"/>
          <w:color w:val="000000" w:themeColor="text1"/>
          <w:lang w:val="es-ES"/>
        </w:rPr>
        <w:t xml:space="preserve">, </w:t>
      </w:r>
      <w:r w:rsidRPr="00EB3F5B">
        <w:rPr>
          <w:rStyle w:val="normaltextrun"/>
          <w:color w:val="000000" w:themeColor="text1"/>
          <w:lang w:val="es-ES"/>
        </w:rPr>
        <w:t>automóviles</w:t>
      </w:r>
      <w:r w:rsidR="007E243F">
        <w:rPr>
          <w:rStyle w:val="normaltextrun"/>
          <w:color w:val="000000" w:themeColor="text1"/>
          <w:lang w:val="es-ES"/>
        </w:rPr>
        <w:t xml:space="preserve">, </w:t>
      </w:r>
      <w:r w:rsidRPr="00EB3F5B">
        <w:rPr>
          <w:rStyle w:val="normaltextrun"/>
          <w:color w:val="000000" w:themeColor="text1"/>
          <w:lang w:val="es-ES"/>
        </w:rPr>
        <w:t>mercado terciario en auge enfocado a las finanzas, seguros, bienes raíces, arriendos y arrendamientos.</w:t>
      </w:r>
      <w:r w:rsidRPr="00EB3F5B">
        <w:rPr>
          <w:rStyle w:val="eop"/>
          <w:color w:val="000000" w:themeColor="text1"/>
          <w:lang w:val="es-ES"/>
        </w:rPr>
        <w:t> </w:t>
      </w:r>
      <w:r w:rsidR="00FD0DE5" w:rsidRPr="00EB3F5B">
        <w:rPr>
          <w:rStyle w:val="normaltextrun"/>
          <w:color w:val="000000" w:themeColor="text1"/>
          <w:lang w:val="es-ES"/>
        </w:rPr>
        <w:t>El país es el mayor productor de gas líquido natural, aluminio, electricidad y energía nuclear. Es también el tercer productor a nivel mundial de petróleo y</w:t>
      </w:r>
      <w:r w:rsidR="008D1604">
        <w:rPr>
          <w:rStyle w:val="normaltextrun"/>
          <w:color w:val="000000" w:themeColor="text1"/>
          <w:lang w:val="es-ES"/>
        </w:rPr>
        <w:t xml:space="preserve"> </w:t>
      </w:r>
      <w:r w:rsidR="00FD0DE5" w:rsidRPr="00EB3F5B">
        <w:rPr>
          <w:rStyle w:val="normaltextrun"/>
          <w:color w:val="000000" w:themeColor="text1"/>
          <w:lang w:val="es-ES"/>
        </w:rPr>
        <w:t xml:space="preserve">por años también ha estado desarrollando extracción de gas de lutita a gran escala. </w:t>
      </w:r>
    </w:p>
    <w:p w14:paraId="0CCF2E33" w14:textId="77777777" w:rsidR="004C1F14" w:rsidRPr="004C1F14" w:rsidRDefault="004C1F14" w:rsidP="004C1F14">
      <w:pPr>
        <w:pStyle w:val="paragraph"/>
        <w:spacing w:before="0" w:beforeAutospacing="0" w:after="0" w:afterAutospacing="0"/>
        <w:ind w:left="426"/>
        <w:jc w:val="both"/>
        <w:textAlignment w:val="baseline"/>
        <w:rPr>
          <w:color w:val="000000" w:themeColor="text1"/>
          <w:lang w:val="es-ES"/>
        </w:rPr>
      </w:pPr>
    </w:p>
    <w:p w14:paraId="65702368" w14:textId="2DC434F8" w:rsidR="007F300C" w:rsidRDefault="007F300C" w:rsidP="007F300C">
      <w:pPr>
        <w:pStyle w:val="NormalWeb"/>
        <w:numPr>
          <w:ilvl w:val="2"/>
          <w:numId w:val="3"/>
        </w:numPr>
        <w:spacing w:before="0" w:beforeAutospacing="0" w:after="0" w:afterAutospacing="0"/>
        <w:ind w:hanging="294"/>
        <w:textAlignment w:val="baseline"/>
        <w:rPr>
          <w:b/>
          <w:bCs/>
          <w:color w:val="000000"/>
        </w:rPr>
      </w:pPr>
      <w:r w:rsidRPr="00EE3D3C">
        <w:rPr>
          <w:b/>
          <w:bCs/>
          <w:color w:val="000000"/>
        </w:rPr>
        <w:t>Evolución del PBI</w:t>
      </w:r>
    </w:p>
    <w:p w14:paraId="5B30CCA8" w14:textId="7A283C91" w:rsidR="00A749F0" w:rsidRDefault="00A749F0" w:rsidP="00A749F0">
      <w:pPr>
        <w:pStyle w:val="NormalWeb"/>
        <w:spacing w:before="0" w:beforeAutospacing="0" w:after="0" w:afterAutospacing="0"/>
        <w:ind w:left="720"/>
        <w:textAlignment w:val="baseline"/>
        <w:rPr>
          <w:b/>
          <w:bCs/>
          <w:color w:val="000000"/>
        </w:rPr>
      </w:pPr>
    </w:p>
    <w:p w14:paraId="74A88A52" w14:textId="41599AA7" w:rsidR="00A749F0" w:rsidRDefault="00A749F0" w:rsidP="00A749F0">
      <w:pPr>
        <w:pStyle w:val="NormalWeb"/>
        <w:spacing w:before="0" w:beforeAutospacing="0" w:after="0" w:afterAutospacing="0"/>
        <w:ind w:left="426"/>
        <w:textAlignment w:val="baseline"/>
        <w:rPr>
          <w:b/>
          <w:bCs/>
          <w:color w:val="000000"/>
        </w:rPr>
      </w:pPr>
      <w:r>
        <w:rPr>
          <w:b/>
          <w:bCs/>
          <w:color w:val="000000"/>
        </w:rPr>
        <w:t xml:space="preserve">Figura </w:t>
      </w:r>
    </w:p>
    <w:p w14:paraId="258ED61B" w14:textId="057153CA" w:rsidR="00A749F0" w:rsidRPr="00A749F0" w:rsidRDefault="00A749F0" w:rsidP="00A749F0">
      <w:pPr>
        <w:pStyle w:val="NormalWeb"/>
        <w:spacing w:before="0" w:beforeAutospacing="0" w:after="0" w:afterAutospacing="0"/>
        <w:ind w:left="426"/>
        <w:textAlignment w:val="baseline"/>
        <w:rPr>
          <w:i/>
          <w:iCs/>
          <w:color w:val="000000"/>
        </w:rPr>
      </w:pPr>
      <w:r w:rsidRPr="00A749F0">
        <w:rPr>
          <w:i/>
          <w:iCs/>
          <w:color w:val="000000"/>
        </w:rPr>
        <w:t xml:space="preserve">Producto Bruto Interno 2015 – 2019 </w:t>
      </w:r>
      <w:r w:rsidR="00A83E4F">
        <w:rPr>
          <w:i/>
          <w:iCs/>
          <w:color w:val="000000"/>
        </w:rPr>
        <w:t>(MM USD)</w:t>
      </w:r>
    </w:p>
    <w:p w14:paraId="2EEBC322" w14:textId="25A9BC3B" w:rsidR="007F300C" w:rsidRPr="00EE3D3C" w:rsidRDefault="007F300C" w:rsidP="007F300C">
      <w:pPr>
        <w:pStyle w:val="NormalWeb"/>
        <w:spacing w:before="0" w:beforeAutospacing="0" w:after="0" w:afterAutospacing="0"/>
        <w:ind w:left="360"/>
        <w:textAlignment w:val="baseline"/>
        <w:rPr>
          <w:b/>
          <w:bCs/>
          <w:color w:val="000000"/>
        </w:rPr>
      </w:pPr>
    </w:p>
    <w:p w14:paraId="043ACC2F" w14:textId="47824F08" w:rsidR="00075A53" w:rsidRPr="00064BDD" w:rsidRDefault="00605822" w:rsidP="00064BDD">
      <w:pPr>
        <w:pStyle w:val="NormalWeb"/>
        <w:spacing w:before="0" w:beforeAutospacing="0" w:after="0" w:afterAutospacing="0"/>
        <w:ind w:left="360"/>
        <w:textAlignment w:val="baseline"/>
        <w:rPr>
          <w:b/>
          <w:bCs/>
          <w:color w:val="000000"/>
        </w:rPr>
      </w:pPr>
      <w:r>
        <w:rPr>
          <w:noProof/>
        </w:rPr>
        <mc:AlternateContent>
          <mc:Choice Requires="wps">
            <w:drawing>
              <wp:anchor distT="0" distB="0" distL="114300" distR="114300" simplePos="0" relativeHeight="251659264" behindDoc="0" locked="0" layoutInCell="1" allowOverlap="1" wp14:anchorId="688A1F54" wp14:editId="2B0F6F5D">
                <wp:simplePos x="0" y="0"/>
                <wp:positionH relativeFrom="column">
                  <wp:posOffset>1015065</wp:posOffset>
                </wp:positionH>
                <wp:positionV relativeFrom="paragraph">
                  <wp:posOffset>282364</wp:posOffset>
                </wp:positionV>
                <wp:extent cx="3779970" cy="1173600"/>
                <wp:effectExtent l="0" t="0" r="30480" b="26670"/>
                <wp:wrapNone/>
                <wp:docPr id="5" name="Conector recto 5"/>
                <wp:cNvGraphicFramePr/>
                <a:graphic xmlns:a="http://schemas.openxmlformats.org/drawingml/2006/main">
                  <a:graphicData uri="http://schemas.microsoft.com/office/word/2010/wordprocessingShape">
                    <wps:wsp>
                      <wps:cNvCnPr/>
                      <wps:spPr>
                        <a:xfrm flipV="1">
                          <a:off x="0" y="0"/>
                          <a:ext cx="3779970" cy="1173600"/>
                        </a:xfrm>
                        <a:prstGeom prst="line">
                          <a:avLst/>
                        </a:prstGeom>
                        <a:ln w="9525" cap="flat" cmpd="sng" algn="ctr">
                          <a:solidFill>
                            <a:schemeClr val="tx1">
                              <a:lumMod val="95000"/>
                              <a:lumOff val="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96563" id="Conector recto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2.25pt" to="377.6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xkJgIAAMcEAAAOAAAAZHJzL2Uyb0RvYy54bWysVMlu2zAQvRfoPxC815IdOK4FyznETS9d&#10;gm53motEgBtI2pL+vkPSVpr20hS9EKPhzOPMmzfa3Y1aoTP3QVrT4uWixogbapk0XYu/f3t48xaj&#10;EIlhRFnDWzzxgO/2r1/tBtfwle2tYtwjADGhGVyL+xhdU1WB9lyTsLCOG7gU1msS4dN3FfNkAHSt&#10;qlVd31aD9cx5S3kI4D2US7zP+EJwGj8LEXhEqsVQW8ynz+cxndV+R5rOE9dLeimD/EMVmkgDj85Q&#10;BxIJOnn5B5SW1NtgRVxQqysrhKQ89wDdLOvfuvnaE8dzL0BOcDNN4f/B0k/ne/PogYbBhSa4R5+6&#10;GIXXSCjpfsBMc19QKRozbdNMGx8jouC82Wy22w2wS+Fuudzc3NaZ2KoAJUDnQ3zPrUbJaLGSJvVF&#10;GnL+ECI8DqHXkORWBg0t3q5XawAlIAuhSARTO9biYDqMiOpAbzT6DBOskuxBKpWSs3b4vfLoTGDq&#10;cSwdqJP+aFnxbdd1KRGeOmlQSHFfvVDNDJJre4afCj2Q0JccBlZRkbcnw7Keek7YO8NQnBxI3oDw&#10;cepHc4aR4lB3snJkJFL9TSRUpAyU8jSkbMVJ8cLXFy6QZHlChQPfHRMFReqwizCeq+AzGCSkQAGk&#10;vTD3kpKyed6wF+bPSfl9a+Kcr6Wxl4Gm/X8+w6ISUeKvVBQCEhdHy6as48wRbEse3GWz0zr++p3T&#10;n/4/+58AAAD//wMAUEsDBBQABgAIAAAAIQA5VJVl4AAAAAoBAAAPAAAAZHJzL2Rvd25yZXYueG1s&#10;TI/LTsMwEEX3SPyDNUjsqNOQUBLiVAip6q5SA6hi58TGjvAjst02/XuGFV1ezdG5d5r1bA05yRBH&#10;7xgsFxkQ6QYvRqcYfLxvHp6BxMSd4MY7yeAiI6zb25uG18Kf3V6euqQISlysOQOd0lRTGgctLY8L&#10;P0mHt28fLE8Yg6Ii8DPKraF5lj1Ry0eHDZpP8k3L4ac7Wga5Uftlpzb9pdh9dbtt2Gaf+sDY/d38&#10;+gIkyTn9w/A3H6dDi5t6f3QiEoO5rCpEGRRFCQSBVVnmQHq059Uj0Lah1y+0vwAAAP//AwBQSwEC&#10;LQAUAAYACAAAACEAtoM4kv4AAADhAQAAEwAAAAAAAAAAAAAAAAAAAAAAW0NvbnRlbnRfVHlwZXNd&#10;LnhtbFBLAQItABQABgAIAAAAIQA4/SH/1gAAAJQBAAALAAAAAAAAAAAAAAAAAC8BAABfcmVscy8u&#10;cmVsc1BLAQItABQABgAIAAAAIQAiQWxkJgIAAMcEAAAOAAAAAAAAAAAAAAAAAC4CAABkcnMvZTJv&#10;RG9jLnhtbFBLAQItABQABgAIAAAAIQA5VJVl4AAAAAoBAAAPAAAAAAAAAAAAAAAAAIAEAABkcnMv&#10;ZG93bnJldi54bWxQSwUGAAAAAAQABADzAAAAjQUAAAAA&#10;" strokecolor="#0d0d0d [3069]">
                <v:stroke dashstyle="dash"/>
              </v:line>
            </w:pict>
          </mc:Fallback>
        </mc:AlternateContent>
      </w:r>
      <w:r w:rsidR="002467FF">
        <w:rPr>
          <w:noProof/>
        </w:rPr>
        <w:drawing>
          <wp:inline distT="0" distB="0" distL="0" distR="0" wp14:anchorId="7436172C" wp14:editId="56F31A97">
            <wp:extent cx="5263200" cy="2786400"/>
            <wp:effectExtent l="0" t="0" r="13970" b="13970"/>
            <wp:docPr id="1" name="Gráfico 1">
              <a:extLst xmlns:a="http://schemas.openxmlformats.org/drawingml/2006/main">
                <a:ext uri="{FF2B5EF4-FFF2-40B4-BE49-F238E27FC236}">
                  <a16:creationId xmlns:a16="http://schemas.microsoft.com/office/drawing/2014/main" id="{2C6BA9EF-0375-45B0-B4FB-813AC3C1B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BD3D84" w14:textId="66C77B03" w:rsidR="00EE3FD1" w:rsidRPr="00674043" w:rsidRDefault="00674043" w:rsidP="007F300C">
      <w:pPr>
        <w:pStyle w:val="NormalWeb"/>
        <w:spacing w:before="0" w:beforeAutospacing="0" w:after="0" w:afterAutospacing="0"/>
        <w:ind w:left="360"/>
        <w:textAlignment w:val="baseline"/>
        <w:rPr>
          <w:sz w:val="22"/>
          <w:szCs w:val="22"/>
          <w:shd w:val="clear" w:color="auto" w:fill="FFFFFF"/>
        </w:rPr>
      </w:pPr>
      <w:r w:rsidRPr="00674043">
        <w:rPr>
          <w:sz w:val="22"/>
          <w:szCs w:val="22"/>
          <w:shd w:val="clear" w:color="auto" w:fill="FFFFFF"/>
        </w:rPr>
        <w:t>Nota. Statista, Elaboración propia</w:t>
      </w:r>
    </w:p>
    <w:p w14:paraId="5C5FA057" w14:textId="5B97034B" w:rsidR="007C5C42" w:rsidRDefault="007C5C42" w:rsidP="000146FF">
      <w:pPr>
        <w:pStyle w:val="NormalWeb"/>
        <w:spacing w:before="0" w:beforeAutospacing="0" w:after="0" w:afterAutospacing="0"/>
        <w:ind w:left="426"/>
        <w:textAlignment w:val="baseline"/>
        <w:rPr>
          <w:b/>
          <w:bCs/>
          <w:color w:val="000000"/>
        </w:rPr>
      </w:pPr>
    </w:p>
    <w:p w14:paraId="6C0F1E9D" w14:textId="5A5F8FB1" w:rsidR="007C5C42" w:rsidRDefault="007C5C42" w:rsidP="003B5DF8">
      <w:pPr>
        <w:pStyle w:val="NormalWeb"/>
        <w:spacing w:before="0" w:beforeAutospacing="0" w:after="0" w:afterAutospacing="0"/>
        <w:ind w:left="360"/>
        <w:jc w:val="both"/>
        <w:textAlignment w:val="baseline"/>
        <w:rPr>
          <w:shd w:val="clear" w:color="auto" w:fill="FFFFFF"/>
        </w:rPr>
      </w:pPr>
      <w:r>
        <w:rPr>
          <w:shd w:val="clear" w:color="auto" w:fill="FFFFFF"/>
        </w:rPr>
        <w:lastRenderedPageBreak/>
        <w:t>En la figura</w:t>
      </w:r>
      <w:r w:rsidR="00EB5E0E">
        <w:rPr>
          <w:shd w:val="clear" w:color="auto" w:fill="FFFFFF"/>
        </w:rPr>
        <w:t xml:space="preserve"> </w:t>
      </w:r>
      <w:r>
        <w:rPr>
          <w:shd w:val="clear" w:color="auto" w:fill="FFFFFF"/>
        </w:rPr>
        <w:t>, la serie del PBI del año 2015 – 2019, presenta una tendencia creciente</w:t>
      </w:r>
      <w:r w:rsidR="00392387">
        <w:rPr>
          <w:shd w:val="clear" w:color="auto" w:fill="FFFFFF"/>
        </w:rPr>
        <w:t xml:space="preserve"> debido al buen entorno internacional,</w:t>
      </w:r>
      <w:r w:rsidR="0039256E">
        <w:rPr>
          <w:shd w:val="clear" w:color="auto" w:fill="FFFFFF"/>
        </w:rPr>
        <w:t xml:space="preserve"> </w:t>
      </w:r>
      <w:r w:rsidR="00620B55">
        <w:rPr>
          <w:shd w:val="clear" w:color="auto" w:fill="FFFFFF"/>
        </w:rPr>
        <w:t xml:space="preserve">impulso de la </w:t>
      </w:r>
      <w:r w:rsidR="0039256E">
        <w:rPr>
          <w:shd w:val="clear" w:color="auto" w:fill="FFFFFF"/>
        </w:rPr>
        <w:t>demanda interna,</w:t>
      </w:r>
      <w:r w:rsidR="00392387">
        <w:rPr>
          <w:shd w:val="clear" w:color="auto" w:fill="FFFFFF"/>
        </w:rPr>
        <w:t xml:space="preserve"> </w:t>
      </w:r>
      <w:r>
        <w:rPr>
          <w:shd w:val="clear" w:color="auto" w:fill="FFFFFF"/>
        </w:rPr>
        <w:t>mayor producción,</w:t>
      </w:r>
      <w:r w:rsidR="00620B55">
        <w:rPr>
          <w:shd w:val="clear" w:color="auto" w:fill="FFFFFF"/>
        </w:rPr>
        <w:t xml:space="preserve"> incremento </w:t>
      </w:r>
      <w:r w:rsidR="00B22D67">
        <w:rPr>
          <w:shd w:val="clear" w:color="auto" w:fill="FFFFFF"/>
        </w:rPr>
        <w:t xml:space="preserve">de </w:t>
      </w:r>
      <w:r w:rsidR="00620B55">
        <w:rPr>
          <w:shd w:val="clear" w:color="auto" w:fill="FFFFFF"/>
        </w:rPr>
        <w:t>las</w:t>
      </w:r>
      <w:r>
        <w:rPr>
          <w:shd w:val="clear" w:color="auto" w:fill="FFFFFF"/>
        </w:rPr>
        <w:t xml:space="preserve"> </w:t>
      </w:r>
      <w:r w:rsidR="00620B55">
        <w:rPr>
          <w:shd w:val="clear" w:color="auto" w:fill="FFFFFF"/>
        </w:rPr>
        <w:t>exportaciones donde se obtuvieron</w:t>
      </w:r>
      <w:r>
        <w:rPr>
          <w:shd w:val="clear" w:color="auto" w:fill="FFFFFF"/>
        </w:rPr>
        <w:t xml:space="preserve"> ingresos</w:t>
      </w:r>
      <w:r w:rsidR="00620B55">
        <w:rPr>
          <w:shd w:val="clear" w:color="auto" w:fill="FFFFFF"/>
        </w:rPr>
        <w:t xml:space="preserve"> importantes</w:t>
      </w:r>
      <w:r>
        <w:rPr>
          <w:shd w:val="clear" w:color="auto" w:fill="FFFFFF"/>
        </w:rPr>
        <w:t xml:space="preserve"> durante el periodo. El producto bruto interno en 2019 ascendió a </w:t>
      </w:r>
      <w:r w:rsidR="00CE328F">
        <w:rPr>
          <w:shd w:val="clear" w:color="auto" w:fill="FFFFFF"/>
        </w:rPr>
        <w:t>21372.6 billones de dólares</w:t>
      </w:r>
      <w:r w:rsidR="009C4482">
        <w:rPr>
          <w:shd w:val="clear" w:color="auto" w:fill="FFFFFF"/>
        </w:rPr>
        <w:t xml:space="preserve"> el nivel más alto de los últimos 4 años.</w:t>
      </w:r>
    </w:p>
    <w:p w14:paraId="498076E1" w14:textId="77777777" w:rsidR="007C5C42" w:rsidRDefault="007C5C42" w:rsidP="009B5AF7">
      <w:pPr>
        <w:pStyle w:val="NormalWeb"/>
        <w:spacing w:before="0" w:beforeAutospacing="0" w:after="0" w:afterAutospacing="0"/>
        <w:textAlignment w:val="baseline"/>
        <w:rPr>
          <w:b/>
          <w:bCs/>
          <w:color w:val="000000"/>
        </w:rPr>
      </w:pPr>
    </w:p>
    <w:p w14:paraId="3191AA38" w14:textId="229C2C63" w:rsidR="000146FF" w:rsidRPr="000146FF" w:rsidRDefault="000146FF" w:rsidP="000146FF">
      <w:pPr>
        <w:pStyle w:val="NormalWeb"/>
        <w:spacing w:before="0" w:beforeAutospacing="0" w:after="0" w:afterAutospacing="0"/>
        <w:ind w:left="426"/>
        <w:textAlignment w:val="baseline"/>
        <w:rPr>
          <w:b/>
          <w:bCs/>
          <w:color w:val="000000"/>
        </w:rPr>
      </w:pPr>
      <w:r>
        <w:rPr>
          <w:b/>
          <w:bCs/>
          <w:color w:val="000000"/>
        </w:rPr>
        <w:t xml:space="preserve">Figura </w:t>
      </w:r>
    </w:p>
    <w:p w14:paraId="6F7C2F6C" w14:textId="7DDD7F52" w:rsidR="00064BDD" w:rsidRPr="0033462C" w:rsidRDefault="000146FF" w:rsidP="0033462C">
      <w:pPr>
        <w:pStyle w:val="NormalWeb"/>
        <w:spacing w:before="0" w:beforeAutospacing="0" w:after="0" w:afterAutospacing="0"/>
        <w:ind w:left="360"/>
        <w:textAlignment w:val="baseline"/>
        <w:rPr>
          <w:i/>
          <w:iCs/>
          <w:color w:val="000000"/>
        </w:rPr>
      </w:pPr>
      <w:r w:rsidRPr="000146FF">
        <w:rPr>
          <w:i/>
          <w:iCs/>
          <w:color w:val="000000"/>
        </w:rPr>
        <w:t>Tasa de crecimiento del P</w:t>
      </w:r>
      <w:r w:rsidR="0033462C">
        <w:rPr>
          <w:i/>
          <w:iCs/>
          <w:color w:val="000000"/>
        </w:rPr>
        <w:t>BI</w:t>
      </w:r>
      <w:r w:rsidRPr="000146FF">
        <w:rPr>
          <w:i/>
          <w:iCs/>
          <w:color w:val="000000"/>
        </w:rPr>
        <w:t xml:space="preserve"> real de 201</w:t>
      </w:r>
      <w:r>
        <w:rPr>
          <w:i/>
          <w:iCs/>
          <w:color w:val="000000"/>
        </w:rPr>
        <w:t>5 – 2019 (Var %)</w:t>
      </w:r>
    </w:p>
    <w:p w14:paraId="0F44F2B3" w14:textId="35FCCD06" w:rsidR="00064BDD" w:rsidRDefault="00B069C5" w:rsidP="007F300C">
      <w:pPr>
        <w:pStyle w:val="NormalWeb"/>
        <w:spacing w:before="0" w:beforeAutospacing="0" w:after="0" w:afterAutospacing="0"/>
        <w:ind w:left="360"/>
        <w:textAlignment w:val="baseline"/>
        <w:rPr>
          <w:shd w:val="clear" w:color="auto" w:fill="FFFFFF"/>
        </w:rPr>
      </w:pPr>
      <w:r>
        <w:rPr>
          <w:noProof/>
        </w:rPr>
        <w:drawing>
          <wp:inline distT="0" distB="0" distL="0" distR="0" wp14:anchorId="3E523041" wp14:editId="6A43290F">
            <wp:extent cx="5612130" cy="2495550"/>
            <wp:effectExtent l="0" t="0" r="7620" b="0"/>
            <wp:docPr id="8" name="Gráfico 8">
              <a:extLst xmlns:a="http://schemas.openxmlformats.org/drawingml/2006/main">
                <a:ext uri="{FF2B5EF4-FFF2-40B4-BE49-F238E27FC236}">
                  <a16:creationId xmlns:a16="http://schemas.microsoft.com/office/drawing/2014/main" id="{9A918878-660C-44F8-A8A4-7E14F988C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EF223B" w14:textId="014145EE" w:rsidR="00064BDD" w:rsidRDefault="00CE3E08" w:rsidP="007F300C">
      <w:pPr>
        <w:pStyle w:val="NormalWeb"/>
        <w:spacing w:before="0" w:beforeAutospacing="0" w:after="0" w:afterAutospacing="0"/>
        <w:ind w:left="360"/>
        <w:textAlignment w:val="baseline"/>
        <w:rPr>
          <w:shd w:val="clear" w:color="auto" w:fill="FFFFFF"/>
        </w:rPr>
      </w:pPr>
      <w:r w:rsidRPr="00674043">
        <w:rPr>
          <w:sz w:val="22"/>
          <w:szCs w:val="22"/>
          <w:shd w:val="clear" w:color="auto" w:fill="FFFFFF"/>
        </w:rPr>
        <w:t>Nota. Statista, Elaboración propia</w:t>
      </w:r>
    </w:p>
    <w:p w14:paraId="1333EDFC" w14:textId="77777777" w:rsidR="00723E3E" w:rsidRPr="0039182E" w:rsidRDefault="00723E3E" w:rsidP="00F669F6">
      <w:pPr>
        <w:pStyle w:val="paragraph"/>
        <w:spacing w:before="0" w:beforeAutospacing="0" w:after="0" w:afterAutospacing="0"/>
        <w:textAlignment w:val="baseline"/>
        <w:rPr>
          <w:rFonts w:ascii="Segoe UI" w:hAnsi="Segoe UI" w:cs="Segoe UI"/>
          <w:color w:val="000000" w:themeColor="text1"/>
          <w:sz w:val="18"/>
          <w:szCs w:val="18"/>
          <w:lang w:val="es-ES"/>
        </w:rPr>
      </w:pPr>
    </w:p>
    <w:p w14:paraId="15685403" w14:textId="32F8A326" w:rsidR="00723E3E" w:rsidRDefault="00723E3E" w:rsidP="00723E3E">
      <w:pPr>
        <w:pStyle w:val="paragraph"/>
        <w:tabs>
          <w:tab w:val="left" w:pos="3402"/>
        </w:tabs>
        <w:spacing w:before="0" w:beforeAutospacing="0" w:after="0" w:afterAutospacing="0"/>
        <w:ind w:left="426"/>
        <w:jc w:val="both"/>
        <w:textAlignment w:val="baseline"/>
      </w:pPr>
      <w:r w:rsidRPr="0039182E">
        <w:rPr>
          <w:rStyle w:val="normaltextrun"/>
          <w:color w:val="000000" w:themeColor="text1"/>
          <w:lang w:val="es-ES"/>
        </w:rPr>
        <w:t>En el año 201</w:t>
      </w:r>
      <w:r>
        <w:rPr>
          <w:rStyle w:val="normaltextrun"/>
          <w:color w:val="000000" w:themeColor="text1"/>
          <w:lang w:val="es-ES"/>
        </w:rPr>
        <w:t>5</w:t>
      </w:r>
      <w:r w:rsidRPr="0039182E">
        <w:rPr>
          <w:rStyle w:val="normaltextrun"/>
          <w:color w:val="000000" w:themeColor="text1"/>
          <w:lang w:val="es-ES"/>
        </w:rPr>
        <w:t xml:space="preserve"> el PBI </w:t>
      </w:r>
      <w:r w:rsidR="00701246">
        <w:rPr>
          <w:rStyle w:val="normaltextrun"/>
          <w:color w:val="000000" w:themeColor="text1"/>
          <w:lang w:val="es-ES"/>
        </w:rPr>
        <w:t xml:space="preserve">real </w:t>
      </w:r>
      <w:r w:rsidR="008629A6">
        <w:rPr>
          <w:rStyle w:val="normaltextrun"/>
          <w:color w:val="000000" w:themeColor="text1"/>
          <w:lang w:val="es-ES"/>
        </w:rPr>
        <w:t xml:space="preserve">presento </w:t>
      </w:r>
      <w:r w:rsidRPr="0039182E">
        <w:rPr>
          <w:rStyle w:val="normaltextrun"/>
          <w:color w:val="000000" w:themeColor="text1"/>
          <w:lang w:val="es-ES"/>
        </w:rPr>
        <w:t xml:space="preserve">un crecimiento de </w:t>
      </w:r>
      <w:r w:rsidR="009E3D30">
        <w:rPr>
          <w:rStyle w:val="normaltextrun"/>
          <w:color w:val="000000" w:themeColor="text1"/>
          <w:lang w:val="es-ES"/>
        </w:rPr>
        <w:t xml:space="preserve">2.70 </w:t>
      </w:r>
      <w:r w:rsidRPr="0039182E">
        <w:rPr>
          <w:rStyle w:val="normaltextrun"/>
          <w:color w:val="000000" w:themeColor="text1"/>
          <w:lang w:val="es-ES"/>
        </w:rPr>
        <w:t>% a comparación del año pasado</w:t>
      </w:r>
      <w:r>
        <w:rPr>
          <w:rStyle w:val="normaltextrun"/>
          <w:color w:val="000000" w:themeColor="text1"/>
          <w:lang w:val="es-ES"/>
        </w:rPr>
        <w:t xml:space="preserve"> debido a que la economía cambio a un ciclo de crecimiento de nueva normalidad, las expectativas</w:t>
      </w:r>
      <w:r>
        <w:t xml:space="preserve"> de una desaceleración mundial limitaron el potencial al alza del crecimiento interno. Una inflación baja genero problemas a la F</w:t>
      </w:r>
      <w:r w:rsidR="004B1117">
        <w:t>ED</w:t>
      </w:r>
      <w:r>
        <w:t xml:space="preserve"> debido a que se efectuó el movimiento al alza de la tasa de los fondos federales. A pesar de estos riesgos para el crecimiento, el consumo interno influyo al crecimiento con resultados brillantes y puso el foco en el sector del consumo como motor del crecimiento en 2016.</w:t>
      </w:r>
    </w:p>
    <w:p w14:paraId="5E6BC3E4" w14:textId="77777777" w:rsidR="00723E3E" w:rsidRDefault="00723E3E" w:rsidP="00723E3E">
      <w:pPr>
        <w:pStyle w:val="paragraph"/>
        <w:tabs>
          <w:tab w:val="left" w:pos="3402"/>
        </w:tabs>
        <w:spacing w:before="0" w:beforeAutospacing="0" w:after="0" w:afterAutospacing="0"/>
        <w:ind w:left="426"/>
        <w:jc w:val="both"/>
        <w:textAlignment w:val="baseline"/>
      </w:pPr>
    </w:p>
    <w:p w14:paraId="673CEA9E" w14:textId="5710FDF3" w:rsidR="00723E3E" w:rsidRDefault="00723E3E" w:rsidP="00B71511">
      <w:pPr>
        <w:pStyle w:val="paragraph"/>
        <w:tabs>
          <w:tab w:val="left" w:pos="3402"/>
        </w:tabs>
        <w:spacing w:before="0" w:beforeAutospacing="0" w:after="0" w:afterAutospacing="0"/>
        <w:ind w:left="426"/>
        <w:jc w:val="both"/>
        <w:textAlignment w:val="baseline"/>
        <w:rPr>
          <w:rStyle w:val="normaltextrun"/>
        </w:rPr>
      </w:pPr>
      <w:r>
        <w:t xml:space="preserve">El consumo, ha sido el principal impulsor del crecimiento económico de EEUU, ha mantenido un ritmo saludable a pesar de que en los salarios de los consumidores se han visto pocos aumentos. La confianza de los consumidores se mantiene fuerte como consecuencia de la solidez de las economías familiares una vez finalizado el desapalancamiento. </w:t>
      </w:r>
      <w:r w:rsidR="004B1117">
        <w:t xml:space="preserve">El ratio </w:t>
      </w:r>
      <w:r>
        <w:t>de</w:t>
      </w:r>
      <w:r w:rsidR="004B1117">
        <w:t xml:space="preserve"> apalancamiento de</w:t>
      </w:r>
      <w:r>
        <w:t xml:space="preserve"> los hogares se ha estabilizado en el nivel más bajo de los últimos 36 años, lo que indica que los consumidores están preparados económicamente para empezar a asumir más deuda</w:t>
      </w:r>
      <w:r w:rsidR="004B1117">
        <w:t xml:space="preserve"> así mismo e</w:t>
      </w:r>
      <w:r>
        <w:t>l entorno de baja inflación fue sumamente favorable para los consumidores. Por tanto, el consumo sigue siendo la estrella de la economía estadounidense debido a que sigue creciendo a un ritmo fuerte.</w:t>
      </w:r>
    </w:p>
    <w:p w14:paraId="41EB4133" w14:textId="77777777" w:rsidR="00B71511" w:rsidRPr="00B71511" w:rsidRDefault="00B71511" w:rsidP="00B71511">
      <w:pPr>
        <w:pStyle w:val="paragraph"/>
        <w:tabs>
          <w:tab w:val="left" w:pos="3402"/>
        </w:tabs>
        <w:spacing w:before="0" w:beforeAutospacing="0" w:after="0" w:afterAutospacing="0"/>
        <w:ind w:left="426"/>
        <w:jc w:val="both"/>
        <w:textAlignment w:val="baseline"/>
        <w:rPr>
          <w:rStyle w:val="normaltextrun"/>
        </w:rPr>
      </w:pPr>
    </w:p>
    <w:p w14:paraId="7995A0BE" w14:textId="39B037F7" w:rsidR="00723E3E" w:rsidRDefault="00723E3E" w:rsidP="00E663E2">
      <w:pPr>
        <w:pStyle w:val="paragraph"/>
        <w:spacing w:before="0" w:beforeAutospacing="0" w:after="0" w:afterAutospacing="0"/>
        <w:ind w:left="426"/>
        <w:jc w:val="both"/>
        <w:textAlignment w:val="baseline"/>
        <w:rPr>
          <w:rStyle w:val="normaltextrun"/>
        </w:rPr>
      </w:pPr>
      <w:r w:rsidRPr="0039182E">
        <w:rPr>
          <w:rStyle w:val="normaltextrun"/>
          <w:color w:val="000000" w:themeColor="text1"/>
          <w:lang w:val="es-ES"/>
        </w:rPr>
        <w:t>En el año 201</w:t>
      </w:r>
      <w:r>
        <w:rPr>
          <w:rStyle w:val="normaltextrun"/>
          <w:color w:val="000000" w:themeColor="text1"/>
          <w:lang w:val="es-ES"/>
        </w:rPr>
        <w:t>6</w:t>
      </w:r>
      <w:r w:rsidRPr="0039182E">
        <w:rPr>
          <w:rStyle w:val="normaltextrun"/>
          <w:color w:val="000000" w:themeColor="text1"/>
          <w:lang w:val="es-ES"/>
        </w:rPr>
        <w:t xml:space="preserve"> el PBI</w:t>
      </w:r>
      <w:r w:rsidR="008654F2">
        <w:rPr>
          <w:rStyle w:val="normaltextrun"/>
          <w:color w:val="000000" w:themeColor="text1"/>
          <w:lang w:val="es-ES"/>
        </w:rPr>
        <w:t xml:space="preserve"> real presento </w:t>
      </w:r>
      <w:r w:rsidRPr="0039182E">
        <w:rPr>
          <w:rStyle w:val="normaltextrun"/>
          <w:color w:val="000000" w:themeColor="text1"/>
          <w:lang w:val="es-ES"/>
        </w:rPr>
        <w:t xml:space="preserve">un crecimiento de </w:t>
      </w:r>
      <w:r w:rsidR="008654F2">
        <w:rPr>
          <w:rStyle w:val="normaltextrun"/>
          <w:color w:val="000000" w:themeColor="text1"/>
          <w:lang w:val="es-ES"/>
        </w:rPr>
        <w:t xml:space="preserve">1.67 </w:t>
      </w:r>
      <w:r w:rsidRPr="0039182E">
        <w:rPr>
          <w:rStyle w:val="normaltextrun"/>
          <w:color w:val="000000" w:themeColor="text1"/>
          <w:lang w:val="es-ES"/>
        </w:rPr>
        <w:t>% a comparación del año pasado</w:t>
      </w:r>
      <w:r>
        <w:rPr>
          <w:rStyle w:val="normaltextrun"/>
          <w:color w:val="000000" w:themeColor="text1"/>
          <w:lang w:val="es-ES"/>
        </w:rPr>
        <w:t xml:space="preserve">, </w:t>
      </w:r>
      <w:r>
        <w:t>el crecimiento del P</w:t>
      </w:r>
      <w:r w:rsidR="006D5F68">
        <w:t>BI</w:t>
      </w:r>
      <w:r>
        <w:t xml:space="preserve"> durante el tercer trimestre experimento un repunte saludable tras tres trimestres de crecimiento de alrededor de 1%. Esta situación refleja un importante respaldo de los gastos en consumo personal y una reactivación de la </w:t>
      </w:r>
      <w:r>
        <w:lastRenderedPageBreak/>
        <w:t>inversión en viviendas, acompañado de la presión sobre la inversión privada, el comercio exterior y el gasto público.</w:t>
      </w:r>
      <w:r w:rsidR="00220064">
        <w:t xml:space="preserve"> L</w:t>
      </w:r>
      <w:r>
        <w:t>os factores importantes, como el empleo y el aumento de los ingresos, así como la solidez de los balances y del crecimiento del crédito favorecieron el gasto familiar</w:t>
      </w:r>
      <w:r w:rsidR="00E4132C">
        <w:t xml:space="preserve">, Así mismo </w:t>
      </w:r>
      <w:r>
        <w:t xml:space="preserve">la inversión privada en estructuras multifamiliares, equipos industriales, propiedad intelectual y estructuras no residenciales, a excepción de la minería aumentaron danlo luz a un crecimiento de la economía. </w:t>
      </w:r>
    </w:p>
    <w:p w14:paraId="385FCFA7" w14:textId="77777777" w:rsidR="00E663E2" w:rsidRPr="00E663E2" w:rsidRDefault="00E663E2" w:rsidP="00E663E2">
      <w:pPr>
        <w:pStyle w:val="paragraph"/>
        <w:spacing w:before="0" w:beforeAutospacing="0" w:after="0" w:afterAutospacing="0"/>
        <w:ind w:left="426"/>
        <w:jc w:val="both"/>
        <w:textAlignment w:val="baseline"/>
        <w:rPr>
          <w:rStyle w:val="normaltextrun"/>
        </w:rPr>
      </w:pPr>
    </w:p>
    <w:p w14:paraId="125ED867" w14:textId="6576019E" w:rsidR="00723E3E" w:rsidRDefault="00723E3E" w:rsidP="00AB1BDD">
      <w:pPr>
        <w:pStyle w:val="paragraph"/>
        <w:spacing w:before="0" w:beforeAutospacing="0" w:after="0" w:afterAutospacing="0"/>
        <w:ind w:left="426"/>
        <w:jc w:val="both"/>
        <w:textAlignment w:val="baseline"/>
      </w:pPr>
      <w:r w:rsidRPr="0039182E">
        <w:rPr>
          <w:rStyle w:val="normaltextrun"/>
          <w:color w:val="000000" w:themeColor="text1"/>
          <w:lang w:val="es-ES"/>
        </w:rPr>
        <w:t>En el año 2017 el PBI</w:t>
      </w:r>
      <w:r w:rsidR="00E663E2">
        <w:rPr>
          <w:rStyle w:val="normaltextrun"/>
          <w:color w:val="000000" w:themeColor="text1"/>
          <w:lang w:val="es-ES"/>
        </w:rPr>
        <w:t xml:space="preserve"> real presento </w:t>
      </w:r>
      <w:r w:rsidRPr="0039182E">
        <w:rPr>
          <w:rStyle w:val="normaltextrun"/>
          <w:color w:val="000000" w:themeColor="text1"/>
          <w:lang w:val="es-ES"/>
        </w:rPr>
        <w:t xml:space="preserve">un crecimiento de </w:t>
      </w:r>
      <w:r w:rsidR="001658B8">
        <w:rPr>
          <w:rStyle w:val="normaltextrun"/>
          <w:color w:val="000000" w:themeColor="text1"/>
          <w:lang w:val="es-ES"/>
        </w:rPr>
        <w:t>2</w:t>
      </w:r>
      <w:r w:rsidRPr="0039182E">
        <w:rPr>
          <w:rStyle w:val="normaltextrun"/>
          <w:color w:val="000000" w:themeColor="text1"/>
          <w:lang w:val="es-ES"/>
        </w:rPr>
        <w:t xml:space="preserve">.26% </w:t>
      </w:r>
      <w:r w:rsidR="001658B8">
        <w:rPr>
          <w:rStyle w:val="normaltextrun"/>
          <w:color w:val="000000" w:themeColor="text1"/>
          <w:lang w:val="es-ES"/>
        </w:rPr>
        <w:t>un nivel menor al del 2015</w:t>
      </w:r>
      <w:r>
        <w:rPr>
          <w:rStyle w:val="eop"/>
          <w:color w:val="000000" w:themeColor="text1"/>
          <w:lang w:val="es-ES"/>
        </w:rPr>
        <w:t xml:space="preserve">, </w:t>
      </w:r>
      <w:r w:rsidR="001658B8">
        <w:t>el</w:t>
      </w:r>
      <w:r>
        <w:t xml:space="preserve"> crecimiento mundial contribuyo a la recuperación de las exportaciones, las subidas en los precios del petróleo</w:t>
      </w:r>
      <w:r w:rsidR="00DD67FE">
        <w:t xml:space="preserve">, </w:t>
      </w:r>
      <w:r>
        <w:t>aumento de las inversiones en el sector del petróleo y el gas</w:t>
      </w:r>
      <w:r>
        <w:rPr>
          <w:rFonts w:ascii="Segoe UI" w:hAnsi="Segoe UI" w:cs="Segoe UI"/>
          <w:color w:val="000000" w:themeColor="text1"/>
          <w:sz w:val="18"/>
          <w:szCs w:val="18"/>
        </w:rPr>
        <w:t xml:space="preserve">. </w:t>
      </w:r>
      <w:r>
        <w:t>En el primer trimestre de 2017, la inversión privada fija registró el mayor crecimiento interanual en seis años. A pesar de que los precios del petróleo se mantienen muy por debajo de los promedios previos a 2015, los precios actuales se han recuperado lo suficiente como para restablecer la inversión en equipos de exploración minera, en torno a los 45 dólares por barril.</w:t>
      </w:r>
      <w:r w:rsidR="00AB1BDD">
        <w:t xml:space="preserve"> </w:t>
      </w:r>
      <w:r>
        <w:t>El transporte y otros equipos registraron un crecimiento positivo por primera vez en seis y ocho trimestres, respectivamente. También el sector mantiene este impulso en el segundo semestre del 2017, ya que la producción industrial en el sector de petróleo y gas aumentó un 108 % interanual en junio. El aumento de la demanda mundial y un sector minero en recuperación han compensado la debilidad de la demanda interna de automóviles, lo que provocó un repunte en la actividad manufacturera.</w:t>
      </w:r>
    </w:p>
    <w:p w14:paraId="5BA09B91" w14:textId="77777777" w:rsidR="00723E3E" w:rsidRDefault="00723E3E" w:rsidP="00723E3E">
      <w:pPr>
        <w:pStyle w:val="paragraph"/>
        <w:spacing w:before="0" w:beforeAutospacing="0" w:after="0" w:afterAutospacing="0"/>
        <w:ind w:left="426"/>
        <w:jc w:val="both"/>
        <w:textAlignment w:val="baseline"/>
      </w:pPr>
    </w:p>
    <w:p w14:paraId="30F6A180" w14:textId="6CD1D626" w:rsidR="00723E3E" w:rsidRDefault="00723E3E" w:rsidP="00723E3E">
      <w:pPr>
        <w:pStyle w:val="paragraph"/>
        <w:spacing w:before="0" w:beforeAutospacing="0" w:after="0" w:afterAutospacing="0"/>
        <w:ind w:left="426"/>
        <w:jc w:val="both"/>
        <w:textAlignment w:val="baseline"/>
        <w:rPr>
          <w:rStyle w:val="normaltextrun"/>
          <w:color w:val="000000" w:themeColor="text1"/>
          <w:lang w:val="es-ES"/>
        </w:rPr>
      </w:pPr>
      <w:r>
        <w:t xml:space="preserve">Si bien el ritmo de crecimiento del sector minorista se ha desacelerado en el segundo trimestre del 2017, las condiciones siguen siendo adecuadas para un crecimiento moderado del consumo durante el resto del año. Una gran parte de la resistencia al consumo ha sido la mayor lentitud de la demanda de automóviles. El aumento de los tipos de interés y la reducción de las condiciones crediticias han creado vientos en contra para el sector automotor. Dicho esto, las condiciones del mercado laboral son sólidas y los tipos de interés siguen siendo bajos según los estándares históricos. El crédito al consumo, excluyendo los préstamos para automóviles, también continúa expandiéndose a un ritmo saludable, lo que impulsará el gasto de los hogares. </w:t>
      </w:r>
    </w:p>
    <w:p w14:paraId="491151F6" w14:textId="77777777" w:rsidR="00723E3E" w:rsidRDefault="00723E3E" w:rsidP="00723E3E">
      <w:pPr>
        <w:pStyle w:val="paragraph"/>
        <w:spacing w:before="0" w:beforeAutospacing="0" w:after="0" w:afterAutospacing="0"/>
        <w:ind w:left="426"/>
        <w:jc w:val="both"/>
        <w:textAlignment w:val="baseline"/>
        <w:rPr>
          <w:rStyle w:val="normaltextrun"/>
          <w:color w:val="000000" w:themeColor="text1"/>
          <w:lang w:val="es-ES"/>
        </w:rPr>
      </w:pPr>
    </w:p>
    <w:p w14:paraId="5AD31EC5" w14:textId="0589882C" w:rsidR="00723E3E" w:rsidRPr="00233A88" w:rsidRDefault="00723E3E" w:rsidP="00723E3E">
      <w:pPr>
        <w:pStyle w:val="Sinespaciado"/>
        <w:ind w:left="426"/>
        <w:jc w:val="both"/>
        <w:rPr>
          <w:rStyle w:val="normaltextrun"/>
          <w:rFonts w:ascii="Times New Roman" w:hAnsi="Times New Roman" w:cs="Times New Roman"/>
          <w:color w:val="000000" w:themeColor="text1"/>
          <w:sz w:val="24"/>
          <w:szCs w:val="24"/>
          <w:lang w:val="es-ES"/>
        </w:rPr>
      </w:pPr>
      <w:r w:rsidRPr="00A05D6B">
        <w:rPr>
          <w:rStyle w:val="normaltextrun"/>
          <w:rFonts w:ascii="Times New Roman" w:hAnsi="Times New Roman" w:cs="Times New Roman"/>
          <w:color w:val="000000" w:themeColor="text1"/>
          <w:sz w:val="24"/>
          <w:szCs w:val="24"/>
          <w:lang w:val="es-ES"/>
        </w:rPr>
        <w:t>En el año 2018 el PBI</w:t>
      </w:r>
      <w:r w:rsidR="00E26E07">
        <w:rPr>
          <w:rStyle w:val="normaltextrun"/>
          <w:rFonts w:ascii="Times New Roman" w:hAnsi="Times New Roman" w:cs="Times New Roman"/>
          <w:color w:val="000000" w:themeColor="text1"/>
          <w:sz w:val="24"/>
          <w:szCs w:val="24"/>
          <w:lang w:val="es-ES"/>
        </w:rPr>
        <w:t xml:space="preserve"> real presento </w:t>
      </w:r>
      <w:r w:rsidRPr="00A05D6B">
        <w:rPr>
          <w:rStyle w:val="normaltextrun"/>
          <w:rFonts w:ascii="Times New Roman" w:hAnsi="Times New Roman" w:cs="Times New Roman"/>
          <w:color w:val="000000" w:themeColor="text1"/>
          <w:sz w:val="24"/>
          <w:szCs w:val="24"/>
          <w:lang w:val="es-ES"/>
        </w:rPr>
        <w:t xml:space="preserve">un crecimiento de </w:t>
      </w:r>
      <w:r w:rsidR="00282BC8">
        <w:rPr>
          <w:rStyle w:val="normaltextrun"/>
          <w:rFonts w:ascii="Times New Roman" w:hAnsi="Times New Roman" w:cs="Times New Roman"/>
          <w:color w:val="000000" w:themeColor="text1"/>
          <w:sz w:val="24"/>
          <w:szCs w:val="24"/>
          <w:lang w:val="es-ES"/>
        </w:rPr>
        <w:t xml:space="preserve">2.92 </w:t>
      </w:r>
      <w:r w:rsidRPr="00A05D6B">
        <w:rPr>
          <w:rStyle w:val="normaltextrun"/>
          <w:rFonts w:ascii="Times New Roman" w:hAnsi="Times New Roman" w:cs="Times New Roman"/>
          <w:color w:val="000000" w:themeColor="text1"/>
          <w:sz w:val="24"/>
          <w:szCs w:val="24"/>
          <w:lang w:val="es-ES"/>
        </w:rPr>
        <w:t xml:space="preserve">% </w:t>
      </w:r>
      <w:r w:rsidR="00C80C01">
        <w:rPr>
          <w:rStyle w:val="normaltextrun"/>
          <w:rFonts w:ascii="Times New Roman" w:hAnsi="Times New Roman" w:cs="Times New Roman"/>
          <w:color w:val="000000" w:themeColor="text1"/>
          <w:sz w:val="24"/>
          <w:szCs w:val="24"/>
          <w:lang w:val="es-ES"/>
        </w:rPr>
        <w:t>un nivel mayor al alcanzado en el 2015 de 2.70</w:t>
      </w:r>
      <w:r w:rsidR="00704B8C">
        <w:rPr>
          <w:rStyle w:val="normaltextrun"/>
          <w:rFonts w:ascii="Times New Roman" w:hAnsi="Times New Roman" w:cs="Times New Roman"/>
          <w:color w:val="000000" w:themeColor="text1"/>
          <w:sz w:val="24"/>
          <w:szCs w:val="24"/>
          <w:lang w:val="es-ES"/>
        </w:rPr>
        <w:t xml:space="preserve"> </w:t>
      </w:r>
      <w:r w:rsidR="00C80C01">
        <w:rPr>
          <w:rStyle w:val="normaltextrun"/>
          <w:rFonts w:ascii="Times New Roman" w:hAnsi="Times New Roman" w:cs="Times New Roman"/>
          <w:color w:val="000000" w:themeColor="text1"/>
          <w:sz w:val="24"/>
          <w:szCs w:val="24"/>
          <w:lang w:val="es-ES"/>
        </w:rPr>
        <w:t xml:space="preserve">%, este crecimiento </w:t>
      </w:r>
      <w:r w:rsidRPr="00A05D6B">
        <w:rPr>
          <w:rStyle w:val="eop"/>
          <w:rFonts w:ascii="Times New Roman" w:hAnsi="Times New Roman" w:cs="Times New Roman"/>
          <w:color w:val="000000" w:themeColor="text1"/>
          <w:sz w:val="24"/>
          <w:szCs w:val="24"/>
          <w:lang w:val="es-ES"/>
        </w:rPr>
        <w:t xml:space="preserve">se atribuye principalmente al impulso fiscal, </w:t>
      </w:r>
      <w:r w:rsidRPr="00A05D6B">
        <w:rPr>
          <w:rFonts w:ascii="Times New Roman" w:hAnsi="Times New Roman" w:cs="Times New Roman"/>
          <w:sz w:val="24"/>
          <w:szCs w:val="24"/>
          <w:shd w:val="clear" w:color="auto" w:fill="FFFFFF"/>
        </w:rPr>
        <w:t xml:space="preserve">exportaciones, la inversión y al incremento del gasto de los consumidores. </w:t>
      </w:r>
      <w:r w:rsidRPr="00A05D6B">
        <w:rPr>
          <w:rStyle w:val="eop"/>
          <w:rFonts w:ascii="Times New Roman" w:hAnsi="Times New Roman" w:cs="Times New Roman"/>
          <w:color w:val="000000" w:themeColor="text1"/>
          <w:sz w:val="24"/>
          <w:szCs w:val="24"/>
          <w:lang w:val="es-ES"/>
        </w:rPr>
        <w:t>E</w:t>
      </w:r>
      <w:r w:rsidRPr="00A05D6B">
        <w:rPr>
          <w:rFonts w:ascii="Times New Roman" w:hAnsi="Times New Roman" w:cs="Times New Roman"/>
          <w:sz w:val="24"/>
          <w:szCs w:val="24"/>
          <w:shd w:val="clear" w:color="auto" w:fill="FFFFFF"/>
        </w:rPr>
        <w:t>l consumo privado incremento en 2.8</w:t>
      </w:r>
      <w:r w:rsidR="00704B8C">
        <w:rPr>
          <w:rFonts w:ascii="Times New Roman" w:hAnsi="Times New Roman" w:cs="Times New Roman"/>
          <w:sz w:val="24"/>
          <w:szCs w:val="24"/>
          <w:shd w:val="clear" w:color="auto" w:fill="FFFFFF"/>
        </w:rPr>
        <w:t xml:space="preserve"> </w:t>
      </w:r>
      <w:r w:rsidRPr="00A05D6B">
        <w:rPr>
          <w:rFonts w:ascii="Times New Roman" w:hAnsi="Times New Roman" w:cs="Times New Roman"/>
          <w:sz w:val="24"/>
          <w:szCs w:val="24"/>
          <w:shd w:val="clear" w:color="auto" w:fill="FFFFFF"/>
        </w:rPr>
        <w:t>% en los tres últimos meses, el impulso de la inversión empresarial incremento a</w:t>
      </w:r>
      <w:r w:rsidR="00704B8C">
        <w:rPr>
          <w:rFonts w:ascii="Times New Roman" w:hAnsi="Times New Roman" w:cs="Times New Roman"/>
          <w:sz w:val="24"/>
          <w:szCs w:val="24"/>
          <w:shd w:val="clear" w:color="auto" w:fill="FFFFFF"/>
        </w:rPr>
        <w:t xml:space="preserve"> </w:t>
      </w:r>
      <w:r w:rsidRPr="00A05D6B">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w:t>
      </w:r>
      <w:r w:rsidRPr="00A05D6B">
        <w:rPr>
          <w:rFonts w:ascii="Times New Roman" w:hAnsi="Times New Roman" w:cs="Times New Roman"/>
          <w:sz w:val="24"/>
          <w:szCs w:val="24"/>
          <w:shd w:val="clear" w:color="auto" w:fill="FFFFFF"/>
        </w:rPr>
        <w:t>2</w:t>
      </w:r>
      <w:r w:rsidR="00704B8C">
        <w:rPr>
          <w:rFonts w:ascii="Times New Roman" w:hAnsi="Times New Roman" w:cs="Times New Roman"/>
          <w:sz w:val="24"/>
          <w:szCs w:val="24"/>
          <w:shd w:val="clear" w:color="auto" w:fill="FFFFFF"/>
        </w:rPr>
        <w:t xml:space="preserve"> </w:t>
      </w:r>
      <w:r w:rsidRPr="00A05D6B">
        <w:rPr>
          <w:rFonts w:ascii="Times New Roman" w:hAnsi="Times New Roman" w:cs="Times New Roman"/>
          <w:sz w:val="24"/>
          <w:szCs w:val="24"/>
          <w:shd w:val="clear" w:color="auto" w:fill="FFFFFF"/>
        </w:rPr>
        <w:t>% y las  exportaciones, por su parte incrementaron a 1</w:t>
      </w:r>
      <w:r>
        <w:rPr>
          <w:rFonts w:ascii="Times New Roman" w:hAnsi="Times New Roman" w:cs="Times New Roman"/>
          <w:sz w:val="24"/>
          <w:szCs w:val="24"/>
          <w:shd w:val="clear" w:color="auto" w:fill="FFFFFF"/>
        </w:rPr>
        <w:t>.</w:t>
      </w:r>
      <w:r w:rsidRPr="00A05D6B">
        <w:rPr>
          <w:rFonts w:ascii="Times New Roman" w:hAnsi="Times New Roman" w:cs="Times New Roman"/>
          <w:sz w:val="24"/>
          <w:szCs w:val="24"/>
          <w:shd w:val="clear" w:color="auto" w:fill="FFFFFF"/>
        </w:rPr>
        <w:t>6</w:t>
      </w:r>
      <w:r w:rsidR="00704B8C">
        <w:rPr>
          <w:rFonts w:ascii="Times New Roman" w:hAnsi="Times New Roman" w:cs="Times New Roman"/>
          <w:sz w:val="24"/>
          <w:szCs w:val="24"/>
          <w:shd w:val="clear" w:color="auto" w:fill="FFFFFF"/>
        </w:rPr>
        <w:t xml:space="preserve"> </w:t>
      </w:r>
      <w:r w:rsidRPr="00A05D6B">
        <w:rPr>
          <w:rFonts w:ascii="Times New Roman" w:hAnsi="Times New Roman" w:cs="Times New Roman"/>
          <w:sz w:val="24"/>
          <w:szCs w:val="24"/>
          <w:shd w:val="clear" w:color="auto" w:fill="FFFFFF"/>
        </w:rPr>
        <w:t>%.</w:t>
      </w:r>
    </w:p>
    <w:p w14:paraId="35A4AA53" w14:textId="77777777" w:rsidR="00723E3E" w:rsidRDefault="00723E3E" w:rsidP="001F2DE7">
      <w:pPr>
        <w:pStyle w:val="paragraph"/>
        <w:spacing w:before="0" w:beforeAutospacing="0" w:after="0" w:afterAutospacing="0"/>
        <w:jc w:val="both"/>
        <w:textAlignment w:val="baseline"/>
        <w:rPr>
          <w:rStyle w:val="normaltextrun"/>
          <w:color w:val="000000" w:themeColor="text1"/>
          <w:lang w:val="es-ES"/>
        </w:rPr>
      </w:pPr>
    </w:p>
    <w:p w14:paraId="0926F3F1" w14:textId="0341AEE4" w:rsidR="00723E3E" w:rsidRDefault="00723E3E" w:rsidP="00723E3E">
      <w:pPr>
        <w:pStyle w:val="paragraph"/>
        <w:spacing w:before="0" w:beforeAutospacing="0" w:after="0" w:afterAutospacing="0"/>
        <w:ind w:left="426"/>
        <w:jc w:val="both"/>
        <w:textAlignment w:val="baseline"/>
        <w:rPr>
          <w:rStyle w:val="normaltextrun"/>
          <w:color w:val="000000" w:themeColor="text1"/>
          <w:lang w:val="es-ES"/>
        </w:rPr>
      </w:pPr>
      <w:r>
        <w:rPr>
          <w:rStyle w:val="normaltextrun"/>
          <w:color w:val="000000" w:themeColor="text1"/>
          <w:lang w:val="es-ES"/>
        </w:rPr>
        <w:t>E</w:t>
      </w:r>
      <w:r w:rsidR="001F2DE7">
        <w:rPr>
          <w:rStyle w:val="normaltextrun"/>
          <w:color w:val="000000" w:themeColor="text1"/>
          <w:lang w:val="es-ES"/>
        </w:rPr>
        <w:t>n e</w:t>
      </w:r>
      <w:r>
        <w:rPr>
          <w:rStyle w:val="normaltextrun"/>
          <w:color w:val="000000" w:themeColor="text1"/>
          <w:lang w:val="es-ES"/>
        </w:rPr>
        <w:t xml:space="preserve">l </w:t>
      </w:r>
      <w:r w:rsidR="001F2DE7">
        <w:rPr>
          <w:rStyle w:val="normaltextrun"/>
          <w:color w:val="000000" w:themeColor="text1"/>
          <w:lang w:val="es-ES"/>
        </w:rPr>
        <w:t xml:space="preserve">año 2019 el </w:t>
      </w:r>
      <w:r>
        <w:rPr>
          <w:rStyle w:val="normaltextrun"/>
          <w:color w:val="000000" w:themeColor="text1"/>
          <w:lang w:val="es-ES"/>
        </w:rPr>
        <w:t>PBI</w:t>
      </w:r>
      <w:r w:rsidR="001F2DE7">
        <w:rPr>
          <w:rStyle w:val="normaltextrun"/>
          <w:color w:val="000000" w:themeColor="text1"/>
          <w:lang w:val="es-ES"/>
        </w:rPr>
        <w:t xml:space="preserve"> real presento</w:t>
      </w:r>
      <w:r>
        <w:rPr>
          <w:rStyle w:val="normaltextrun"/>
          <w:color w:val="000000" w:themeColor="text1"/>
          <w:lang w:val="es-ES"/>
        </w:rPr>
        <w:t xml:space="preserve"> </w:t>
      </w:r>
      <w:r w:rsidR="001F2DE7">
        <w:rPr>
          <w:rStyle w:val="normaltextrun"/>
          <w:color w:val="000000" w:themeColor="text1"/>
          <w:lang w:val="es-ES"/>
        </w:rPr>
        <w:t>un crecimiento de 2.29 %</w:t>
      </w:r>
      <w:r w:rsidR="00624044">
        <w:rPr>
          <w:rStyle w:val="normaltextrun"/>
          <w:color w:val="000000" w:themeColor="text1"/>
          <w:lang w:val="es-ES"/>
        </w:rPr>
        <w:t xml:space="preserve"> a comparación del año pasado</w:t>
      </w:r>
      <w:r>
        <w:rPr>
          <w:rStyle w:val="normaltextrun"/>
          <w:color w:val="000000" w:themeColor="text1"/>
          <w:lang w:val="es-ES"/>
        </w:rPr>
        <w:t>. E</w:t>
      </w:r>
      <w:r>
        <w:t>l consumo, los gastos públicos y la inversión en propiedad intelectual proporcionando apoyo, contribuyendo con 1.9</w:t>
      </w:r>
      <w:r w:rsidR="003D421A">
        <w:t xml:space="preserve"> </w:t>
      </w:r>
      <w:r>
        <w:t>%, 0.4</w:t>
      </w:r>
      <w:r w:rsidR="003D421A">
        <w:t xml:space="preserve"> </w:t>
      </w:r>
      <w:r>
        <w:t>% y 0.3</w:t>
      </w:r>
      <w:r w:rsidR="003D421A">
        <w:t xml:space="preserve"> </w:t>
      </w:r>
      <w:r>
        <w:t>%, respectivamente, mientras que la inversión no residencial en estructuras y equipos descendió un 40</w:t>
      </w:r>
      <w:r w:rsidR="003D421A">
        <w:t xml:space="preserve"> </w:t>
      </w:r>
      <w:r>
        <w:t>% y un 3.8</w:t>
      </w:r>
      <w:r w:rsidR="003D421A">
        <w:t xml:space="preserve"> </w:t>
      </w:r>
      <w:r>
        <w:t>%, respectivamente. Las exportaciones netas redujeron el crecimiento en 0,1</w:t>
      </w:r>
      <w:r w:rsidR="003D421A">
        <w:t xml:space="preserve"> </w:t>
      </w:r>
      <w:r>
        <w:t xml:space="preserve">% en el tercer trimestre de 2019, pero las exportaciones mostraron señales de mejora, lo que implicaría que la distensión del comercio, la reducción de la incertidumbre política </w:t>
      </w:r>
      <w:r>
        <w:lastRenderedPageBreak/>
        <w:t>y las intervenciones políticas mundiales tuvieron un impacto positivo en la confianza mundial.</w:t>
      </w:r>
    </w:p>
    <w:p w14:paraId="76276A13" w14:textId="77777777" w:rsidR="00723E3E" w:rsidRDefault="00723E3E" w:rsidP="00DA3F2A">
      <w:pPr>
        <w:pStyle w:val="NormalWeb"/>
        <w:spacing w:before="0" w:beforeAutospacing="0" w:after="0" w:afterAutospacing="0"/>
        <w:textAlignment w:val="baseline"/>
        <w:rPr>
          <w:shd w:val="clear" w:color="auto" w:fill="FFFFFF"/>
        </w:rPr>
      </w:pPr>
    </w:p>
    <w:p w14:paraId="4A5F29CA" w14:textId="0E95D5F1" w:rsidR="00BF036E" w:rsidRPr="00BF036E" w:rsidRDefault="00BF036E" w:rsidP="00BF036E">
      <w:pPr>
        <w:pStyle w:val="NormalWeb"/>
        <w:spacing w:before="0" w:beforeAutospacing="0" w:after="0" w:afterAutospacing="0"/>
        <w:ind w:left="426"/>
        <w:textAlignment w:val="baseline"/>
        <w:rPr>
          <w:b/>
          <w:bCs/>
          <w:color w:val="000000"/>
        </w:rPr>
      </w:pPr>
      <w:r>
        <w:rPr>
          <w:b/>
          <w:bCs/>
          <w:color w:val="000000"/>
        </w:rPr>
        <w:t xml:space="preserve">Figura </w:t>
      </w:r>
    </w:p>
    <w:p w14:paraId="38183FD3" w14:textId="5A456895" w:rsidR="00064BDD" w:rsidRDefault="00BF036E" w:rsidP="00D16722">
      <w:pPr>
        <w:pStyle w:val="NormalWeb"/>
        <w:spacing w:before="0" w:beforeAutospacing="0" w:after="0" w:afterAutospacing="0"/>
        <w:ind w:left="360"/>
        <w:textAlignment w:val="baseline"/>
        <w:rPr>
          <w:i/>
          <w:iCs/>
          <w:shd w:val="clear" w:color="auto" w:fill="FFFFFF"/>
        </w:rPr>
      </w:pPr>
      <w:r w:rsidRPr="00BF036E">
        <w:rPr>
          <w:i/>
          <w:iCs/>
          <w:shd w:val="clear" w:color="auto" w:fill="FFFFFF"/>
        </w:rPr>
        <w:t xml:space="preserve">Distribución del </w:t>
      </w:r>
      <w:r>
        <w:rPr>
          <w:i/>
          <w:iCs/>
          <w:shd w:val="clear" w:color="auto" w:fill="FFFFFF"/>
        </w:rPr>
        <w:t xml:space="preserve">PBI por </w:t>
      </w:r>
      <w:r w:rsidRPr="00BF036E">
        <w:rPr>
          <w:i/>
          <w:iCs/>
          <w:shd w:val="clear" w:color="auto" w:fill="FFFFFF"/>
        </w:rPr>
        <w:t>sectores económicos 2</w:t>
      </w:r>
      <w:r>
        <w:rPr>
          <w:i/>
          <w:iCs/>
          <w:shd w:val="clear" w:color="auto" w:fill="FFFFFF"/>
        </w:rPr>
        <w:t xml:space="preserve">015 - </w:t>
      </w:r>
      <w:r w:rsidRPr="00BF036E">
        <w:rPr>
          <w:i/>
          <w:iCs/>
          <w:shd w:val="clear" w:color="auto" w:fill="FFFFFF"/>
        </w:rPr>
        <w:t>201</w:t>
      </w:r>
      <w:r>
        <w:rPr>
          <w:i/>
          <w:iCs/>
          <w:shd w:val="clear" w:color="auto" w:fill="FFFFFF"/>
        </w:rPr>
        <w:t>9</w:t>
      </w:r>
    </w:p>
    <w:p w14:paraId="3EEAA77F" w14:textId="2FF2C2DC" w:rsidR="003F2B03" w:rsidRDefault="002B2496" w:rsidP="007F300C">
      <w:pPr>
        <w:pStyle w:val="NormalWeb"/>
        <w:spacing w:before="0" w:beforeAutospacing="0" w:after="0" w:afterAutospacing="0"/>
        <w:ind w:left="360"/>
        <w:textAlignment w:val="baseline"/>
        <w:rPr>
          <w:i/>
          <w:iCs/>
          <w:shd w:val="clear" w:color="auto" w:fill="FFFFFF"/>
        </w:rPr>
      </w:pPr>
      <w:r>
        <w:rPr>
          <w:noProof/>
        </w:rPr>
        <w:drawing>
          <wp:inline distT="0" distB="0" distL="0" distR="0" wp14:anchorId="0F2A41A6" wp14:editId="53648822">
            <wp:extent cx="4726546" cy="2292439"/>
            <wp:effectExtent l="0" t="0" r="17145" b="12700"/>
            <wp:docPr id="10" name="Gráfico 10">
              <a:extLst xmlns:a="http://schemas.openxmlformats.org/drawingml/2006/main">
                <a:ext uri="{FF2B5EF4-FFF2-40B4-BE49-F238E27FC236}">
                  <a16:creationId xmlns:a16="http://schemas.microsoft.com/office/drawing/2014/main" id="{F40C8A71-8149-48C4-B373-BB07D4D55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D7C48F" w14:textId="40247874" w:rsidR="003F2B03" w:rsidRDefault="00CE3E08" w:rsidP="007F300C">
      <w:pPr>
        <w:pStyle w:val="NormalWeb"/>
        <w:spacing w:before="0" w:beforeAutospacing="0" w:after="0" w:afterAutospacing="0"/>
        <w:ind w:left="360"/>
        <w:textAlignment w:val="baseline"/>
        <w:rPr>
          <w:i/>
          <w:iCs/>
          <w:shd w:val="clear" w:color="auto" w:fill="FFFFFF"/>
        </w:rPr>
      </w:pPr>
      <w:r w:rsidRPr="00674043">
        <w:rPr>
          <w:sz w:val="22"/>
          <w:szCs w:val="22"/>
          <w:shd w:val="clear" w:color="auto" w:fill="FFFFFF"/>
        </w:rPr>
        <w:t>Nota. Statista, Elaboración propia</w:t>
      </w:r>
    </w:p>
    <w:p w14:paraId="4F8B45FB" w14:textId="77777777" w:rsidR="00002829" w:rsidRDefault="00002829" w:rsidP="00756B8C">
      <w:pPr>
        <w:pStyle w:val="NormalWeb"/>
        <w:spacing w:before="0" w:beforeAutospacing="0" w:after="0" w:afterAutospacing="0"/>
        <w:ind w:left="360"/>
        <w:jc w:val="both"/>
        <w:textAlignment w:val="baseline"/>
        <w:rPr>
          <w:shd w:val="clear" w:color="auto" w:fill="FFFFFF"/>
        </w:rPr>
      </w:pPr>
    </w:p>
    <w:p w14:paraId="58F70131" w14:textId="5A281A71" w:rsidR="00232094" w:rsidRDefault="00232094" w:rsidP="00756B8C">
      <w:pPr>
        <w:pStyle w:val="NormalWeb"/>
        <w:spacing w:before="0" w:beforeAutospacing="0" w:after="0" w:afterAutospacing="0"/>
        <w:ind w:left="360"/>
        <w:jc w:val="both"/>
        <w:textAlignment w:val="baseline"/>
        <w:rPr>
          <w:shd w:val="clear" w:color="auto" w:fill="FFFFFF"/>
        </w:rPr>
      </w:pPr>
      <w:r>
        <w:rPr>
          <w:shd w:val="clear" w:color="auto" w:fill="FFFFFF"/>
        </w:rPr>
        <w:t>En la figura</w:t>
      </w:r>
      <w:r w:rsidR="00F318CE">
        <w:rPr>
          <w:shd w:val="clear" w:color="auto" w:fill="FFFFFF"/>
        </w:rPr>
        <w:t xml:space="preserve"> </w:t>
      </w:r>
      <w:r>
        <w:rPr>
          <w:shd w:val="clear" w:color="auto" w:fill="FFFFFF"/>
        </w:rPr>
        <w:t>,</w:t>
      </w:r>
      <w:r w:rsidR="003A7BAF">
        <w:rPr>
          <w:shd w:val="clear" w:color="auto" w:fill="FFFFFF"/>
        </w:rPr>
        <w:t xml:space="preserve"> </w:t>
      </w:r>
      <w:r w:rsidR="00F318CE">
        <w:rPr>
          <w:shd w:val="clear" w:color="auto" w:fill="FFFFFF"/>
        </w:rPr>
        <w:t>la serie de d</w:t>
      </w:r>
      <w:r w:rsidRPr="00232094">
        <w:rPr>
          <w:shd w:val="clear" w:color="auto" w:fill="FFFFFF"/>
        </w:rPr>
        <w:t xml:space="preserve">istribución del PBI por sectores económicos 2015 </w:t>
      </w:r>
      <w:r w:rsidR="009F6CD8">
        <w:rPr>
          <w:shd w:val="clear" w:color="auto" w:fill="FFFFFF"/>
        </w:rPr>
        <w:t>–</w:t>
      </w:r>
      <w:r w:rsidRPr="00232094">
        <w:rPr>
          <w:shd w:val="clear" w:color="auto" w:fill="FFFFFF"/>
        </w:rPr>
        <w:t xml:space="preserve"> 2019</w:t>
      </w:r>
      <w:r w:rsidR="009F6CD8">
        <w:rPr>
          <w:shd w:val="clear" w:color="auto" w:fill="FFFFFF"/>
        </w:rPr>
        <w:t xml:space="preserve"> </w:t>
      </w:r>
      <w:r w:rsidR="00A337DA">
        <w:rPr>
          <w:shd w:val="clear" w:color="auto" w:fill="FFFFFF"/>
        </w:rPr>
        <w:t xml:space="preserve">presenta una </w:t>
      </w:r>
      <w:r w:rsidR="009F6CD8">
        <w:rPr>
          <w:shd w:val="clear" w:color="auto" w:fill="FFFFFF"/>
        </w:rPr>
        <w:t>aprecia</w:t>
      </w:r>
      <w:r w:rsidR="00A337DA">
        <w:rPr>
          <w:shd w:val="clear" w:color="auto" w:fill="FFFFFF"/>
        </w:rPr>
        <w:t>ción de</w:t>
      </w:r>
      <w:r w:rsidR="009F6CD8">
        <w:rPr>
          <w:shd w:val="clear" w:color="auto" w:fill="FFFFFF"/>
        </w:rPr>
        <w:t xml:space="preserve"> la distribución de la actividad económica por sector</w:t>
      </w:r>
      <w:r w:rsidR="00A337DA">
        <w:rPr>
          <w:shd w:val="clear" w:color="auto" w:fill="FFFFFF"/>
        </w:rPr>
        <w:t>es económicos más influyentes en la economía</w:t>
      </w:r>
      <w:r w:rsidR="00551E63">
        <w:rPr>
          <w:shd w:val="clear" w:color="auto" w:fill="FFFFFF"/>
        </w:rPr>
        <w:t xml:space="preserve">, </w:t>
      </w:r>
      <w:r w:rsidR="009F6CD8">
        <w:rPr>
          <w:shd w:val="clear" w:color="auto" w:fill="FFFFFF"/>
        </w:rPr>
        <w:t>siendo los sectores m</w:t>
      </w:r>
      <w:r w:rsidR="00551E63">
        <w:rPr>
          <w:shd w:val="clear" w:color="auto" w:fill="FFFFFF"/>
        </w:rPr>
        <w:t>á</w:t>
      </w:r>
      <w:r w:rsidR="009F6CD8">
        <w:rPr>
          <w:shd w:val="clear" w:color="auto" w:fill="FFFFFF"/>
        </w:rPr>
        <w:t xml:space="preserve">s </w:t>
      </w:r>
      <w:r w:rsidR="00551E63">
        <w:rPr>
          <w:shd w:val="clear" w:color="auto" w:fill="FFFFFF"/>
        </w:rPr>
        <w:t>importantes el de s</w:t>
      </w:r>
      <w:r w:rsidR="009F6CD8">
        <w:rPr>
          <w:shd w:val="clear" w:color="auto" w:fill="FFFFFF"/>
        </w:rPr>
        <w:t xml:space="preserve">ervicios, </w:t>
      </w:r>
      <w:r w:rsidR="00551E63">
        <w:rPr>
          <w:shd w:val="clear" w:color="auto" w:fill="FFFFFF"/>
        </w:rPr>
        <w:t>i</w:t>
      </w:r>
      <w:r w:rsidR="009F6CD8">
        <w:rPr>
          <w:shd w:val="clear" w:color="auto" w:fill="FFFFFF"/>
        </w:rPr>
        <w:t>ndustria y agricultura.</w:t>
      </w:r>
    </w:p>
    <w:p w14:paraId="34BCFF1E" w14:textId="77777777" w:rsidR="009732C2" w:rsidRDefault="009732C2" w:rsidP="00756B8C">
      <w:pPr>
        <w:pStyle w:val="NormalWeb"/>
        <w:spacing w:before="0" w:beforeAutospacing="0" w:after="0" w:afterAutospacing="0"/>
        <w:ind w:left="360"/>
        <w:jc w:val="both"/>
        <w:textAlignment w:val="baseline"/>
        <w:rPr>
          <w:shd w:val="clear" w:color="auto" w:fill="FFFFFF"/>
        </w:rPr>
      </w:pPr>
    </w:p>
    <w:p w14:paraId="54367474" w14:textId="46C6DBED" w:rsidR="00BC0502" w:rsidRPr="00232094" w:rsidRDefault="00BC0502" w:rsidP="003C690C">
      <w:pPr>
        <w:pStyle w:val="NormalWeb"/>
        <w:spacing w:before="0" w:beforeAutospacing="0" w:after="0" w:afterAutospacing="0"/>
        <w:ind w:left="360"/>
        <w:jc w:val="both"/>
        <w:textAlignment w:val="baseline"/>
        <w:rPr>
          <w:shd w:val="clear" w:color="auto" w:fill="FFFFFF"/>
        </w:rPr>
      </w:pPr>
      <w:r>
        <w:rPr>
          <w:shd w:val="clear" w:color="auto" w:fill="FFFFFF"/>
        </w:rPr>
        <w:t>En el</w:t>
      </w:r>
      <w:r w:rsidR="00423223">
        <w:rPr>
          <w:shd w:val="clear" w:color="auto" w:fill="FFFFFF"/>
        </w:rPr>
        <w:t xml:space="preserve"> año</w:t>
      </w:r>
      <w:r>
        <w:rPr>
          <w:shd w:val="clear" w:color="auto" w:fill="FFFFFF"/>
        </w:rPr>
        <w:t xml:space="preserve"> 2019 </w:t>
      </w:r>
      <w:r w:rsidR="00423223">
        <w:rPr>
          <w:shd w:val="clear" w:color="auto" w:fill="FFFFFF"/>
        </w:rPr>
        <w:t xml:space="preserve">el sector económico que </w:t>
      </w:r>
      <w:r w:rsidR="00141C72">
        <w:rPr>
          <w:shd w:val="clear" w:color="auto" w:fill="FFFFFF"/>
        </w:rPr>
        <w:t>influyo más en</w:t>
      </w:r>
      <w:r w:rsidR="00423223">
        <w:rPr>
          <w:shd w:val="clear" w:color="auto" w:fill="FFFFFF"/>
        </w:rPr>
        <w:t xml:space="preserve"> el crecimiento económico es el sector servicios con un </w:t>
      </w:r>
      <w:r>
        <w:rPr>
          <w:shd w:val="clear" w:color="auto" w:fill="FFFFFF"/>
        </w:rPr>
        <w:t xml:space="preserve">76.89 % </w:t>
      </w:r>
      <w:r w:rsidR="00FF77E5">
        <w:rPr>
          <w:shd w:val="clear" w:color="auto" w:fill="FFFFFF"/>
        </w:rPr>
        <w:t xml:space="preserve">, industria un </w:t>
      </w:r>
      <w:r>
        <w:rPr>
          <w:shd w:val="clear" w:color="auto" w:fill="FFFFFF"/>
        </w:rPr>
        <w:t xml:space="preserve">18.64 % </w:t>
      </w:r>
      <w:r w:rsidR="00FF77E5">
        <w:rPr>
          <w:shd w:val="clear" w:color="auto" w:fill="FFFFFF"/>
        </w:rPr>
        <w:t xml:space="preserve">y finalmente la agricultura en un </w:t>
      </w:r>
      <w:r>
        <w:rPr>
          <w:shd w:val="clear" w:color="auto" w:fill="FFFFFF"/>
        </w:rPr>
        <w:t>0.86</w:t>
      </w:r>
      <w:r w:rsidR="00FF77E5">
        <w:rPr>
          <w:shd w:val="clear" w:color="auto" w:fill="FFFFFF"/>
        </w:rPr>
        <w:t xml:space="preserve"> </w:t>
      </w:r>
      <w:r>
        <w:rPr>
          <w:shd w:val="clear" w:color="auto" w:fill="FFFFFF"/>
        </w:rPr>
        <w:t>%</w:t>
      </w:r>
      <w:r w:rsidR="009C6992">
        <w:rPr>
          <w:shd w:val="clear" w:color="auto" w:fill="FFFFFF"/>
        </w:rPr>
        <w:t>.</w:t>
      </w:r>
    </w:p>
    <w:p w14:paraId="63F74B1A" w14:textId="77777777" w:rsidR="00723E3E" w:rsidRDefault="00723E3E" w:rsidP="006E09EE">
      <w:pPr>
        <w:pStyle w:val="NormalWeb"/>
        <w:spacing w:before="0" w:beforeAutospacing="0" w:after="0" w:afterAutospacing="0"/>
        <w:textAlignment w:val="baseline"/>
        <w:rPr>
          <w:b/>
          <w:bCs/>
          <w:color w:val="000000"/>
        </w:rPr>
      </w:pPr>
    </w:p>
    <w:p w14:paraId="678AF0C6" w14:textId="1887602A" w:rsidR="00372BFA" w:rsidRDefault="00372BFA" w:rsidP="00372BFA">
      <w:pPr>
        <w:pStyle w:val="NormalWeb"/>
        <w:spacing w:before="0" w:beforeAutospacing="0" w:after="0" w:afterAutospacing="0"/>
        <w:ind w:left="426"/>
        <w:textAlignment w:val="baseline"/>
        <w:rPr>
          <w:b/>
          <w:bCs/>
          <w:color w:val="000000"/>
        </w:rPr>
      </w:pPr>
      <w:r>
        <w:rPr>
          <w:b/>
          <w:bCs/>
          <w:color w:val="000000"/>
        </w:rPr>
        <w:t xml:space="preserve">Figura </w:t>
      </w:r>
    </w:p>
    <w:p w14:paraId="5843D96F" w14:textId="4D10BF67" w:rsidR="00372BFA" w:rsidRPr="00A749F0" w:rsidRDefault="00372BFA" w:rsidP="00372BFA">
      <w:pPr>
        <w:pStyle w:val="NormalWeb"/>
        <w:spacing w:before="0" w:beforeAutospacing="0" w:after="0" w:afterAutospacing="0"/>
        <w:ind w:left="426"/>
        <w:textAlignment w:val="baseline"/>
        <w:rPr>
          <w:i/>
          <w:iCs/>
          <w:color w:val="000000"/>
        </w:rPr>
      </w:pPr>
      <w:r w:rsidRPr="00A749F0">
        <w:rPr>
          <w:i/>
          <w:iCs/>
          <w:color w:val="000000"/>
        </w:rPr>
        <w:t>Producto Bruto Interno</w:t>
      </w:r>
      <w:r>
        <w:rPr>
          <w:i/>
          <w:iCs/>
          <w:color w:val="000000"/>
        </w:rPr>
        <w:t xml:space="preserve"> per cápita</w:t>
      </w:r>
      <w:r w:rsidRPr="00A749F0">
        <w:rPr>
          <w:i/>
          <w:iCs/>
          <w:color w:val="000000"/>
        </w:rPr>
        <w:t xml:space="preserve"> 2015 – 2019 </w:t>
      </w:r>
      <w:r>
        <w:rPr>
          <w:i/>
          <w:iCs/>
          <w:color w:val="000000"/>
        </w:rPr>
        <w:t>(</w:t>
      </w:r>
      <w:r w:rsidR="00AC5787">
        <w:rPr>
          <w:i/>
          <w:iCs/>
          <w:color w:val="000000"/>
        </w:rPr>
        <w:t>U</w:t>
      </w:r>
      <w:r>
        <w:rPr>
          <w:i/>
          <w:iCs/>
          <w:color w:val="000000"/>
        </w:rPr>
        <w:t>M</w:t>
      </w:r>
      <w:r w:rsidR="00AC5787">
        <w:rPr>
          <w:i/>
          <w:iCs/>
          <w:color w:val="000000"/>
        </w:rPr>
        <w:t xml:space="preserve">N </w:t>
      </w:r>
      <w:r>
        <w:rPr>
          <w:i/>
          <w:iCs/>
          <w:color w:val="000000"/>
        </w:rPr>
        <w:t>USD)</w:t>
      </w:r>
    </w:p>
    <w:p w14:paraId="1E117864" w14:textId="5BCDAC5B" w:rsidR="00372BFA" w:rsidRPr="00372BFA" w:rsidRDefault="00F11366" w:rsidP="00B237D5">
      <w:pPr>
        <w:pStyle w:val="paragraph"/>
        <w:spacing w:before="0" w:beforeAutospacing="0" w:after="0" w:afterAutospacing="0"/>
        <w:ind w:left="426"/>
        <w:textAlignment w:val="baseline"/>
        <w:rPr>
          <w:rStyle w:val="normaltextrun"/>
        </w:rPr>
      </w:pPr>
      <w:r>
        <w:rPr>
          <w:noProof/>
        </w:rPr>
        <w:drawing>
          <wp:inline distT="0" distB="0" distL="0" distR="0" wp14:anchorId="7C59F453" wp14:editId="329E1B8C">
            <wp:extent cx="4649273" cy="2195830"/>
            <wp:effectExtent l="0" t="0" r="18415" b="13970"/>
            <wp:docPr id="6" name="Gráfico 6">
              <a:extLst xmlns:a="http://schemas.openxmlformats.org/drawingml/2006/main">
                <a:ext uri="{FF2B5EF4-FFF2-40B4-BE49-F238E27FC236}">
                  <a16:creationId xmlns:a16="http://schemas.microsoft.com/office/drawing/2014/main" id="{433BD70B-1F18-4999-9BA7-E89C43F74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A2EE94" w14:textId="114E88FF" w:rsidR="00372BFA" w:rsidRDefault="00FC6417" w:rsidP="00B237D5">
      <w:pPr>
        <w:pStyle w:val="paragraph"/>
        <w:spacing w:before="0" w:beforeAutospacing="0" w:after="0" w:afterAutospacing="0"/>
        <w:ind w:left="426"/>
        <w:textAlignment w:val="baseline"/>
        <w:rPr>
          <w:rStyle w:val="normaltextrun"/>
        </w:rPr>
      </w:pPr>
      <w:r>
        <w:rPr>
          <w:rStyle w:val="normaltextrun"/>
        </w:rPr>
        <w:t xml:space="preserve">Nota. </w:t>
      </w:r>
    </w:p>
    <w:p w14:paraId="0ABB77B2" w14:textId="77777777" w:rsidR="00FC6417" w:rsidRDefault="00FC6417" w:rsidP="00D244D5">
      <w:pPr>
        <w:pStyle w:val="NormalWeb"/>
        <w:spacing w:before="0" w:beforeAutospacing="0" w:after="0" w:afterAutospacing="0"/>
        <w:ind w:left="360"/>
        <w:jc w:val="both"/>
        <w:textAlignment w:val="baseline"/>
        <w:rPr>
          <w:shd w:val="clear" w:color="auto" w:fill="FFFFFF"/>
        </w:rPr>
      </w:pPr>
    </w:p>
    <w:p w14:paraId="47FDD764" w14:textId="77777777" w:rsidR="004F1213" w:rsidRDefault="004F1213" w:rsidP="00742F79">
      <w:pPr>
        <w:pStyle w:val="NormalWeb"/>
        <w:spacing w:before="0" w:beforeAutospacing="0" w:after="0" w:afterAutospacing="0"/>
        <w:ind w:left="360"/>
        <w:jc w:val="both"/>
        <w:textAlignment w:val="baseline"/>
        <w:rPr>
          <w:shd w:val="clear" w:color="auto" w:fill="FFFFFF"/>
        </w:rPr>
      </w:pPr>
    </w:p>
    <w:p w14:paraId="11543A50" w14:textId="19E4B1E3" w:rsidR="00075A53" w:rsidRPr="00EF4A0D" w:rsidRDefault="00CB08D1" w:rsidP="003F2E53">
      <w:pPr>
        <w:pStyle w:val="NormalWeb"/>
        <w:spacing w:before="0" w:beforeAutospacing="0" w:after="0" w:afterAutospacing="0"/>
        <w:ind w:left="360"/>
        <w:jc w:val="both"/>
        <w:textAlignment w:val="baseline"/>
        <w:rPr>
          <w:shd w:val="clear" w:color="auto" w:fill="FFFFFF"/>
        </w:rPr>
      </w:pPr>
      <w:r>
        <w:rPr>
          <w:shd w:val="clear" w:color="auto" w:fill="FFFFFF"/>
        </w:rPr>
        <w:lastRenderedPageBreak/>
        <w:t>En la figura, l</w:t>
      </w:r>
      <w:r w:rsidR="00D244D5">
        <w:rPr>
          <w:shd w:val="clear" w:color="auto" w:fill="FFFFFF"/>
        </w:rPr>
        <w:t>a serie del PBI per cápita del año 2015 al 2019 present</w:t>
      </w:r>
      <w:r w:rsidR="00C5228C">
        <w:rPr>
          <w:shd w:val="clear" w:color="auto" w:fill="FFFFFF"/>
        </w:rPr>
        <w:t>o</w:t>
      </w:r>
      <w:r w:rsidR="00D244D5">
        <w:rPr>
          <w:shd w:val="clear" w:color="auto" w:fill="FFFFFF"/>
        </w:rPr>
        <w:t xml:space="preserve"> una tendencia creciente, lo cual refleja que al pasar los años el nivel de vida </w:t>
      </w:r>
      <w:r w:rsidR="00EF54DE">
        <w:rPr>
          <w:shd w:val="clear" w:color="auto" w:fill="FFFFFF"/>
        </w:rPr>
        <w:t xml:space="preserve">y el poder adquisitivo </w:t>
      </w:r>
      <w:r w:rsidR="00D244D5">
        <w:rPr>
          <w:shd w:val="clear" w:color="auto" w:fill="FFFFFF"/>
        </w:rPr>
        <w:t xml:space="preserve">de los ciudadanos es bastante alto y se percibe mayores ingresos por la </w:t>
      </w:r>
      <w:r w:rsidR="00863E1B">
        <w:rPr>
          <w:shd w:val="clear" w:color="auto" w:fill="FFFFFF"/>
        </w:rPr>
        <w:t xml:space="preserve">mayor </w:t>
      </w:r>
      <w:r w:rsidR="00D244D5">
        <w:rPr>
          <w:shd w:val="clear" w:color="auto" w:fill="FFFFFF"/>
        </w:rPr>
        <w:t>productividad y especialización</w:t>
      </w:r>
      <w:r w:rsidR="00C5228C">
        <w:rPr>
          <w:shd w:val="clear" w:color="auto" w:fill="FFFFFF"/>
        </w:rPr>
        <w:t xml:space="preserve"> de la economía</w:t>
      </w:r>
      <w:r w:rsidR="009C7F4B">
        <w:rPr>
          <w:shd w:val="clear" w:color="auto" w:fill="FFFFFF"/>
        </w:rPr>
        <w:t xml:space="preserve"> en los sectores de</w:t>
      </w:r>
      <w:r w:rsidR="00C5228C">
        <w:rPr>
          <w:shd w:val="clear" w:color="auto" w:fill="FFFFFF"/>
        </w:rPr>
        <w:t xml:space="preserve"> servicios, industria</w:t>
      </w:r>
      <w:r w:rsidR="005A15C5">
        <w:rPr>
          <w:shd w:val="clear" w:color="auto" w:fill="FFFFFF"/>
        </w:rPr>
        <w:t xml:space="preserve"> y</w:t>
      </w:r>
      <w:r w:rsidR="00C5228C">
        <w:rPr>
          <w:shd w:val="clear" w:color="auto" w:fill="FFFFFF"/>
        </w:rPr>
        <w:t xml:space="preserve"> agricultura.</w:t>
      </w:r>
      <w:r w:rsidR="002D3BB5">
        <w:rPr>
          <w:shd w:val="clear" w:color="auto" w:fill="FFFFFF"/>
        </w:rPr>
        <w:t xml:space="preserve"> </w:t>
      </w:r>
      <w:r w:rsidR="009133C9">
        <w:rPr>
          <w:rStyle w:val="normaltextrun"/>
          <w:lang w:val="es-ES"/>
        </w:rPr>
        <w:t>En el año 2019 el PBI per cápita fue de $ 65,</w:t>
      </w:r>
      <w:r w:rsidR="00AC5787">
        <w:rPr>
          <w:rStyle w:val="normaltextrun"/>
          <w:lang w:val="es-ES"/>
        </w:rPr>
        <w:t>052</w:t>
      </w:r>
      <w:r w:rsidR="002D3BB5">
        <w:rPr>
          <w:rStyle w:val="normaltextrun"/>
          <w:lang w:val="es-ES"/>
        </w:rPr>
        <w:t xml:space="preserve"> mayor al año 2018 de 62,770 dólares. </w:t>
      </w:r>
    </w:p>
    <w:p w14:paraId="7ED45D91" w14:textId="77777777" w:rsidR="009B04EE" w:rsidRPr="00EE3D3C" w:rsidRDefault="009B04EE" w:rsidP="003F2E53">
      <w:pPr>
        <w:pStyle w:val="NormalWeb"/>
        <w:spacing w:before="0" w:beforeAutospacing="0" w:after="0" w:afterAutospacing="0"/>
        <w:jc w:val="both"/>
        <w:textAlignment w:val="baseline"/>
        <w:rPr>
          <w:b/>
          <w:bCs/>
          <w:color w:val="000000"/>
        </w:rPr>
      </w:pPr>
    </w:p>
    <w:p w14:paraId="1A0B3B9A" w14:textId="504117DE" w:rsidR="007F300C" w:rsidRDefault="007F300C" w:rsidP="003F2E53">
      <w:pPr>
        <w:pStyle w:val="NormalWeb"/>
        <w:numPr>
          <w:ilvl w:val="2"/>
          <w:numId w:val="3"/>
        </w:numPr>
        <w:spacing w:before="0" w:beforeAutospacing="0" w:after="0" w:afterAutospacing="0"/>
        <w:ind w:hanging="294"/>
        <w:jc w:val="both"/>
        <w:textAlignment w:val="baseline"/>
        <w:rPr>
          <w:b/>
          <w:bCs/>
          <w:color w:val="000000"/>
        </w:rPr>
      </w:pPr>
      <w:r w:rsidRPr="00EE3D3C">
        <w:rPr>
          <w:b/>
          <w:bCs/>
          <w:color w:val="000000"/>
        </w:rPr>
        <w:t>Fuerza Laboral</w:t>
      </w:r>
    </w:p>
    <w:p w14:paraId="6C3D9116" w14:textId="10F3F959" w:rsidR="00010B29" w:rsidRDefault="00010B29" w:rsidP="003F2E53">
      <w:pPr>
        <w:pStyle w:val="NormalWeb"/>
        <w:spacing w:before="0" w:beforeAutospacing="0" w:after="0" w:afterAutospacing="0"/>
        <w:ind w:left="426"/>
        <w:jc w:val="both"/>
        <w:textAlignment w:val="baseline"/>
        <w:rPr>
          <w:b/>
          <w:bCs/>
          <w:color w:val="000000"/>
        </w:rPr>
      </w:pPr>
    </w:p>
    <w:p w14:paraId="63A3BDA0" w14:textId="770A12F3" w:rsidR="00010B29" w:rsidRPr="00B17A0E" w:rsidRDefault="00010B29" w:rsidP="00B17A0E">
      <w:pPr>
        <w:pStyle w:val="NormalWeb"/>
        <w:spacing w:before="0" w:beforeAutospacing="0" w:after="0" w:afterAutospacing="0"/>
        <w:ind w:left="426"/>
        <w:textAlignment w:val="baseline"/>
        <w:rPr>
          <w:b/>
          <w:bCs/>
          <w:color w:val="000000"/>
        </w:rPr>
      </w:pPr>
      <w:r>
        <w:rPr>
          <w:b/>
          <w:bCs/>
          <w:color w:val="000000"/>
        </w:rPr>
        <w:t xml:space="preserve">Figura </w:t>
      </w:r>
    </w:p>
    <w:p w14:paraId="40EEEE8E" w14:textId="1C6FF127" w:rsidR="00FD0DE5" w:rsidRPr="004D5DFD" w:rsidRDefault="00010B29" w:rsidP="004D5DFD">
      <w:pPr>
        <w:pStyle w:val="NormalWeb"/>
        <w:spacing w:before="0" w:beforeAutospacing="0" w:after="0" w:afterAutospacing="0"/>
        <w:ind w:left="426"/>
        <w:textAlignment w:val="baseline"/>
        <w:rPr>
          <w:rStyle w:val="normaltextrun"/>
          <w:i/>
          <w:iCs/>
          <w:color w:val="000000"/>
        </w:rPr>
      </w:pPr>
      <w:r w:rsidRPr="00B17A0E">
        <w:rPr>
          <w:i/>
          <w:iCs/>
          <w:color w:val="000000"/>
        </w:rPr>
        <w:t>Distribución de la mano de obra por sectores económicos</w:t>
      </w:r>
      <w:r w:rsidR="00B17A0E">
        <w:rPr>
          <w:i/>
          <w:iCs/>
          <w:color w:val="000000"/>
        </w:rPr>
        <w:t xml:space="preserve"> 2015 - 2019</w:t>
      </w:r>
    </w:p>
    <w:p w14:paraId="2670FF77" w14:textId="79EDF50D" w:rsidR="00B17A0E" w:rsidRDefault="004D5DFD" w:rsidP="00FD0DE5">
      <w:pPr>
        <w:pStyle w:val="paragraph"/>
        <w:spacing w:before="0" w:beforeAutospacing="0" w:after="0" w:afterAutospacing="0"/>
        <w:ind w:left="360"/>
        <w:jc w:val="both"/>
        <w:textAlignment w:val="baseline"/>
        <w:rPr>
          <w:rStyle w:val="normaltextrun"/>
          <w:color w:val="000000" w:themeColor="text1"/>
          <w:lang w:val="es-ES"/>
        </w:rPr>
      </w:pPr>
      <w:r>
        <w:rPr>
          <w:noProof/>
        </w:rPr>
        <w:drawing>
          <wp:inline distT="0" distB="0" distL="0" distR="0" wp14:anchorId="38DEED42" wp14:editId="14062F6D">
            <wp:extent cx="5119352" cy="2286000"/>
            <wp:effectExtent l="0" t="0" r="5715" b="0"/>
            <wp:docPr id="11" name="Gráfico 11">
              <a:extLst xmlns:a="http://schemas.openxmlformats.org/drawingml/2006/main">
                <a:ext uri="{FF2B5EF4-FFF2-40B4-BE49-F238E27FC236}">
                  <a16:creationId xmlns:a16="http://schemas.microsoft.com/office/drawing/2014/main" id="{36FB5325-B428-4EE8-A294-4BA783B26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382E7" w14:textId="77777777" w:rsidR="001C7944" w:rsidRDefault="001C7944" w:rsidP="001C7944">
      <w:pPr>
        <w:pStyle w:val="NormalWeb"/>
        <w:spacing w:before="0" w:beforeAutospacing="0" w:after="0" w:afterAutospacing="0"/>
        <w:ind w:left="360"/>
        <w:textAlignment w:val="baseline"/>
        <w:rPr>
          <w:i/>
          <w:iCs/>
          <w:shd w:val="clear" w:color="auto" w:fill="FFFFFF"/>
        </w:rPr>
      </w:pPr>
      <w:r w:rsidRPr="00674043">
        <w:rPr>
          <w:sz w:val="22"/>
          <w:szCs w:val="22"/>
          <w:shd w:val="clear" w:color="auto" w:fill="FFFFFF"/>
        </w:rPr>
        <w:t>Nota. Statista, Elaboración propia</w:t>
      </w:r>
    </w:p>
    <w:p w14:paraId="5E0EE7B1" w14:textId="6C785B8D" w:rsidR="00B17A0E" w:rsidRDefault="00B17A0E" w:rsidP="00FD0DE5">
      <w:pPr>
        <w:pStyle w:val="paragraph"/>
        <w:spacing w:before="0" w:beforeAutospacing="0" w:after="0" w:afterAutospacing="0"/>
        <w:ind w:left="360"/>
        <w:jc w:val="both"/>
        <w:textAlignment w:val="baseline"/>
        <w:rPr>
          <w:rStyle w:val="normaltextrun"/>
          <w:color w:val="000000" w:themeColor="text1"/>
          <w:lang w:val="es-ES"/>
        </w:rPr>
      </w:pPr>
    </w:p>
    <w:p w14:paraId="2A03337B" w14:textId="77777777" w:rsidR="00352AA2" w:rsidRDefault="00352AA2" w:rsidP="00352AA2">
      <w:pPr>
        <w:pStyle w:val="paragraph"/>
        <w:spacing w:before="0" w:beforeAutospacing="0" w:after="0" w:afterAutospacing="0"/>
        <w:ind w:left="426"/>
        <w:jc w:val="both"/>
        <w:textAlignment w:val="baseline"/>
        <w:rPr>
          <w:rStyle w:val="normaltextrun"/>
          <w:color w:val="000000" w:themeColor="text1"/>
          <w:lang w:val="es-ES"/>
        </w:rPr>
      </w:pPr>
      <w:r w:rsidRPr="00EB3F5B">
        <w:rPr>
          <w:rStyle w:val="normaltextrun"/>
          <w:color w:val="000000" w:themeColor="text1"/>
          <w:lang w:val="es-ES"/>
        </w:rPr>
        <w:t xml:space="preserve">La economía estadounidense se basa esencialmente en servicios. El sector terciario contribuye con más de tres cuartos del PIB (77,4%) y emplea a más de 79% de la fuerza laboral del país. Una gran parte del PIB se compone del sector de finanzas, seguros, bienes raíces, renta y arrendamiento (21% en 2019); al igual que de los servicios profesionales y comerciales (12,8%). </w:t>
      </w:r>
    </w:p>
    <w:p w14:paraId="50F033E2" w14:textId="77777777" w:rsidR="00352AA2" w:rsidRDefault="00352AA2" w:rsidP="00352AA2">
      <w:pPr>
        <w:pStyle w:val="paragraph"/>
        <w:spacing w:before="0" w:beforeAutospacing="0" w:after="0" w:afterAutospacing="0"/>
        <w:jc w:val="both"/>
        <w:textAlignment w:val="baseline"/>
        <w:rPr>
          <w:rStyle w:val="normaltextrun"/>
          <w:color w:val="000000" w:themeColor="text1"/>
          <w:lang w:val="es-ES"/>
        </w:rPr>
      </w:pPr>
    </w:p>
    <w:p w14:paraId="715C776D" w14:textId="00C64275" w:rsidR="00A924BF" w:rsidRDefault="00A924BF" w:rsidP="00A924BF">
      <w:pPr>
        <w:pStyle w:val="paragraph"/>
        <w:spacing w:before="0" w:beforeAutospacing="0" w:after="0" w:afterAutospacing="0"/>
        <w:ind w:left="426"/>
        <w:jc w:val="both"/>
        <w:textAlignment w:val="baseline"/>
        <w:rPr>
          <w:rStyle w:val="normaltextrun"/>
          <w:color w:val="000000" w:themeColor="text1"/>
          <w:lang w:val="es-ES"/>
        </w:rPr>
      </w:pPr>
      <w:r>
        <w:rPr>
          <w:rStyle w:val="normaltextrun"/>
          <w:color w:val="000000" w:themeColor="text1"/>
          <w:lang w:val="es-ES"/>
        </w:rPr>
        <w:t xml:space="preserve">El </w:t>
      </w:r>
      <w:r w:rsidRPr="00EB3F5B">
        <w:rPr>
          <w:rStyle w:val="normaltextrun"/>
          <w:color w:val="000000" w:themeColor="text1"/>
          <w:lang w:val="es-ES"/>
        </w:rPr>
        <w:t xml:space="preserve">sector industrial aporta sobre 18,2% del PIB y emplea a un 20% de la fuerza laboral. el país es líder mundial en las industrias aeroespacial y farmacéutica. Gracias a sus abundantes recursos naturales, Estados Unidos se ha convertido en un líder en la producción de una cantidad de minerales, y ha sido capaz de mantener una producción diversificada. </w:t>
      </w:r>
    </w:p>
    <w:p w14:paraId="605D1C6B" w14:textId="6F1819CC" w:rsidR="00125DD1" w:rsidRDefault="00125DD1" w:rsidP="00A924BF">
      <w:pPr>
        <w:pStyle w:val="paragraph"/>
        <w:spacing w:before="0" w:beforeAutospacing="0" w:after="0" w:afterAutospacing="0"/>
        <w:jc w:val="both"/>
        <w:textAlignment w:val="baseline"/>
        <w:rPr>
          <w:rStyle w:val="normaltextrun"/>
          <w:color w:val="000000" w:themeColor="text1"/>
          <w:lang w:val="es-ES"/>
        </w:rPr>
      </w:pPr>
    </w:p>
    <w:p w14:paraId="1D8C9916" w14:textId="77777777" w:rsidR="00125DD1" w:rsidRPr="00FD0DE5" w:rsidRDefault="00125DD1" w:rsidP="00125DD1">
      <w:pPr>
        <w:pStyle w:val="paragraph"/>
        <w:spacing w:before="0" w:beforeAutospacing="0" w:after="0" w:afterAutospacing="0"/>
        <w:ind w:left="426"/>
        <w:jc w:val="both"/>
        <w:textAlignment w:val="baseline"/>
        <w:rPr>
          <w:color w:val="000000" w:themeColor="text1"/>
          <w:lang w:val="es-ES"/>
        </w:rPr>
      </w:pPr>
      <w:r w:rsidRPr="00EB3F5B">
        <w:rPr>
          <w:rStyle w:val="normaltextrun"/>
          <w:color w:val="000000" w:themeColor="text1"/>
          <w:lang w:val="es-ES"/>
        </w:rPr>
        <w:t>El sector Agrícola Americano es, sin duda, uno de los más grandes del mundo</w:t>
      </w:r>
      <w:r>
        <w:rPr>
          <w:rStyle w:val="normaltextrun"/>
          <w:color w:val="000000" w:themeColor="text1"/>
          <w:lang w:val="es-ES"/>
        </w:rPr>
        <w:t xml:space="preserve"> que </w:t>
      </w:r>
      <w:r w:rsidRPr="00EB3F5B">
        <w:rPr>
          <w:rStyle w:val="normaltextrun"/>
          <w:color w:val="000000" w:themeColor="text1"/>
          <w:lang w:val="es-ES"/>
        </w:rPr>
        <w:t>representa 0,9% del PIB y da empleo a 1% de la fuerza laboral (Banco Mundial, 2019). Según datos del Departamento de Agricultura de Estados Unidos, considerando también a las industrias de alimentos y relacionados, el sector primario contribuyó en 1,109 billones USD al PIB del país en 2019, con una parte de 5,2%</w:t>
      </w:r>
      <w:r>
        <w:rPr>
          <w:rStyle w:val="normaltextrun"/>
          <w:color w:val="000000" w:themeColor="text1"/>
          <w:lang w:val="es-ES"/>
        </w:rPr>
        <w:t>, e</w:t>
      </w:r>
      <w:r w:rsidRPr="00EB3F5B">
        <w:rPr>
          <w:rStyle w:val="normaltextrun"/>
          <w:color w:val="000000" w:themeColor="text1"/>
          <w:lang w:val="es-ES"/>
        </w:rPr>
        <w:t>n el mismo año, 22,2 millones de trabajos a tiempo completo o parcial estuvieron relacionados a los sectores de la agricultura y alimentos. El Departamento de Agricultura prevé que el ingreso neto agrícola aumente 18.300 millones USD (21,7%) en 2019</w:t>
      </w:r>
      <w:r>
        <w:rPr>
          <w:rStyle w:val="normaltextrun"/>
          <w:color w:val="000000" w:themeColor="text1"/>
          <w:lang w:val="es-ES"/>
        </w:rPr>
        <w:t>.</w:t>
      </w:r>
    </w:p>
    <w:p w14:paraId="7C467C3C" w14:textId="3718FB3D" w:rsidR="00B84EA0" w:rsidRDefault="00B84EA0" w:rsidP="006F053F">
      <w:pPr>
        <w:pStyle w:val="paragraph"/>
        <w:spacing w:before="0" w:beforeAutospacing="0" w:after="0" w:afterAutospacing="0"/>
        <w:jc w:val="both"/>
        <w:textAlignment w:val="baseline"/>
        <w:rPr>
          <w:rStyle w:val="normaltextrun"/>
          <w:color w:val="000000" w:themeColor="text1"/>
          <w:lang w:val="es-ES"/>
        </w:rPr>
      </w:pPr>
    </w:p>
    <w:p w14:paraId="546B2D4C" w14:textId="77777777" w:rsidR="00B84EA0" w:rsidRDefault="00B84EA0" w:rsidP="006F053F">
      <w:pPr>
        <w:pStyle w:val="paragraph"/>
        <w:spacing w:before="0" w:beforeAutospacing="0" w:after="0" w:afterAutospacing="0"/>
        <w:jc w:val="both"/>
        <w:textAlignment w:val="baseline"/>
        <w:rPr>
          <w:rStyle w:val="normaltextrun"/>
          <w:color w:val="000000" w:themeColor="text1"/>
          <w:lang w:val="es-ES"/>
        </w:rPr>
      </w:pPr>
    </w:p>
    <w:p w14:paraId="24F693AC" w14:textId="7E95A3E3" w:rsidR="00A51F87" w:rsidRPr="00A51F87" w:rsidRDefault="00A51F87" w:rsidP="00A51F87">
      <w:pPr>
        <w:pStyle w:val="NormalWeb"/>
        <w:spacing w:before="0" w:beforeAutospacing="0" w:after="0" w:afterAutospacing="0"/>
        <w:ind w:left="426"/>
        <w:textAlignment w:val="baseline"/>
        <w:rPr>
          <w:rStyle w:val="normaltextrun"/>
          <w:b/>
          <w:bCs/>
          <w:color w:val="000000"/>
        </w:rPr>
      </w:pPr>
      <w:r>
        <w:rPr>
          <w:b/>
          <w:bCs/>
          <w:color w:val="000000"/>
        </w:rPr>
        <w:lastRenderedPageBreak/>
        <w:t xml:space="preserve">Figura </w:t>
      </w:r>
    </w:p>
    <w:p w14:paraId="73560F9F" w14:textId="3511B48D" w:rsidR="00A51F87" w:rsidRPr="00A51F87" w:rsidRDefault="0065286A" w:rsidP="00FD0DE5">
      <w:pPr>
        <w:pStyle w:val="paragraph"/>
        <w:spacing w:before="0" w:beforeAutospacing="0" w:after="0" w:afterAutospacing="0"/>
        <w:ind w:left="360"/>
        <w:jc w:val="both"/>
        <w:textAlignment w:val="baseline"/>
        <w:rPr>
          <w:rStyle w:val="normaltextrun"/>
          <w:i/>
          <w:iCs/>
          <w:color w:val="000000" w:themeColor="text1"/>
          <w:lang w:val="es-ES"/>
        </w:rPr>
      </w:pPr>
      <w:r>
        <w:rPr>
          <w:rStyle w:val="normaltextrun"/>
          <w:i/>
          <w:iCs/>
          <w:color w:val="000000" w:themeColor="text1"/>
          <w:lang w:val="es-ES"/>
        </w:rPr>
        <w:t xml:space="preserve">Nivel de </w:t>
      </w:r>
      <w:r w:rsidR="00A51F87" w:rsidRPr="00A51F87">
        <w:rPr>
          <w:rStyle w:val="normaltextrun"/>
          <w:i/>
          <w:iCs/>
          <w:color w:val="000000" w:themeColor="text1"/>
          <w:lang w:val="es-ES"/>
        </w:rPr>
        <w:t>Empleo de</w:t>
      </w:r>
      <w:r>
        <w:rPr>
          <w:rStyle w:val="normaltextrun"/>
          <w:i/>
          <w:iCs/>
          <w:color w:val="000000" w:themeColor="text1"/>
          <w:lang w:val="es-ES"/>
        </w:rPr>
        <w:t>l</w:t>
      </w:r>
      <w:r w:rsidR="00A51F87" w:rsidRPr="00A51F87">
        <w:rPr>
          <w:rStyle w:val="normaltextrun"/>
          <w:i/>
          <w:iCs/>
          <w:color w:val="000000" w:themeColor="text1"/>
          <w:lang w:val="es-ES"/>
        </w:rPr>
        <w:t xml:space="preserve"> 201</w:t>
      </w:r>
      <w:r w:rsidR="00A51F87">
        <w:rPr>
          <w:rStyle w:val="normaltextrun"/>
          <w:i/>
          <w:iCs/>
          <w:color w:val="000000" w:themeColor="text1"/>
          <w:lang w:val="es-ES"/>
        </w:rPr>
        <w:t>5</w:t>
      </w:r>
      <w:r w:rsidR="00A51F87" w:rsidRPr="00A51F87">
        <w:rPr>
          <w:rStyle w:val="normaltextrun"/>
          <w:i/>
          <w:iCs/>
          <w:color w:val="000000" w:themeColor="text1"/>
          <w:lang w:val="es-ES"/>
        </w:rPr>
        <w:t xml:space="preserve"> a</w:t>
      </w:r>
      <w:r>
        <w:rPr>
          <w:rStyle w:val="normaltextrun"/>
          <w:i/>
          <w:iCs/>
          <w:color w:val="000000" w:themeColor="text1"/>
          <w:lang w:val="es-ES"/>
        </w:rPr>
        <w:t>l</w:t>
      </w:r>
      <w:r w:rsidR="00A51F87" w:rsidRPr="00A51F87">
        <w:rPr>
          <w:rStyle w:val="normaltextrun"/>
          <w:i/>
          <w:iCs/>
          <w:color w:val="000000" w:themeColor="text1"/>
          <w:lang w:val="es-ES"/>
        </w:rPr>
        <w:t xml:space="preserve"> 20</w:t>
      </w:r>
      <w:r w:rsidR="00A51F87">
        <w:rPr>
          <w:rStyle w:val="normaltextrun"/>
          <w:i/>
          <w:iCs/>
          <w:color w:val="000000" w:themeColor="text1"/>
          <w:lang w:val="es-ES"/>
        </w:rPr>
        <w:t>19</w:t>
      </w:r>
      <w:r w:rsidR="00A51F87" w:rsidRPr="00A51F87">
        <w:rPr>
          <w:rStyle w:val="normaltextrun"/>
          <w:i/>
          <w:iCs/>
          <w:color w:val="000000" w:themeColor="text1"/>
          <w:lang w:val="es-ES"/>
        </w:rPr>
        <w:t xml:space="preserve"> (en millones)</w:t>
      </w:r>
    </w:p>
    <w:p w14:paraId="03AD97F4" w14:textId="5CA39304" w:rsidR="00B17A0E" w:rsidRDefault="009A2788" w:rsidP="00FD0DE5">
      <w:pPr>
        <w:pStyle w:val="paragraph"/>
        <w:spacing w:before="0" w:beforeAutospacing="0" w:after="0" w:afterAutospacing="0"/>
        <w:ind w:left="360"/>
        <w:jc w:val="both"/>
        <w:textAlignment w:val="baseline"/>
        <w:rPr>
          <w:rStyle w:val="normaltextrun"/>
          <w:color w:val="000000" w:themeColor="text1"/>
          <w:lang w:val="es-ES"/>
        </w:rPr>
      </w:pPr>
      <w:r>
        <w:rPr>
          <w:noProof/>
        </w:rPr>
        <w:drawing>
          <wp:inline distT="0" distB="0" distL="0" distR="0" wp14:anchorId="0A4BDE0B" wp14:editId="1B91FA74">
            <wp:extent cx="5581650" cy="3047999"/>
            <wp:effectExtent l="0" t="0" r="0" b="635"/>
            <wp:docPr id="12" name="Gráfico 12">
              <a:extLst xmlns:a="http://schemas.openxmlformats.org/drawingml/2006/main">
                <a:ext uri="{FF2B5EF4-FFF2-40B4-BE49-F238E27FC236}">
                  <a16:creationId xmlns:a16="http://schemas.microsoft.com/office/drawing/2014/main" id="{C22437E9-8575-4EA9-97C1-879254B33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5925B1" w14:textId="071717FE" w:rsidR="00B17A0E" w:rsidRPr="00194FD0" w:rsidRDefault="009A2788" w:rsidP="00194FD0">
      <w:pPr>
        <w:pStyle w:val="NormalWeb"/>
        <w:spacing w:before="0" w:beforeAutospacing="0" w:after="0" w:afterAutospacing="0"/>
        <w:ind w:left="360"/>
        <w:textAlignment w:val="baseline"/>
        <w:rPr>
          <w:rStyle w:val="normaltextrun"/>
          <w:i/>
          <w:iCs/>
          <w:shd w:val="clear" w:color="auto" w:fill="FFFFFF"/>
        </w:rPr>
      </w:pPr>
      <w:r w:rsidRPr="00674043">
        <w:rPr>
          <w:sz w:val="22"/>
          <w:szCs w:val="22"/>
          <w:shd w:val="clear" w:color="auto" w:fill="FFFFFF"/>
        </w:rPr>
        <w:t>Nota. Statista, Elaboración propia</w:t>
      </w:r>
    </w:p>
    <w:p w14:paraId="2C597EF7" w14:textId="0068A419" w:rsidR="00B17A0E" w:rsidRDefault="00B17A0E" w:rsidP="00FD0DE5">
      <w:pPr>
        <w:pStyle w:val="paragraph"/>
        <w:spacing w:before="0" w:beforeAutospacing="0" w:after="0" w:afterAutospacing="0"/>
        <w:ind w:left="360"/>
        <w:jc w:val="both"/>
        <w:textAlignment w:val="baseline"/>
        <w:rPr>
          <w:rStyle w:val="normaltextrun"/>
          <w:color w:val="000000" w:themeColor="text1"/>
          <w:lang w:val="es-ES"/>
        </w:rPr>
      </w:pPr>
    </w:p>
    <w:p w14:paraId="75D527D8" w14:textId="585A6F33" w:rsidR="00723E3E" w:rsidRPr="002A34F5" w:rsidRDefault="00723E3E" w:rsidP="002A34F5">
      <w:pPr>
        <w:pStyle w:val="NormalWeb"/>
        <w:spacing w:before="0" w:beforeAutospacing="0" w:after="0" w:afterAutospacing="0"/>
        <w:ind w:left="360"/>
        <w:jc w:val="both"/>
        <w:textAlignment w:val="baseline"/>
      </w:pPr>
      <w:r>
        <w:t>El mercado de trabajo en el 2015 ha mejorado a diferencia del año pasado</w:t>
      </w:r>
      <w:r w:rsidR="00E220DC">
        <w:t xml:space="preserve"> donde se da un crecimiento de 148.85 millones de empleo</w:t>
      </w:r>
      <w:r>
        <w:t>, a pesar de la reciente racha de crecimiento del empleo por debajo de lo previsto debido a la caída de la tasa de participación, el bajo crecimiento de los salarios y el elevado empleo a tiempo parcial involuntario siguen pesando en las perspectivas. La tasa de desempleo se está aproximando rápidamente al nivel natural a largo plazo, todavía parece haber cierta capacidad ociosa en el mercado de trabajo.</w:t>
      </w:r>
      <w:r w:rsidR="002A34F5">
        <w:t xml:space="preserve"> </w:t>
      </w:r>
      <w:r>
        <w:t>De cara al futuro, se prevé que la contratación se mantendrá en un ritmo saludable por encima de 200 mil empleos al mes, junto con caídas continuadas en el desempleo, y que con el tiempo le seguirá un crecimiento más fuerte de los salarios.</w:t>
      </w:r>
    </w:p>
    <w:p w14:paraId="6260D703" w14:textId="77777777" w:rsidR="00723E3E" w:rsidRDefault="00723E3E" w:rsidP="007364CE">
      <w:pPr>
        <w:pStyle w:val="NormalWeb"/>
        <w:spacing w:before="0" w:beforeAutospacing="0" w:after="0" w:afterAutospacing="0"/>
        <w:jc w:val="both"/>
        <w:textAlignment w:val="baseline"/>
      </w:pPr>
    </w:p>
    <w:p w14:paraId="030F61B7" w14:textId="0F617B88" w:rsidR="00723E3E" w:rsidRDefault="00723E3E" w:rsidP="00A44DDA">
      <w:pPr>
        <w:pStyle w:val="NormalWeb"/>
        <w:spacing w:before="0" w:beforeAutospacing="0" w:after="0" w:afterAutospacing="0"/>
        <w:ind w:left="360"/>
        <w:jc w:val="both"/>
        <w:textAlignment w:val="baseline"/>
      </w:pPr>
      <w:r>
        <w:t xml:space="preserve">En el 2017 el mercado de trabajo tubo un buen crecimiento donde el desempleo </w:t>
      </w:r>
      <w:r w:rsidR="00E7572E">
        <w:t>disminuyó</w:t>
      </w:r>
      <w:r>
        <w:t xml:space="preserve"> en  4.4 %</w:t>
      </w:r>
      <w:r w:rsidR="00E7572E">
        <w:t xml:space="preserve"> y se generó 153.34 millones de empleo</w:t>
      </w:r>
      <w:r>
        <w:t xml:space="preserve">, lo que representa el nivel más bajo desde 2007. Además, una caída adicional de 60 puntos básicos en la tasa de desempleo llevaría a la tasa a su nivel más bajo en casi 50 años. Además, las nóminas no agrícolas, a pesar de crecer más rápido que las expectativas del mercado en junio, evolucionan a un ritmo coherente con nuestro escenario base de 180.000 empleos al mes; este ritmo sigue siendo suficiente para reducir la tasa de desempleo al considerar los cambios demográficos y la participación en la fuerza de trabajo. A pesar de los indicios que apuntan a que la economía está en pleno empleo, las presiones salariales se han silenciado. De hecho, esta incoherencia ha planteado dudas de que la relación entre la rigidez del mercado de trabajo y los salarios se ha roto o se ha visto alterada por la crisis. Mientras que parte del régimen de salarios reales bajos es probablemente un reflejo de los bajos niveles de crecimiento de la productividad en el período posterior a la crisis, los salarios nominales deberían crecer a un ritmo más rápido. </w:t>
      </w:r>
    </w:p>
    <w:p w14:paraId="00245997" w14:textId="04A03ED9" w:rsidR="00723E3E" w:rsidRDefault="00723E3E" w:rsidP="00723E3E">
      <w:pPr>
        <w:pStyle w:val="NormalWeb"/>
        <w:spacing w:before="0" w:beforeAutospacing="0" w:after="0" w:afterAutospacing="0"/>
        <w:ind w:left="360"/>
        <w:jc w:val="both"/>
        <w:textAlignment w:val="baseline"/>
      </w:pPr>
      <w:r>
        <w:lastRenderedPageBreak/>
        <w:t>En el 2018 el crecimiento del empleo se desacelero para llegar a niveles más sostenibles tras el fuerte crecimiento de octubre donde el salario medio por hora continuo creciendo mientras las horas trabajadas disminuyeron. El mercado de trabajo en noviembre del 2018 del sector agrícola disminuyó hasta 155</w:t>
      </w:r>
      <w:r w:rsidR="006E739F">
        <w:t>,</w:t>
      </w:r>
      <w:r>
        <w:t>000 empleados una cantidad menor a la que se tuvo en octubre. Las principales ganancias por sector donde se tiene un mayor número de empleados son: servicios profesionales a las empresas 32</w:t>
      </w:r>
      <w:r w:rsidR="006E739F">
        <w:t>,</w:t>
      </w:r>
      <w:r>
        <w:t>000, atención sanitaria 32</w:t>
      </w:r>
      <w:r w:rsidR="006E739F">
        <w:t>,</w:t>
      </w:r>
      <w:r>
        <w:t>000, fabricación 27</w:t>
      </w:r>
      <w:r w:rsidR="00193451">
        <w:t>,</w:t>
      </w:r>
      <w:r>
        <w:t>000 y transporte y almacenes 25</w:t>
      </w:r>
      <w:r w:rsidR="00193451">
        <w:t>,</w:t>
      </w:r>
      <w:r>
        <w:t>000.  Tanto la tasa de participación de los trabajadores como la ratio de empleo con respecto a la población permanecieron sin cambios en el 62.9 % y el 60.6 % respectivamente. Finalmente la tasa de desempleo se mantuvo a su nivel actual del 3.7%.</w:t>
      </w:r>
    </w:p>
    <w:p w14:paraId="48799CEF" w14:textId="77777777" w:rsidR="00723E3E" w:rsidRDefault="00723E3E" w:rsidP="000D2986">
      <w:pPr>
        <w:pStyle w:val="NormalWeb"/>
        <w:spacing w:before="0" w:beforeAutospacing="0" w:after="0" w:afterAutospacing="0"/>
        <w:jc w:val="both"/>
        <w:textAlignment w:val="baseline"/>
      </w:pPr>
    </w:p>
    <w:p w14:paraId="7C8664D2" w14:textId="7E432F72" w:rsidR="00723E3E" w:rsidRDefault="00723E3E" w:rsidP="00723E3E">
      <w:pPr>
        <w:pStyle w:val="NormalWeb"/>
        <w:spacing w:before="0" w:beforeAutospacing="0" w:after="0" w:afterAutospacing="0"/>
        <w:ind w:left="360"/>
        <w:jc w:val="both"/>
        <w:textAlignment w:val="baseline"/>
      </w:pPr>
      <w:r>
        <w:t>En 2019 la evolución del mercado laboral se ha alineado debido a la moderación continua de la actividad económica y la creación de empleo. La sólida tasa de creación de empleo de 128.000 puestos, lo que contrarresta los temores a una desaceleración más pronunciada del mercado laboral. Además, a pesar de las tasas de crecimiento del empleo más moderadas, la tasa de desempleo permanece en niveles históricamente bajos del 3,6</w:t>
      </w:r>
      <w:r w:rsidR="005F0895">
        <w:t xml:space="preserve"> </w:t>
      </w:r>
      <w:r>
        <w:t xml:space="preserve">%. </w:t>
      </w:r>
    </w:p>
    <w:p w14:paraId="4AD6D0FD" w14:textId="77777777" w:rsidR="00723E3E" w:rsidRDefault="00723E3E" w:rsidP="00723E3E">
      <w:pPr>
        <w:pStyle w:val="NormalWeb"/>
        <w:spacing w:before="0" w:beforeAutospacing="0" w:after="0" w:afterAutospacing="0"/>
        <w:ind w:left="360"/>
        <w:jc w:val="both"/>
        <w:textAlignment w:val="baseline"/>
      </w:pPr>
    </w:p>
    <w:p w14:paraId="2E1C47C3" w14:textId="728015BB" w:rsidR="00723E3E" w:rsidRPr="00840D71" w:rsidRDefault="00723E3E" w:rsidP="00723E3E">
      <w:pPr>
        <w:pStyle w:val="NormalWeb"/>
        <w:spacing w:before="0" w:beforeAutospacing="0" w:after="0" w:afterAutospacing="0"/>
        <w:ind w:left="360"/>
        <w:jc w:val="both"/>
        <w:textAlignment w:val="baseline"/>
      </w:pPr>
      <w:r>
        <w:t>Las fricciones sectoriales producidas por la desaceleración mundial y las tensiones comerciales, el crecimiento del empleo ha permanecido sólido. Desde enero, el crecimiento del empleo se mantiene firme en los servicios de educación y salud, construcción, ocio y hostelería y servicios empresariales profesionales. Sin embargo, los datos sobre las vacantes y tasas de pérdida de empleo estadounidenses sugieren que existe una bifurcación del mercado laboral, ya que las tasas de pérdida de empleo caen en sectores que se enfrentan a factores adversos como la minería y la fabricación, pero aumentan en los servicios financieros, el ocio y la hostelería y la construcción. Dicho esto, el descenso del cambio interanual en las vacantes del sector privado también podría ser una señal alentadora de que los riesgos para el comercio y el crecimiento mundial están disminuyendo. Con unos niveles tan elevados de utilización del mercado laboral y con la FED expresando su voluntad de operar un mercado laboral de alta presión en un esfuerzo por aumentar el número de oportunidades disponibles para las personas con rentas de bajas a moderadas, la persistente falta de presiones salariales sigue siendo desconcertante. De hecho, en octubre, las ganancias medias por hora de todos los trabajadores fueron del 3.0</w:t>
      </w:r>
      <w:r w:rsidR="005F0895">
        <w:t xml:space="preserve"> </w:t>
      </w:r>
      <w:r>
        <w:t xml:space="preserve">%, inferiores al máximo del 3.4% en febrero. A nivel del sector, los datos de 2019 también son coherentes con los datos de nivel agregado, lo que demuestra una escasa relación entre la rigidez del mercado laboral del sector y el crecimiento salarial. </w:t>
      </w:r>
    </w:p>
    <w:p w14:paraId="0DF9D31E" w14:textId="77777777" w:rsidR="00723E3E" w:rsidRDefault="00723E3E" w:rsidP="00723E3E">
      <w:pPr>
        <w:pStyle w:val="NormalWeb"/>
        <w:spacing w:before="0" w:beforeAutospacing="0" w:after="0" w:afterAutospacing="0"/>
        <w:ind w:left="360"/>
        <w:textAlignment w:val="baseline"/>
        <w:rPr>
          <w:b/>
          <w:bCs/>
          <w:color w:val="000000"/>
        </w:rPr>
      </w:pPr>
    </w:p>
    <w:p w14:paraId="26699D46" w14:textId="77777777" w:rsidR="00BD1F52" w:rsidRDefault="00BD1F52" w:rsidP="0000560D">
      <w:pPr>
        <w:pStyle w:val="NormalWeb"/>
        <w:spacing w:before="0" w:beforeAutospacing="0" w:after="0" w:afterAutospacing="0"/>
        <w:ind w:left="426"/>
        <w:textAlignment w:val="baseline"/>
        <w:rPr>
          <w:b/>
          <w:bCs/>
          <w:color w:val="000000"/>
        </w:rPr>
      </w:pPr>
    </w:p>
    <w:p w14:paraId="2AC4B19B" w14:textId="77777777" w:rsidR="00BD1F52" w:rsidRDefault="00BD1F52" w:rsidP="0000560D">
      <w:pPr>
        <w:pStyle w:val="NormalWeb"/>
        <w:spacing w:before="0" w:beforeAutospacing="0" w:after="0" w:afterAutospacing="0"/>
        <w:ind w:left="426"/>
        <w:textAlignment w:val="baseline"/>
        <w:rPr>
          <w:b/>
          <w:bCs/>
          <w:color w:val="000000"/>
        </w:rPr>
      </w:pPr>
    </w:p>
    <w:p w14:paraId="2BE004E0" w14:textId="77777777" w:rsidR="00BD1F52" w:rsidRDefault="00BD1F52" w:rsidP="0000560D">
      <w:pPr>
        <w:pStyle w:val="NormalWeb"/>
        <w:spacing w:before="0" w:beforeAutospacing="0" w:after="0" w:afterAutospacing="0"/>
        <w:ind w:left="426"/>
        <w:textAlignment w:val="baseline"/>
        <w:rPr>
          <w:b/>
          <w:bCs/>
          <w:color w:val="000000"/>
        </w:rPr>
      </w:pPr>
    </w:p>
    <w:p w14:paraId="2E9A2A73" w14:textId="77777777" w:rsidR="00BD1F52" w:rsidRDefault="00BD1F52" w:rsidP="0000560D">
      <w:pPr>
        <w:pStyle w:val="NormalWeb"/>
        <w:spacing w:before="0" w:beforeAutospacing="0" w:after="0" w:afterAutospacing="0"/>
        <w:ind w:left="426"/>
        <w:textAlignment w:val="baseline"/>
        <w:rPr>
          <w:b/>
          <w:bCs/>
          <w:color w:val="000000"/>
        </w:rPr>
      </w:pPr>
    </w:p>
    <w:p w14:paraId="28D2EA5E" w14:textId="77777777" w:rsidR="00BD1F52" w:rsidRDefault="00BD1F52" w:rsidP="0000560D">
      <w:pPr>
        <w:pStyle w:val="NormalWeb"/>
        <w:spacing w:before="0" w:beforeAutospacing="0" w:after="0" w:afterAutospacing="0"/>
        <w:ind w:left="426"/>
        <w:textAlignment w:val="baseline"/>
        <w:rPr>
          <w:b/>
          <w:bCs/>
          <w:color w:val="000000"/>
        </w:rPr>
      </w:pPr>
    </w:p>
    <w:p w14:paraId="4B13E823" w14:textId="77777777" w:rsidR="00BD1F52" w:rsidRDefault="00BD1F52" w:rsidP="0000560D">
      <w:pPr>
        <w:pStyle w:val="NormalWeb"/>
        <w:spacing w:before="0" w:beforeAutospacing="0" w:after="0" w:afterAutospacing="0"/>
        <w:ind w:left="426"/>
        <w:textAlignment w:val="baseline"/>
        <w:rPr>
          <w:b/>
          <w:bCs/>
          <w:color w:val="000000"/>
        </w:rPr>
      </w:pPr>
    </w:p>
    <w:p w14:paraId="5E532C11" w14:textId="77777777" w:rsidR="00BD1F52" w:rsidRDefault="00BD1F52" w:rsidP="0000560D">
      <w:pPr>
        <w:pStyle w:val="NormalWeb"/>
        <w:spacing w:before="0" w:beforeAutospacing="0" w:after="0" w:afterAutospacing="0"/>
        <w:ind w:left="426"/>
        <w:textAlignment w:val="baseline"/>
        <w:rPr>
          <w:b/>
          <w:bCs/>
          <w:color w:val="000000"/>
        </w:rPr>
      </w:pPr>
    </w:p>
    <w:p w14:paraId="03C1030F" w14:textId="77777777" w:rsidR="00BD1F52" w:rsidRDefault="00BD1F52" w:rsidP="0000560D">
      <w:pPr>
        <w:pStyle w:val="NormalWeb"/>
        <w:spacing w:before="0" w:beforeAutospacing="0" w:after="0" w:afterAutospacing="0"/>
        <w:ind w:left="426"/>
        <w:textAlignment w:val="baseline"/>
        <w:rPr>
          <w:b/>
          <w:bCs/>
          <w:color w:val="000000"/>
        </w:rPr>
      </w:pPr>
    </w:p>
    <w:p w14:paraId="627863D5" w14:textId="36CEA7BC" w:rsidR="009A4DA5" w:rsidRDefault="009A4DA5" w:rsidP="009A4DA5">
      <w:pPr>
        <w:pStyle w:val="NormalWeb"/>
        <w:spacing w:before="0" w:beforeAutospacing="0" w:after="0" w:afterAutospacing="0"/>
        <w:textAlignment w:val="baseline"/>
        <w:rPr>
          <w:b/>
          <w:bCs/>
          <w:color w:val="000000"/>
        </w:rPr>
      </w:pPr>
    </w:p>
    <w:p w14:paraId="3105BA6E" w14:textId="77777777" w:rsidR="005F0895" w:rsidRDefault="005F0895" w:rsidP="009A4DA5">
      <w:pPr>
        <w:pStyle w:val="NormalWeb"/>
        <w:spacing w:before="0" w:beforeAutospacing="0" w:after="0" w:afterAutospacing="0"/>
        <w:textAlignment w:val="baseline"/>
        <w:rPr>
          <w:b/>
          <w:bCs/>
          <w:color w:val="000000"/>
        </w:rPr>
      </w:pPr>
    </w:p>
    <w:p w14:paraId="7518C65D" w14:textId="0DB3B83E" w:rsidR="0000560D" w:rsidRPr="0000560D" w:rsidRDefault="0000560D" w:rsidP="0000560D">
      <w:pPr>
        <w:pStyle w:val="NormalWeb"/>
        <w:spacing w:before="0" w:beforeAutospacing="0" w:after="0" w:afterAutospacing="0"/>
        <w:ind w:left="426"/>
        <w:textAlignment w:val="baseline"/>
        <w:rPr>
          <w:rStyle w:val="normaltextrun"/>
          <w:b/>
          <w:bCs/>
          <w:color w:val="000000"/>
        </w:rPr>
      </w:pPr>
      <w:r>
        <w:rPr>
          <w:b/>
          <w:bCs/>
          <w:color w:val="000000"/>
        </w:rPr>
        <w:lastRenderedPageBreak/>
        <w:t xml:space="preserve">Figura </w:t>
      </w:r>
    </w:p>
    <w:p w14:paraId="586EBD42" w14:textId="392311CB" w:rsidR="00B17A0E" w:rsidRDefault="0000560D" w:rsidP="002D4018">
      <w:pPr>
        <w:pStyle w:val="paragraph"/>
        <w:spacing w:before="0" w:beforeAutospacing="0" w:after="0" w:afterAutospacing="0"/>
        <w:ind w:left="360"/>
        <w:jc w:val="both"/>
        <w:textAlignment w:val="baseline"/>
        <w:rPr>
          <w:rStyle w:val="normaltextrun"/>
          <w:color w:val="000000" w:themeColor="text1"/>
          <w:lang w:val="es-ES"/>
        </w:rPr>
      </w:pPr>
      <w:r w:rsidRPr="0000560D">
        <w:rPr>
          <w:rStyle w:val="normaltextrun"/>
          <w:color w:val="000000" w:themeColor="text1"/>
          <w:lang w:val="es-ES"/>
        </w:rPr>
        <w:t xml:space="preserve">Tasa de desempleo </w:t>
      </w:r>
      <w:r w:rsidR="00AB7633">
        <w:rPr>
          <w:rStyle w:val="normaltextrun"/>
          <w:color w:val="000000" w:themeColor="text1"/>
          <w:lang w:val="es-ES"/>
        </w:rPr>
        <w:t>2007 - 2019</w:t>
      </w:r>
    </w:p>
    <w:p w14:paraId="0531DA86" w14:textId="5BAE6600" w:rsidR="00B17A0E" w:rsidRDefault="006D25B0" w:rsidP="00FD0DE5">
      <w:pPr>
        <w:pStyle w:val="paragraph"/>
        <w:spacing w:before="0" w:beforeAutospacing="0" w:after="0" w:afterAutospacing="0"/>
        <w:ind w:left="360"/>
        <w:jc w:val="both"/>
        <w:textAlignment w:val="baseline"/>
        <w:rPr>
          <w:noProof/>
        </w:rPr>
      </w:pPr>
      <w:r>
        <w:rPr>
          <w:noProof/>
        </w:rPr>
        <w:drawing>
          <wp:inline distT="0" distB="0" distL="0" distR="0" wp14:anchorId="4C8BF46D" wp14:editId="1D0F4C6F">
            <wp:extent cx="5612130" cy="2790190"/>
            <wp:effectExtent l="0" t="0" r="7620" b="10160"/>
            <wp:docPr id="15" name="Gráfico 15">
              <a:extLst xmlns:a="http://schemas.openxmlformats.org/drawingml/2006/main">
                <a:ext uri="{FF2B5EF4-FFF2-40B4-BE49-F238E27FC236}">
                  <a16:creationId xmlns:a16="http://schemas.microsoft.com/office/drawing/2014/main" id="{46FDCA69-D571-4F58-9F2F-2082D1AC5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42B0AB" w14:textId="77777777" w:rsidR="00125DD1" w:rsidRDefault="00125DD1" w:rsidP="00125DD1">
      <w:pPr>
        <w:pStyle w:val="NormalWeb"/>
        <w:spacing w:before="0" w:beforeAutospacing="0" w:after="0" w:afterAutospacing="0"/>
        <w:ind w:left="360"/>
        <w:textAlignment w:val="baseline"/>
        <w:rPr>
          <w:i/>
          <w:iCs/>
          <w:shd w:val="clear" w:color="auto" w:fill="FFFFFF"/>
        </w:rPr>
      </w:pPr>
      <w:r w:rsidRPr="00674043">
        <w:rPr>
          <w:sz w:val="22"/>
          <w:szCs w:val="22"/>
          <w:shd w:val="clear" w:color="auto" w:fill="FFFFFF"/>
        </w:rPr>
        <w:t>Nota. Statista, Elaboración propia</w:t>
      </w:r>
    </w:p>
    <w:p w14:paraId="1A86E792" w14:textId="77777777" w:rsidR="00EE1977" w:rsidRDefault="00EE1977" w:rsidP="00FD0DE5">
      <w:pPr>
        <w:pStyle w:val="paragraph"/>
        <w:spacing w:before="0" w:beforeAutospacing="0" w:after="0" w:afterAutospacing="0"/>
        <w:ind w:left="360"/>
        <w:jc w:val="both"/>
        <w:textAlignment w:val="baseline"/>
        <w:rPr>
          <w:rFonts w:ascii="Open Sans" w:hAnsi="Open Sans" w:cs="Open Sans"/>
          <w:color w:val="455F7C"/>
          <w:sz w:val="23"/>
          <w:szCs w:val="23"/>
          <w:shd w:val="clear" w:color="auto" w:fill="FFFFFF"/>
        </w:rPr>
      </w:pPr>
    </w:p>
    <w:p w14:paraId="344E4021" w14:textId="7C9F2849" w:rsidR="00EE1977" w:rsidRDefault="00EE1977" w:rsidP="00EE1977">
      <w:pPr>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figura representa la tasa de desempleo de Estados unidos desde el periodo 2007 hasta 2019, la serie presenta una tendencia decreciente</w:t>
      </w:r>
      <w:r w:rsidR="00105B16">
        <w:rPr>
          <w:rFonts w:ascii="Times New Roman" w:hAnsi="Times New Roman" w:cs="Times New Roman"/>
          <w:sz w:val="24"/>
          <w:szCs w:val="24"/>
          <w:shd w:val="clear" w:color="auto" w:fill="FFFFFF"/>
        </w:rPr>
        <w:t xml:space="preserve"> desde el año 2010</w:t>
      </w:r>
      <w:r w:rsidR="005F0895">
        <w:rPr>
          <w:rFonts w:ascii="Times New Roman" w:hAnsi="Times New Roman" w:cs="Times New Roman"/>
          <w:sz w:val="24"/>
          <w:szCs w:val="24"/>
          <w:shd w:val="clear" w:color="auto" w:fill="FFFFFF"/>
        </w:rPr>
        <w:t xml:space="preserve"> llegando a su nivel más bajo en el 2019 de 3.67%.</w:t>
      </w:r>
    </w:p>
    <w:p w14:paraId="3AC75706" w14:textId="3C6686C1" w:rsidR="006D25B0" w:rsidRPr="00EE1977" w:rsidRDefault="00EE1977" w:rsidP="00EE1977">
      <w:pPr>
        <w:ind w:left="426"/>
        <w:jc w:val="both"/>
        <w:rPr>
          <w:rFonts w:ascii="Times New Roman" w:hAnsi="Times New Roman" w:cs="Times New Roman"/>
          <w:noProof/>
          <w:sz w:val="24"/>
          <w:szCs w:val="24"/>
        </w:rPr>
      </w:pPr>
      <w:r w:rsidRPr="00EE1977">
        <w:rPr>
          <w:rFonts w:ascii="Times New Roman" w:hAnsi="Times New Roman" w:cs="Times New Roman"/>
          <w:sz w:val="24"/>
          <w:szCs w:val="24"/>
          <w:shd w:val="clear" w:color="auto" w:fill="FFFFFF"/>
        </w:rPr>
        <w:t>Estados Unidos fue uno de los países más afectados por la crisis financiera mundial</w:t>
      </w:r>
      <w:r w:rsidR="00105B16">
        <w:rPr>
          <w:rFonts w:ascii="Times New Roman" w:hAnsi="Times New Roman" w:cs="Times New Roman"/>
          <w:sz w:val="24"/>
          <w:szCs w:val="24"/>
          <w:shd w:val="clear" w:color="auto" w:fill="FFFFFF"/>
        </w:rPr>
        <w:t xml:space="preserve"> llegando a la tasa más alta  de 9.63% en el 2010, e</w:t>
      </w:r>
      <w:r w:rsidRPr="00EE1977">
        <w:rPr>
          <w:rFonts w:ascii="Times New Roman" w:hAnsi="Times New Roman" w:cs="Times New Roman"/>
          <w:sz w:val="24"/>
          <w:szCs w:val="24"/>
          <w:shd w:val="clear" w:color="auto" w:fill="FFFFFF"/>
        </w:rPr>
        <w:t>ste acontecimiento influyó considerablemente en los hogares estadounidenses y de manera más prominente en el mercado laboral</w:t>
      </w:r>
      <w:r w:rsidR="00CC1FBF">
        <w:rPr>
          <w:rFonts w:ascii="Times New Roman" w:hAnsi="Times New Roman" w:cs="Times New Roman"/>
          <w:sz w:val="24"/>
          <w:szCs w:val="24"/>
          <w:shd w:val="clear" w:color="auto" w:fill="FFFFFF"/>
        </w:rPr>
        <w:t>.</w:t>
      </w:r>
      <w:r w:rsidR="0065781F">
        <w:rPr>
          <w:rFonts w:ascii="Times New Roman" w:hAnsi="Times New Roman" w:cs="Times New Roman"/>
          <w:sz w:val="24"/>
          <w:szCs w:val="24"/>
          <w:shd w:val="clear" w:color="auto" w:fill="FFFFFF"/>
        </w:rPr>
        <w:t xml:space="preserve"> En el 2019 la tasa de desempleo se encuentra en su punto más bajo de 3.67% </w:t>
      </w:r>
      <w:r w:rsidR="00D949AA">
        <w:rPr>
          <w:rFonts w:ascii="Times New Roman" w:hAnsi="Times New Roman" w:cs="Times New Roman"/>
          <w:sz w:val="24"/>
          <w:szCs w:val="24"/>
          <w:shd w:val="clear" w:color="auto" w:fill="FFFFFF"/>
        </w:rPr>
        <w:t>por lo tanto</w:t>
      </w:r>
      <w:r w:rsidR="009052EC">
        <w:rPr>
          <w:rFonts w:ascii="Times New Roman" w:hAnsi="Times New Roman" w:cs="Times New Roman"/>
          <w:sz w:val="24"/>
          <w:szCs w:val="24"/>
          <w:shd w:val="clear" w:color="auto" w:fill="FFFFFF"/>
        </w:rPr>
        <w:t xml:space="preserve"> la reducción del desempleo genera</w:t>
      </w:r>
      <w:r w:rsidR="0065781F" w:rsidRPr="0065781F">
        <w:rPr>
          <w:rStyle w:val="normaltextrun"/>
          <w:rFonts w:ascii="Times New Roman" w:hAnsi="Times New Roman" w:cs="Times New Roman"/>
          <w:sz w:val="24"/>
          <w:szCs w:val="24"/>
          <w:shd w:val="clear" w:color="auto" w:fill="FFFFFF"/>
        </w:rPr>
        <w:t xml:space="preserve"> </w:t>
      </w:r>
      <w:r w:rsidR="0065781F" w:rsidRPr="0065781F">
        <w:rPr>
          <w:rFonts w:ascii="Times New Roman" w:hAnsi="Times New Roman" w:cs="Times New Roman"/>
          <w:sz w:val="24"/>
          <w:szCs w:val="24"/>
          <w:shd w:val="clear" w:color="auto" w:fill="FFFFFF"/>
        </w:rPr>
        <w:t xml:space="preserve">un incremento sostenido del empleo </w:t>
      </w:r>
      <w:r w:rsidR="009052EC">
        <w:rPr>
          <w:rFonts w:ascii="Times New Roman" w:hAnsi="Times New Roman" w:cs="Times New Roman"/>
          <w:sz w:val="24"/>
          <w:szCs w:val="24"/>
          <w:shd w:val="clear" w:color="auto" w:fill="FFFFFF"/>
        </w:rPr>
        <w:t xml:space="preserve">y por ende mayores </w:t>
      </w:r>
      <w:r w:rsidR="0065781F" w:rsidRPr="0065781F">
        <w:rPr>
          <w:rFonts w:ascii="Times New Roman" w:hAnsi="Times New Roman" w:cs="Times New Roman"/>
          <w:sz w:val="24"/>
          <w:szCs w:val="24"/>
          <w:shd w:val="clear" w:color="auto" w:fill="FFFFFF"/>
        </w:rPr>
        <w:t>puestos de trabajo y mejora el nivel de vida de las personas</w:t>
      </w:r>
      <w:r w:rsidR="0065781F">
        <w:rPr>
          <w:rFonts w:ascii="Times New Roman" w:hAnsi="Times New Roman" w:cs="Times New Roman"/>
          <w:sz w:val="24"/>
          <w:szCs w:val="24"/>
          <w:shd w:val="clear" w:color="auto" w:fill="FFFFFF"/>
        </w:rPr>
        <w:t>.</w:t>
      </w:r>
    </w:p>
    <w:p w14:paraId="2405DB3C" w14:textId="0FB84E4A" w:rsidR="006D25B0" w:rsidRPr="00EE1977" w:rsidRDefault="006D25B0" w:rsidP="00EE1977">
      <w:pPr>
        <w:ind w:left="426"/>
        <w:jc w:val="both"/>
        <w:rPr>
          <w:rFonts w:ascii="Times New Roman" w:hAnsi="Times New Roman" w:cs="Times New Roman"/>
          <w:noProof/>
          <w:sz w:val="24"/>
          <w:szCs w:val="24"/>
        </w:rPr>
      </w:pPr>
    </w:p>
    <w:p w14:paraId="2CA016EB" w14:textId="149C0B64" w:rsidR="006D25B0" w:rsidRDefault="006D25B0" w:rsidP="00FD0DE5">
      <w:pPr>
        <w:pStyle w:val="paragraph"/>
        <w:spacing w:before="0" w:beforeAutospacing="0" w:after="0" w:afterAutospacing="0"/>
        <w:ind w:left="360"/>
        <w:jc w:val="both"/>
        <w:textAlignment w:val="baseline"/>
        <w:rPr>
          <w:noProof/>
        </w:rPr>
      </w:pPr>
    </w:p>
    <w:p w14:paraId="416DC2E3" w14:textId="77777777" w:rsidR="006D25B0" w:rsidRDefault="006D25B0" w:rsidP="00FD0DE5">
      <w:pPr>
        <w:pStyle w:val="paragraph"/>
        <w:spacing w:before="0" w:beforeAutospacing="0" w:after="0" w:afterAutospacing="0"/>
        <w:ind w:left="360"/>
        <w:jc w:val="both"/>
        <w:textAlignment w:val="baseline"/>
        <w:rPr>
          <w:rStyle w:val="normaltextrun"/>
          <w:color w:val="000000" w:themeColor="text1"/>
          <w:lang w:val="es-ES"/>
        </w:rPr>
      </w:pPr>
    </w:p>
    <w:p w14:paraId="340C55AB" w14:textId="77777777" w:rsidR="00FD0DE5" w:rsidRDefault="00FD0DE5" w:rsidP="00FD0DE5">
      <w:pPr>
        <w:pStyle w:val="paragraph"/>
        <w:spacing w:before="0" w:beforeAutospacing="0" w:after="0" w:afterAutospacing="0"/>
        <w:ind w:left="426"/>
        <w:jc w:val="both"/>
        <w:textAlignment w:val="baseline"/>
        <w:rPr>
          <w:rStyle w:val="normaltextrun"/>
          <w:color w:val="000000" w:themeColor="text1"/>
          <w:lang w:val="es-ES"/>
        </w:rPr>
      </w:pPr>
    </w:p>
    <w:p w14:paraId="59B5E4FA" w14:textId="77777777" w:rsidR="00FD0DE5" w:rsidRDefault="00FD0DE5" w:rsidP="00FD0DE5">
      <w:pPr>
        <w:pStyle w:val="paragraph"/>
        <w:spacing w:before="0" w:beforeAutospacing="0" w:after="0" w:afterAutospacing="0"/>
        <w:ind w:left="284"/>
        <w:jc w:val="both"/>
        <w:textAlignment w:val="baseline"/>
        <w:rPr>
          <w:rStyle w:val="normaltextrun"/>
          <w:color w:val="000000" w:themeColor="text1"/>
          <w:lang w:val="es-ES"/>
        </w:rPr>
      </w:pPr>
    </w:p>
    <w:p w14:paraId="61263CDF" w14:textId="77777777" w:rsidR="00FD0DE5" w:rsidRPr="00FD0DE5" w:rsidRDefault="00FD0DE5" w:rsidP="00FD0DE5">
      <w:pPr>
        <w:pStyle w:val="NormalWeb"/>
        <w:spacing w:before="0" w:beforeAutospacing="0" w:after="0" w:afterAutospacing="0"/>
        <w:textAlignment w:val="baseline"/>
        <w:rPr>
          <w:b/>
          <w:bCs/>
          <w:color w:val="000000"/>
          <w:lang w:val="es-ES"/>
        </w:rPr>
      </w:pPr>
    </w:p>
    <w:p w14:paraId="5E6A54AA" w14:textId="303EF8F1" w:rsidR="00FD0DE5" w:rsidRDefault="00FD0DE5" w:rsidP="00181572">
      <w:pPr>
        <w:pStyle w:val="NormalWeb"/>
        <w:spacing w:before="0" w:beforeAutospacing="0" w:after="0" w:afterAutospacing="0"/>
        <w:ind w:left="426"/>
        <w:textAlignment w:val="baseline"/>
        <w:rPr>
          <w:b/>
          <w:bCs/>
          <w:color w:val="000000"/>
        </w:rPr>
      </w:pPr>
    </w:p>
    <w:p w14:paraId="7AE100B3" w14:textId="24E4DA5A" w:rsidR="00FD0DE5" w:rsidRDefault="00FD0DE5" w:rsidP="00181572">
      <w:pPr>
        <w:pStyle w:val="NormalWeb"/>
        <w:spacing w:before="0" w:beforeAutospacing="0" w:after="0" w:afterAutospacing="0"/>
        <w:ind w:left="426"/>
        <w:textAlignment w:val="baseline"/>
        <w:rPr>
          <w:b/>
          <w:bCs/>
          <w:color w:val="000000"/>
        </w:rPr>
      </w:pPr>
    </w:p>
    <w:p w14:paraId="7A9963F7" w14:textId="699D008D" w:rsidR="00FD0DE5" w:rsidRDefault="00FD0DE5" w:rsidP="00181572">
      <w:pPr>
        <w:pStyle w:val="NormalWeb"/>
        <w:spacing w:before="0" w:beforeAutospacing="0" w:after="0" w:afterAutospacing="0"/>
        <w:ind w:left="426"/>
        <w:textAlignment w:val="baseline"/>
        <w:rPr>
          <w:b/>
          <w:bCs/>
          <w:color w:val="000000"/>
        </w:rPr>
      </w:pPr>
    </w:p>
    <w:p w14:paraId="472B0AF2" w14:textId="594FCB11" w:rsidR="00FD0DE5" w:rsidRDefault="00FD0DE5" w:rsidP="00181572">
      <w:pPr>
        <w:pStyle w:val="NormalWeb"/>
        <w:spacing w:before="0" w:beforeAutospacing="0" w:after="0" w:afterAutospacing="0"/>
        <w:ind w:left="426"/>
        <w:textAlignment w:val="baseline"/>
        <w:rPr>
          <w:b/>
          <w:bCs/>
          <w:color w:val="000000"/>
        </w:rPr>
      </w:pPr>
    </w:p>
    <w:p w14:paraId="652E2D41" w14:textId="378B0DE6" w:rsidR="00FD0DE5" w:rsidRDefault="00FD0DE5" w:rsidP="00181572">
      <w:pPr>
        <w:pStyle w:val="NormalWeb"/>
        <w:spacing w:before="0" w:beforeAutospacing="0" w:after="0" w:afterAutospacing="0"/>
        <w:ind w:left="426"/>
        <w:textAlignment w:val="baseline"/>
        <w:rPr>
          <w:b/>
          <w:bCs/>
          <w:color w:val="000000"/>
        </w:rPr>
      </w:pPr>
    </w:p>
    <w:p w14:paraId="6CA110FC" w14:textId="7A158AFB" w:rsidR="00FD0DE5" w:rsidRDefault="00FD0DE5" w:rsidP="00181572">
      <w:pPr>
        <w:pStyle w:val="NormalWeb"/>
        <w:spacing w:before="0" w:beforeAutospacing="0" w:after="0" w:afterAutospacing="0"/>
        <w:ind w:left="426"/>
        <w:textAlignment w:val="baseline"/>
        <w:rPr>
          <w:b/>
          <w:bCs/>
          <w:color w:val="000000"/>
        </w:rPr>
      </w:pPr>
    </w:p>
    <w:p w14:paraId="2781ADB4" w14:textId="34F1A93C" w:rsidR="00FD0DE5" w:rsidRDefault="00FD0DE5" w:rsidP="00181572">
      <w:pPr>
        <w:pStyle w:val="NormalWeb"/>
        <w:spacing w:before="0" w:beforeAutospacing="0" w:after="0" w:afterAutospacing="0"/>
        <w:ind w:left="426"/>
        <w:textAlignment w:val="baseline"/>
        <w:rPr>
          <w:b/>
          <w:bCs/>
          <w:color w:val="000000"/>
        </w:rPr>
      </w:pPr>
    </w:p>
    <w:p w14:paraId="54D9E3AD" w14:textId="186B42F6" w:rsidR="00181572" w:rsidRDefault="00181572" w:rsidP="00702705">
      <w:pPr>
        <w:pStyle w:val="NormalWeb"/>
        <w:spacing w:before="0" w:beforeAutospacing="0" w:after="0" w:afterAutospacing="0"/>
        <w:textAlignment w:val="baseline"/>
        <w:rPr>
          <w:b/>
          <w:bCs/>
          <w:color w:val="000000"/>
        </w:rPr>
      </w:pPr>
    </w:p>
    <w:p w14:paraId="65F4A8E3" w14:textId="77777777" w:rsidR="00702705" w:rsidRPr="00EE3D3C" w:rsidRDefault="00702705" w:rsidP="00702705">
      <w:pPr>
        <w:pStyle w:val="NormalWeb"/>
        <w:spacing w:before="0" w:beforeAutospacing="0" w:after="0" w:afterAutospacing="0"/>
        <w:textAlignment w:val="baseline"/>
        <w:rPr>
          <w:b/>
          <w:bCs/>
          <w:color w:val="000000"/>
        </w:rPr>
      </w:pPr>
    </w:p>
    <w:p w14:paraId="1C7D3E7B" w14:textId="62697C7C" w:rsidR="007F300C" w:rsidRDefault="007F300C" w:rsidP="007F300C">
      <w:pPr>
        <w:pStyle w:val="NormalWeb"/>
        <w:spacing w:before="0" w:beforeAutospacing="0" w:after="0" w:afterAutospacing="0"/>
        <w:ind w:left="360"/>
        <w:textAlignment w:val="baseline"/>
        <w:rPr>
          <w:b/>
          <w:bCs/>
          <w:color w:val="000000"/>
        </w:rPr>
      </w:pPr>
    </w:p>
    <w:p w14:paraId="4221B1DF" w14:textId="3DA51F6F" w:rsidR="00AF1E8F" w:rsidRPr="00EE3D3C" w:rsidRDefault="007F300C" w:rsidP="00AF1E8F">
      <w:pPr>
        <w:pStyle w:val="NormalWeb"/>
        <w:spacing w:before="0" w:beforeAutospacing="0" w:after="0" w:afterAutospacing="0"/>
        <w:ind w:left="709" w:hanging="294"/>
        <w:rPr>
          <w:b/>
          <w:bCs/>
          <w:color w:val="000000"/>
        </w:rPr>
      </w:pPr>
      <w:r w:rsidRPr="00EE3D3C">
        <w:rPr>
          <w:b/>
          <w:bCs/>
          <w:color w:val="000000"/>
        </w:rPr>
        <w:t>1.1.4</w:t>
      </w:r>
      <w:r w:rsidRPr="00EE3D3C">
        <w:rPr>
          <w:b/>
          <w:bCs/>
          <w:color w:val="000000"/>
        </w:rPr>
        <w:tab/>
        <w:t>Entorno Empresarial</w:t>
      </w:r>
    </w:p>
    <w:p w14:paraId="02B3CC21" w14:textId="74CA0355" w:rsidR="00AF1E8F" w:rsidRPr="00EE3D3C" w:rsidRDefault="00AF1E8F" w:rsidP="00AF1E8F">
      <w:pPr>
        <w:pStyle w:val="NormalWeb"/>
        <w:spacing w:before="0" w:beforeAutospacing="0" w:after="0" w:afterAutospacing="0"/>
        <w:ind w:left="709" w:hanging="294"/>
      </w:pPr>
    </w:p>
    <w:p w14:paraId="696D574C" w14:textId="6C9DF80F" w:rsidR="0025230A" w:rsidRDefault="0025230A" w:rsidP="0025230A">
      <w:pPr>
        <w:tabs>
          <w:tab w:val="left" w:pos="1995"/>
        </w:tabs>
        <w:jc w:val="both"/>
        <w:rPr>
          <w:rFonts w:ascii="Times New Roman" w:hAnsi="Times New Roman" w:cs="Times New Roman"/>
          <w:sz w:val="24"/>
          <w:szCs w:val="24"/>
        </w:rPr>
      </w:pPr>
      <w:r w:rsidRPr="00EE3D3C">
        <w:rPr>
          <w:rFonts w:ascii="Times New Roman" w:hAnsi="Times New Roman" w:cs="Times New Roman"/>
          <w:sz w:val="24"/>
          <w:szCs w:val="24"/>
        </w:rPr>
        <w:t xml:space="preserve">Estados unidos </w:t>
      </w:r>
      <w:r>
        <w:rPr>
          <w:rFonts w:ascii="Times New Roman" w:hAnsi="Times New Roman" w:cs="Times New Roman"/>
          <w:sz w:val="24"/>
          <w:szCs w:val="24"/>
        </w:rPr>
        <w:t xml:space="preserve">es la principal economía en el mundo y </w:t>
      </w:r>
      <w:r w:rsidRPr="00EE3D3C">
        <w:rPr>
          <w:rFonts w:ascii="Times New Roman" w:hAnsi="Times New Roman" w:cs="Times New Roman"/>
          <w:sz w:val="24"/>
          <w:szCs w:val="24"/>
        </w:rPr>
        <w:t>domina los mercados mundiales</w:t>
      </w:r>
      <w:r>
        <w:rPr>
          <w:rFonts w:ascii="Times New Roman" w:hAnsi="Times New Roman" w:cs="Times New Roman"/>
          <w:sz w:val="24"/>
          <w:szCs w:val="24"/>
        </w:rPr>
        <w:t>, d</w:t>
      </w:r>
      <w:r w:rsidRPr="00EE3D3C">
        <w:rPr>
          <w:rFonts w:ascii="Times New Roman" w:hAnsi="Times New Roman" w:cs="Times New Roman"/>
          <w:sz w:val="24"/>
          <w:szCs w:val="24"/>
        </w:rPr>
        <w:t>isfruta de su posición de superioridad tecnológica, militar y económica</w:t>
      </w:r>
      <w:r>
        <w:rPr>
          <w:rFonts w:ascii="Times New Roman" w:hAnsi="Times New Roman" w:cs="Times New Roman"/>
          <w:sz w:val="24"/>
          <w:szCs w:val="24"/>
        </w:rPr>
        <w:t xml:space="preserve">. </w:t>
      </w:r>
      <w:r w:rsidRPr="00EE3D3C">
        <w:rPr>
          <w:rFonts w:ascii="Times New Roman" w:hAnsi="Times New Roman" w:cs="Times New Roman"/>
          <w:sz w:val="24"/>
          <w:szCs w:val="24"/>
        </w:rPr>
        <w:t>Estados Unidos es la primera potencia económica y militar del mundo. Su PIB de</w:t>
      </w:r>
      <w:r>
        <w:rPr>
          <w:rFonts w:ascii="Times New Roman" w:hAnsi="Times New Roman" w:cs="Times New Roman"/>
          <w:sz w:val="24"/>
          <w:szCs w:val="24"/>
        </w:rPr>
        <w:t>l año</w:t>
      </w:r>
      <w:r w:rsidRPr="00EE3D3C">
        <w:rPr>
          <w:rFonts w:ascii="Times New Roman" w:hAnsi="Times New Roman" w:cs="Times New Roman"/>
          <w:sz w:val="24"/>
          <w:szCs w:val="24"/>
        </w:rPr>
        <w:t xml:space="preserve"> 2019 representó el 25% del </w:t>
      </w:r>
      <w:r>
        <w:rPr>
          <w:rFonts w:ascii="Times New Roman" w:hAnsi="Times New Roman" w:cs="Times New Roman"/>
          <w:sz w:val="24"/>
          <w:szCs w:val="24"/>
        </w:rPr>
        <w:t>PBI</w:t>
      </w:r>
      <w:r w:rsidRPr="00EE3D3C">
        <w:rPr>
          <w:rFonts w:ascii="Times New Roman" w:hAnsi="Times New Roman" w:cs="Times New Roman"/>
          <w:sz w:val="24"/>
          <w:szCs w:val="24"/>
        </w:rPr>
        <w:t xml:space="preserve"> mundial</w:t>
      </w:r>
      <w:r>
        <w:rPr>
          <w:rFonts w:ascii="Times New Roman" w:hAnsi="Times New Roman" w:cs="Times New Roman"/>
          <w:sz w:val="24"/>
          <w:szCs w:val="24"/>
        </w:rPr>
        <w:t>.</w:t>
      </w:r>
      <w:r w:rsidRPr="00EE3D3C">
        <w:rPr>
          <w:rFonts w:ascii="Times New Roman" w:hAnsi="Times New Roman" w:cs="Times New Roman"/>
          <w:sz w:val="24"/>
          <w:szCs w:val="24"/>
        </w:rPr>
        <w:t xml:space="preserve"> </w:t>
      </w:r>
    </w:p>
    <w:p w14:paraId="5887B666" w14:textId="47A6A15C" w:rsidR="0025230A" w:rsidRDefault="00336840" w:rsidP="0025230A">
      <w:pPr>
        <w:tabs>
          <w:tab w:val="left" w:pos="1995"/>
        </w:tabs>
        <w:rPr>
          <w:rFonts w:ascii="Times New Roman" w:hAnsi="Times New Roman" w:cs="Times New Roman"/>
          <w:sz w:val="24"/>
          <w:szCs w:val="24"/>
        </w:rPr>
      </w:pPr>
      <w:r>
        <w:rPr>
          <w:rFonts w:ascii="Times New Roman" w:hAnsi="Times New Roman" w:cs="Times New Roman"/>
          <w:sz w:val="24"/>
          <w:szCs w:val="24"/>
        </w:rPr>
        <w:t>En el entorno empresarial se tarda 4,2 días en crear una empresa es un nivel bajo frente a la media regional de 4,7 días</w:t>
      </w:r>
      <w:r w:rsidR="00961F21">
        <w:rPr>
          <w:rFonts w:ascii="Times New Roman" w:hAnsi="Times New Roman" w:cs="Times New Roman"/>
          <w:sz w:val="24"/>
          <w:szCs w:val="24"/>
        </w:rPr>
        <w:t>.</w:t>
      </w:r>
    </w:p>
    <w:p w14:paraId="5E890EF3" w14:textId="77777777" w:rsidR="00372951" w:rsidRDefault="00372951" w:rsidP="0025230A">
      <w:pPr>
        <w:tabs>
          <w:tab w:val="left" w:pos="1995"/>
        </w:tabs>
        <w:rPr>
          <w:rFonts w:ascii="Times New Roman" w:hAnsi="Times New Roman" w:cs="Times New Roman"/>
          <w:sz w:val="24"/>
          <w:szCs w:val="24"/>
        </w:rPr>
      </w:pPr>
    </w:p>
    <w:p w14:paraId="4A290CC9" w14:textId="23DC6771" w:rsidR="004D633C" w:rsidRPr="004D633C" w:rsidRDefault="004D633C" w:rsidP="004D633C">
      <w:pPr>
        <w:rPr>
          <w:rFonts w:ascii="Times New Roman" w:hAnsi="Times New Roman" w:cs="Times New Roman"/>
          <w:sz w:val="24"/>
          <w:szCs w:val="24"/>
        </w:rPr>
      </w:pPr>
    </w:p>
    <w:p w14:paraId="59792D85" w14:textId="18D42E7F" w:rsidR="004D633C" w:rsidRPr="004D633C" w:rsidRDefault="004D633C" w:rsidP="004D633C">
      <w:pPr>
        <w:rPr>
          <w:rFonts w:ascii="Times New Roman" w:hAnsi="Times New Roman" w:cs="Times New Roman"/>
          <w:sz w:val="24"/>
          <w:szCs w:val="24"/>
        </w:rPr>
      </w:pPr>
    </w:p>
    <w:p w14:paraId="0B40E57A" w14:textId="2A628C62" w:rsidR="004D633C" w:rsidRDefault="004D633C" w:rsidP="004D633C">
      <w:pPr>
        <w:tabs>
          <w:tab w:val="left" w:pos="3000"/>
        </w:tabs>
        <w:rPr>
          <w:rFonts w:ascii="Times New Roman" w:hAnsi="Times New Roman" w:cs="Times New Roman"/>
          <w:sz w:val="24"/>
          <w:szCs w:val="24"/>
        </w:rPr>
      </w:pPr>
      <w:r>
        <w:rPr>
          <w:rFonts w:ascii="Times New Roman" w:hAnsi="Times New Roman" w:cs="Times New Roman"/>
          <w:sz w:val="24"/>
          <w:szCs w:val="24"/>
        </w:rPr>
        <w:tab/>
      </w:r>
    </w:p>
    <w:p w14:paraId="21B060A6" w14:textId="06787A01" w:rsidR="004D633C" w:rsidRDefault="004D633C" w:rsidP="004D633C">
      <w:pPr>
        <w:tabs>
          <w:tab w:val="left" w:pos="3000"/>
        </w:tabs>
        <w:rPr>
          <w:rFonts w:ascii="Times New Roman" w:hAnsi="Times New Roman" w:cs="Times New Roman"/>
          <w:sz w:val="24"/>
          <w:szCs w:val="24"/>
        </w:rPr>
      </w:pPr>
    </w:p>
    <w:p w14:paraId="56ED2698" w14:textId="62EE71D4" w:rsidR="004D633C" w:rsidRDefault="004D633C" w:rsidP="004D633C">
      <w:pPr>
        <w:tabs>
          <w:tab w:val="left" w:pos="3000"/>
        </w:tabs>
        <w:rPr>
          <w:rFonts w:ascii="Times New Roman" w:hAnsi="Times New Roman" w:cs="Times New Roman"/>
          <w:sz w:val="24"/>
          <w:szCs w:val="24"/>
        </w:rPr>
      </w:pPr>
    </w:p>
    <w:p w14:paraId="7091BF55" w14:textId="2266209C" w:rsidR="004D633C" w:rsidRDefault="004D633C" w:rsidP="004D633C">
      <w:pPr>
        <w:tabs>
          <w:tab w:val="left" w:pos="3000"/>
        </w:tabs>
        <w:rPr>
          <w:rFonts w:ascii="Times New Roman" w:hAnsi="Times New Roman" w:cs="Times New Roman"/>
          <w:sz w:val="24"/>
          <w:szCs w:val="24"/>
        </w:rPr>
      </w:pPr>
    </w:p>
    <w:p w14:paraId="42FDB68C" w14:textId="1A50E357" w:rsidR="004D633C" w:rsidRDefault="004D633C" w:rsidP="004D633C">
      <w:pPr>
        <w:tabs>
          <w:tab w:val="left" w:pos="3000"/>
        </w:tabs>
        <w:rPr>
          <w:rFonts w:ascii="Times New Roman" w:hAnsi="Times New Roman" w:cs="Times New Roman"/>
          <w:sz w:val="24"/>
          <w:szCs w:val="24"/>
        </w:rPr>
      </w:pPr>
    </w:p>
    <w:p w14:paraId="2C2E4936" w14:textId="06BB76D6" w:rsidR="004D633C" w:rsidRDefault="004D633C" w:rsidP="004D633C">
      <w:pPr>
        <w:tabs>
          <w:tab w:val="left" w:pos="3000"/>
        </w:tabs>
        <w:rPr>
          <w:rFonts w:ascii="Times New Roman" w:hAnsi="Times New Roman" w:cs="Times New Roman"/>
          <w:sz w:val="24"/>
          <w:szCs w:val="24"/>
        </w:rPr>
      </w:pPr>
    </w:p>
    <w:p w14:paraId="60CA9787" w14:textId="57240130" w:rsidR="004D633C" w:rsidRDefault="004D633C" w:rsidP="004D633C">
      <w:pPr>
        <w:tabs>
          <w:tab w:val="left" w:pos="3000"/>
        </w:tabs>
        <w:rPr>
          <w:rFonts w:ascii="Times New Roman" w:hAnsi="Times New Roman" w:cs="Times New Roman"/>
          <w:sz w:val="24"/>
          <w:szCs w:val="24"/>
        </w:rPr>
      </w:pPr>
    </w:p>
    <w:p w14:paraId="1B4E84E7" w14:textId="2E4D4C10" w:rsidR="004D633C" w:rsidRDefault="004D633C" w:rsidP="004D633C">
      <w:pPr>
        <w:tabs>
          <w:tab w:val="left" w:pos="3000"/>
        </w:tabs>
        <w:rPr>
          <w:rFonts w:ascii="Times New Roman" w:hAnsi="Times New Roman" w:cs="Times New Roman"/>
          <w:sz w:val="24"/>
          <w:szCs w:val="24"/>
        </w:rPr>
      </w:pPr>
    </w:p>
    <w:p w14:paraId="666BD9DA" w14:textId="52916A71" w:rsidR="004D633C" w:rsidRDefault="004D633C" w:rsidP="004D633C">
      <w:pPr>
        <w:tabs>
          <w:tab w:val="left" w:pos="3000"/>
        </w:tabs>
        <w:rPr>
          <w:rFonts w:ascii="Times New Roman" w:hAnsi="Times New Roman" w:cs="Times New Roman"/>
          <w:sz w:val="24"/>
          <w:szCs w:val="24"/>
        </w:rPr>
      </w:pPr>
    </w:p>
    <w:p w14:paraId="2FAD609F" w14:textId="7A2DA113" w:rsidR="004D633C" w:rsidRDefault="004D633C" w:rsidP="004D633C">
      <w:pPr>
        <w:tabs>
          <w:tab w:val="left" w:pos="3000"/>
        </w:tabs>
        <w:rPr>
          <w:noProof/>
        </w:rPr>
      </w:pPr>
      <w:r>
        <w:rPr>
          <w:noProof/>
        </w:rPr>
        <w:lastRenderedPageBreak/>
        <w:drawing>
          <wp:inline distT="0" distB="0" distL="0" distR="0" wp14:anchorId="6E4ACC67" wp14:editId="631D4A00">
            <wp:extent cx="5612130" cy="3188970"/>
            <wp:effectExtent l="0" t="0" r="7620" b="11430"/>
            <wp:docPr id="2" name="Gráfico 2">
              <a:extLst xmlns:a="http://schemas.openxmlformats.org/drawingml/2006/main">
                <a:ext uri="{FF2B5EF4-FFF2-40B4-BE49-F238E27FC236}">
                  <a16:creationId xmlns:a16="http://schemas.microsoft.com/office/drawing/2014/main" id="{8367A18B-D7F9-4F43-A6F4-5E04A451C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894339" w14:textId="03E4BC26" w:rsidR="00023CA6" w:rsidRDefault="00023CA6" w:rsidP="00023CA6">
      <w:pPr>
        <w:rPr>
          <w:noProof/>
        </w:rPr>
      </w:pPr>
    </w:p>
    <w:p w14:paraId="7912BA7E" w14:textId="298B15E2" w:rsidR="00023CA6" w:rsidRDefault="00023CA6" w:rsidP="00023CA6">
      <w:pPr>
        <w:rPr>
          <w:rFonts w:ascii="Times New Roman" w:hAnsi="Times New Roman" w:cs="Times New Roman"/>
          <w:sz w:val="24"/>
          <w:szCs w:val="24"/>
        </w:rPr>
      </w:pPr>
      <w:r>
        <w:rPr>
          <w:rFonts w:ascii="Times New Roman" w:hAnsi="Times New Roman" w:cs="Times New Roman"/>
          <w:sz w:val="24"/>
          <w:szCs w:val="24"/>
        </w:rPr>
        <w:t>La serie del PBI real del año 1960 al 2019 presenta una tendencia creciente, sin embargo en 2008 podemos ver una caída debido a la crisis financiera y la economía sigue teniendo tendencias a la alza.</w:t>
      </w:r>
    </w:p>
    <w:p w14:paraId="57D3544B" w14:textId="292D885C" w:rsidR="00023CA6" w:rsidRDefault="003269BA" w:rsidP="00023CA6">
      <w:pPr>
        <w:rPr>
          <w:rFonts w:ascii="Times New Roman" w:hAnsi="Times New Roman" w:cs="Times New Roman"/>
          <w:sz w:val="24"/>
          <w:szCs w:val="24"/>
        </w:rPr>
      </w:pPr>
      <w:r>
        <w:rPr>
          <w:rFonts w:ascii="Times New Roman" w:hAnsi="Times New Roman" w:cs="Times New Roman"/>
          <w:sz w:val="24"/>
          <w:szCs w:val="24"/>
        </w:rPr>
        <w:t>EEUU</w:t>
      </w:r>
    </w:p>
    <w:p w14:paraId="7AA3F9BE" w14:textId="2CE4142C" w:rsidR="00886FE2" w:rsidRPr="0065313D" w:rsidRDefault="003269BA" w:rsidP="00B2342C">
      <w:pPr>
        <w:rPr>
          <w:rFonts w:ascii="Times New Roman" w:hAnsi="Times New Roman" w:cs="Times New Roman"/>
          <w:sz w:val="24"/>
          <w:szCs w:val="24"/>
        </w:rPr>
      </w:pPr>
      <w:r>
        <w:rPr>
          <w:rFonts w:ascii="Times New Roman" w:hAnsi="Times New Roman" w:cs="Times New Roman"/>
          <w:sz w:val="24"/>
          <w:szCs w:val="24"/>
        </w:rPr>
        <w:t xml:space="preserve">En el </w:t>
      </w:r>
      <w:r w:rsidR="00B2342C">
        <w:rPr>
          <w:rFonts w:ascii="Times New Roman" w:hAnsi="Times New Roman" w:cs="Times New Roman"/>
          <w:sz w:val="24"/>
          <w:szCs w:val="24"/>
        </w:rPr>
        <w:t xml:space="preserve">año </w:t>
      </w:r>
      <w:r>
        <w:rPr>
          <w:rFonts w:ascii="Times New Roman" w:hAnsi="Times New Roman" w:cs="Times New Roman"/>
          <w:sz w:val="24"/>
          <w:szCs w:val="24"/>
        </w:rPr>
        <w:t>201</w:t>
      </w:r>
      <w:r w:rsidR="008D4C77">
        <w:rPr>
          <w:rFonts w:ascii="Times New Roman" w:hAnsi="Times New Roman" w:cs="Times New Roman"/>
          <w:sz w:val="24"/>
          <w:szCs w:val="24"/>
        </w:rPr>
        <w:t>5</w:t>
      </w:r>
      <w:r>
        <w:rPr>
          <w:rFonts w:ascii="Times New Roman" w:hAnsi="Times New Roman" w:cs="Times New Roman"/>
          <w:sz w:val="24"/>
          <w:szCs w:val="24"/>
        </w:rPr>
        <w:t xml:space="preserve"> el motor de crecimiento del PBI fue sector consumo </w:t>
      </w:r>
    </w:p>
    <w:p w14:paraId="260B1963" w14:textId="29127F65" w:rsidR="00B2342C" w:rsidRPr="00886FE2" w:rsidRDefault="00B2342C" w:rsidP="00886FE2">
      <w:pPr>
        <w:jc w:val="both"/>
        <w:rPr>
          <w:rFonts w:ascii="Times New Roman" w:hAnsi="Times New Roman" w:cs="Times New Roman"/>
          <w:sz w:val="24"/>
          <w:szCs w:val="24"/>
        </w:rPr>
      </w:pPr>
      <w:r w:rsidRPr="00886FE2">
        <w:rPr>
          <w:rFonts w:ascii="Times New Roman" w:hAnsi="Times New Roman" w:cs="Times New Roman"/>
          <w:sz w:val="24"/>
          <w:szCs w:val="24"/>
        </w:rPr>
        <w:t>En el año 201</w:t>
      </w:r>
      <w:r w:rsidR="008D4C77">
        <w:rPr>
          <w:rFonts w:ascii="Times New Roman" w:hAnsi="Times New Roman" w:cs="Times New Roman"/>
          <w:sz w:val="24"/>
          <w:szCs w:val="24"/>
        </w:rPr>
        <w:t>5</w:t>
      </w:r>
      <w:r w:rsidRPr="00886FE2">
        <w:rPr>
          <w:rFonts w:ascii="Times New Roman" w:hAnsi="Times New Roman" w:cs="Times New Roman"/>
          <w:sz w:val="24"/>
          <w:szCs w:val="24"/>
        </w:rPr>
        <w:t xml:space="preserve"> la economía de EEUU cambia a un ciclo de crecimiento de nueva n</w:t>
      </w:r>
      <w:r w:rsidR="009127EC">
        <w:rPr>
          <w:rFonts w:ascii="Times New Roman" w:hAnsi="Times New Roman" w:cs="Times New Roman"/>
          <w:sz w:val="24"/>
          <w:szCs w:val="24"/>
        </w:rPr>
        <w:t>or</w:t>
      </w:r>
      <w:r w:rsidRPr="00886FE2">
        <w:rPr>
          <w:rFonts w:ascii="Times New Roman" w:hAnsi="Times New Roman" w:cs="Times New Roman"/>
          <w:sz w:val="24"/>
          <w:szCs w:val="24"/>
        </w:rPr>
        <w:t xml:space="preserve">malidad, debido a la desaceleración mundial </w:t>
      </w:r>
      <w:r w:rsidR="00886FE2" w:rsidRPr="00886FE2">
        <w:rPr>
          <w:rFonts w:ascii="Times New Roman" w:hAnsi="Times New Roman" w:cs="Times New Roman"/>
          <w:sz w:val="24"/>
          <w:szCs w:val="24"/>
        </w:rPr>
        <w:t>, el entorno actual de la baja inflación plantea problemas para que la FED incremente la tasa de fondos federales lo que aumenta la incertidumbre de las tasas de interés</w:t>
      </w:r>
      <w:r w:rsidR="009127EC">
        <w:rPr>
          <w:rFonts w:ascii="Times New Roman" w:hAnsi="Times New Roman" w:cs="Times New Roman"/>
          <w:sz w:val="24"/>
          <w:szCs w:val="24"/>
        </w:rPr>
        <w:t xml:space="preserve">. </w:t>
      </w:r>
      <w:r w:rsidR="00886FE2" w:rsidRPr="00886FE2">
        <w:rPr>
          <w:rFonts w:ascii="Times New Roman" w:hAnsi="Times New Roman" w:cs="Times New Roman"/>
          <w:sz w:val="24"/>
          <w:szCs w:val="24"/>
        </w:rPr>
        <w:t>A pesar de estos riesgos para el crecimiento , el consumo interno de EEUU esta dando resultados y es el sector consumo el motor de crecimiento del año 2016.</w:t>
      </w:r>
    </w:p>
    <w:p w14:paraId="1DD5F423" w14:textId="77777777" w:rsidR="00E871F1" w:rsidRDefault="00886FE2" w:rsidP="00886FE2">
      <w:pPr>
        <w:jc w:val="both"/>
        <w:rPr>
          <w:rFonts w:ascii="Times New Roman" w:hAnsi="Times New Roman" w:cs="Times New Roman"/>
          <w:sz w:val="24"/>
          <w:szCs w:val="24"/>
        </w:rPr>
      </w:pPr>
      <w:r w:rsidRPr="00886FE2">
        <w:rPr>
          <w:rFonts w:ascii="Times New Roman" w:hAnsi="Times New Roman" w:cs="Times New Roman"/>
          <w:sz w:val="24"/>
          <w:szCs w:val="24"/>
        </w:rPr>
        <w:t>El consumo, que ha seguido siendo el principal impulsor del crecimiento económico de EEUU, ha mantenido un ritmo saludable a pesar de que en los salarios de los consumidores se han visto pocos aumentos. La confianza de los consumidores se mantiene fuerte como consecuencia de la solidez de las economías familiares una vez finalizado el desapalancamiento</w:t>
      </w:r>
      <w:r w:rsidR="009127EC">
        <w:rPr>
          <w:rFonts w:ascii="Times New Roman" w:hAnsi="Times New Roman" w:cs="Times New Roman"/>
          <w:sz w:val="24"/>
          <w:szCs w:val="24"/>
        </w:rPr>
        <w:t xml:space="preserve"> donde</w:t>
      </w:r>
      <w:r w:rsidRPr="00886FE2">
        <w:rPr>
          <w:rFonts w:ascii="Times New Roman" w:hAnsi="Times New Roman" w:cs="Times New Roman"/>
          <w:sz w:val="24"/>
          <w:szCs w:val="24"/>
        </w:rPr>
        <w:t xml:space="preserve"> los consumidores están preparados económicamente para empezar a asumir más deuda. </w:t>
      </w:r>
    </w:p>
    <w:p w14:paraId="0ACAAEC6" w14:textId="77777777" w:rsidR="00E871F1" w:rsidRDefault="00E871F1" w:rsidP="00886FE2">
      <w:pPr>
        <w:jc w:val="both"/>
        <w:rPr>
          <w:rFonts w:ascii="Times New Roman" w:hAnsi="Times New Roman" w:cs="Times New Roman"/>
          <w:sz w:val="24"/>
          <w:szCs w:val="24"/>
        </w:rPr>
      </w:pPr>
    </w:p>
    <w:p w14:paraId="33E84949" w14:textId="77777777" w:rsidR="00E871F1" w:rsidRDefault="00E871F1" w:rsidP="00886FE2">
      <w:pPr>
        <w:jc w:val="both"/>
        <w:rPr>
          <w:rFonts w:ascii="Times New Roman" w:hAnsi="Times New Roman" w:cs="Times New Roman"/>
          <w:sz w:val="24"/>
          <w:szCs w:val="24"/>
        </w:rPr>
      </w:pPr>
    </w:p>
    <w:p w14:paraId="3193E780" w14:textId="77777777" w:rsidR="00E871F1" w:rsidRDefault="00E871F1" w:rsidP="00886FE2">
      <w:pPr>
        <w:jc w:val="both"/>
        <w:rPr>
          <w:rFonts w:ascii="Times New Roman" w:hAnsi="Times New Roman" w:cs="Times New Roman"/>
          <w:sz w:val="24"/>
          <w:szCs w:val="24"/>
        </w:rPr>
      </w:pPr>
    </w:p>
    <w:p w14:paraId="3286C64F" w14:textId="2B2EF931" w:rsidR="00B2342C" w:rsidRDefault="00D11BCD" w:rsidP="00886FE2">
      <w:pPr>
        <w:jc w:val="both"/>
        <w:rPr>
          <w:noProof/>
        </w:rPr>
      </w:pPr>
      <w:r>
        <w:rPr>
          <w:noProof/>
        </w:rPr>
        <w:lastRenderedPageBreak/>
        <w:drawing>
          <wp:inline distT="0" distB="0" distL="0" distR="0" wp14:anchorId="45096AE7" wp14:editId="5AA510BC">
            <wp:extent cx="5953125" cy="2865120"/>
            <wp:effectExtent l="0" t="0" r="9525" b="11430"/>
            <wp:docPr id="4" name="Gráfico 4">
              <a:extLst xmlns:a="http://schemas.openxmlformats.org/drawingml/2006/main">
                <a:ext uri="{FF2B5EF4-FFF2-40B4-BE49-F238E27FC236}">
                  <a16:creationId xmlns:a16="http://schemas.microsoft.com/office/drawing/2014/main" id="{0741D3D0-1275-4060-B49C-C4553DB288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1A99FA" w14:textId="58ADAA89" w:rsidR="005F63FD" w:rsidRPr="005F63FD" w:rsidRDefault="005F63FD" w:rsidP="005F63FD">
      <w:pPr>
        <w:rPr>
          <w:rFonts w:ascii="Times New Roman" w:hAnsi="Times New Roman" w:cs="Times New Roman"/>
          <w:sz w:val="24"/>
          <w:szCs w:val="24"/>
        </w:rPr>
      </w:pPr>
    </w:p>
    <w:p w14:paraId="1974293B" w14:textId="185E7FA6" w:rsidR="005F63FD" w:rsidRPr="005F63FD" w:rsidRDefault="005F63FD" w:rsidP="005F63FD">
      <w:pPr>
        <w:rPr>
          <w:rFonts w:ascii="Times New Roman" w:hAnsi="Times New Roman" w:cs="Times New Roman"/>
          <w:sz w:val="24"/>
          <w:szCs w:val="24"/>
        </w:rPr>
      </w:pPr>
    </w:p>
    <w:p w14:paraId="55185D12" w14:textId="77777777" w:rsidR="00361888" w:rsidRDefault="00361888" w:rsidP="00242B64">
      <w:pPr>
        <w:jc w:val="center"/>
        <w:rPr>
          <w:rFonts w:ascii="Times New Roman" w:hAnsi="Times New Roman" w:cs="Times New Roman"/>
          <w:b/>
          <w:bCs/>
          <w:sz w:val="24"/>
          <w:szCs w:val="24"/>
        </w:rPr>
      </w:pPr>
    </w:p>
    <w:p w14:paraId="6F3EF14E" w14:textId="77777777" w:rsidR="00361888" w:rsidRDefault="00361888" w:rsidP="00242B64">
      <w:pPr>
        <w:jc w:val="center"/>
        <w:rPr>
          <w:rFonts w:ascii="Times New Roman" w:hAnsi="Times New Roman" w:cs="Times New Roman"/>
          <w:b/>
          <w:bCs/>
          <w:sz w:val="24"/>
          <w:szCs w:val="24"/>
        </w:rPr>
      </w:pPr>
    </w:p>
    <w:p w14:paraId="37DA5F33" w14:textId="77777777" w:rsidR="00361888" w:rsidRDefault="00361888" w:rsidP="00242B64">
      <w:pPr>
        <w:jc w:val="center"/>
        <w:rPr>
          <w:rFonts w:ascii="Times New Roman" w:hAnsi="Times New Roman" w:cs="Times New Roman"/>
          <w:b/>
          <w:bCs/>
          <w:sz w:val="24"/>
          <w:szCs w:val="24"/>
        </w:rPr>
      </w:pPr>
    </w:p>
    <w:p w14:paraId="6BBF1406" w14:textId="77777777" w:rsidR="00361888" w:rsidRDefault="00361888" w:rsidP="00242B64">
      <w:pPr>
        <w:jc w:val="center"/>
        <w:rPr>
          <w:rFonts w:ascii="Times New Roman" w:hAnsi="Times New Roman" w:cs="Times New Roman"/>
          <w:b/>
          <w:bCs/>
          <w:sz w:val="24"/>
          <w:szCs w:val="24"/>
        </w:rPr>
      </w:pPr>
    </w:p>
    <w:p w14:paraId="1179586E" w14:textId="77777777" w:rsidR="00361888" w:rsidRDefault="00361888" w:rsidP="00242B64">
      <w:pPr>
        <w:jc w:val="center"/>
        <w:rPr>
          <w:rFonts w:ascii="Times New Roman" w:hAnsi="Times New Roman" w:cs="Times New Roman"/>
          <w:b/>
          <w:bCs/>
          <w:sz w:val="24"/>
          <w:szCs w:val="24"/>
        </w:rPr>
      </w:pPr>
    </w:p>
    <w:p w14:paraId="40BBDC2D" w14:textId="77777777" w:rsidR="00361888" w:rsidRDefault="00361888" w:rsidP="00242B64">
      <w:pPr>
        <w:jc w:val="center"/>
        <w:rPr>
          <w:rFonts w:ascii="Times New Roman" w:hAnsi="Times New Roman" w:cs="Times New Roman"/>
          <w:b/>
          <w:bCs/>
          <w:sz w:val="24"/>
          <w:szCs w:val="24"/>
        </w:rPr>
      </w:pPr>
    </w:p>
    <w:p w14:paraId="04C49F0F" w14:textId="77777777" w:rsidR="00361888" w:rsidRDefault="00361888" w:rsidP="00242B64">
      <w:pPr>
        <w:jc w:val="center"/>
        <w:rPr>
          <w:rFonts w:ascii="Times New Roman" w:hAnsi="Times New Roman" w:cs="Times New Roman"/>
          <w:b/>
          <w:bCs/>
          <w:sz w:val="24"/>
          <w:szCs w:val="24"/>
        </w:rPr>
      </w:pPr>
    </w:p>
    <w:p w14:paraId="3059AD3F" w14:textId="77777777" w:rsidR="00361888" w:rsidRDefault="00361888" w:rsidP="00242B64">
      <w:pPr>
        <w:jc w:val="center"/>
        <w:rPr>
          <w:rFonts w:ascii="Times New Roman" w:hAnsi="Times New Roman" w:cs="Times New Roman"/>
          <w:b/>
          <w:bCs/>
          <w:sz w:val="24"/>
          <w:szCs w:val="24"/>
        </w:rPr>
      </w:pPr>
    </w:p>
    <w:p w14:paraId="7EF0613E" w14:textId="77777777" w:rsidR="00361888" w:rsidRDefault="00361888" w:rsidP="00242B64">
      <w:pPr>
        <w:jc w:val="center"/>
        <w:rPr>
          <w:rFonts w:ascii="Times New Roman" w:hAnsi="Times New Roman" w:cs="Times New Roman"/>
          <w:b/>
          <w:bCs/>
          <w:sz w:val="24"/>
          <w:szCs w:val="24"/>
        </w:rPr>
      </w:pPr>
    </w:p>
    <w:p w14:paraId="43883174" w14:textId="77777777" w:rsidR="00361888" w:rsidRDefault="00361888" w:rsidP="00242B64">
      <w:pPr>
        <w:jc w:val="center"/>
        <w:rPr>
          <w:rFonts w:ascii="Times New Roman" w:hAnsi="Times New Roman" w:cs="Times New Roman"/>
          <w:b/>
          <w:bCs/>
          <w:sz w:val="24"/>
          <w:szCs w:val="24"/>
        </w:rPr>
      </w:pPr>
    </w:p>
    <w:p w14:paraId="13E2ED29" w14:textId="77777777" w:rsidR="00361888" w:rsidRDefault="00361888" w:rsidP="00242B64">
      <w:pPr>
        <w:jc w:val="center"/>
        <w:rPr>
          <w:rFonts w:ascii="Times New Roman" w:hAnsi="Times New Roman" w:cs="Times New Roman"/>
          <w:b/>
          <w:bCs/>
          <w:sz w:val="24"/>
          <w:szCs w:val="24"/>
        </w:rPr>
      </w:pPr>
    </w:p>
    <w:p w14:paraId="35C3FFB6" w14:textId="77777777" w:rsidR="00361888" w:rsidRDefault="00361888" w:rsidP="00242B64">
      <w:pPr>
        <w:jc w:val="center"/>
        <w:rPr>
          <w:rFonts w:ascii="Times New Roman" w:hAnsi="Times New Roman" w:cs="Times New Roman"/>
          <w:b/>
          <w:bCs/>
          <w:sz w:val="24"/>
          <w:szCs w:val="24"/>
        </w:rPr>
      </w:pPr>
    </w:p>
    <w:p w14:paraId="1712335D" w14:textId="77777777" w:rsidR="00361888" w:rsidRDefault="00361888" w:rsidP="00242B64">
      <w:pPr>
        <w:jc w:val="center"/>
        <w:rPr>
          <w:rFonts w:ascii="Times New Roman" w:hAnsi="Times New Roman" w:cs="Times New Roman"/>
          <w:b/>
          <w:bCs/>
          <w:sz w:val="24"/>
          <w:szCs w:val="24"/>
        </w:rPr>
      </w:pPr>
    </w:p>
    <w:p w14:paraId="0104083C" w14:textId="77777777" w:rsidR="00361888" w:rsidRDefault="00361888" w:rsidP="00242B64">
      <w:pPr>
        <w:jc w:val="center"/>
        <w:rPr>
          <w:rFonts w:ascii="Times New Roman" w:hAnsi="Times New Roman" w:cs="Times New Roman"/>
          <w:b/>
          <w:bCs/>
          <w:sz w:val="24"/>
          <w:szCs w:val="24"/>
        </w:rPr>
      </w:pPr>
    </w:p>
    <w:p w14:paraId="654BA6E4" w14:textId="77777777" w:rsidR="00361888" w:rsidRDefault="00361888" w:rsidP="00242B64">
      <w:pPr>
        <w:jc w:val="center"/>
        <w:rPr>
          <w:rFonts w:ascii="Times New Roman" w:hAnsi="Times New Roman" w:cs="Times New Roman"/>
          <w:b/>
          <w:bCs/>
          <w:sz w:val="24"/>
          <w:szCs w:val="24"/>
        </w:rPr>
      </w:pPr>
    </w:p>
    <w:p w14:paraId="763D5849" w14:textId="77777777" w:rsidR="00361888" w:rsidRDefault="00361888" w:rsidP="00242B64">
      <w:pPr>
        <w:jc w:val="center"/>
        <w:rPr>
          <w:rFonts w:ascii="Times New Roman" w:hAnsi="Times New Roman" w:cs="Times New Roman"/>
          <w:b/>
          <w:bCs/>
          <w:sz w:val="24"/>
          <w:szCs w:val="24"/>
        </w:rPr>
      </w:pPr>
    </w:p>
    <w:p w14:paraId="7C53B428" w14:textId="0921F193" w:rsidR="005F63FD" w:rsidRDefault="00242B64" w:rsidP="00242B64">
      <w:pPr>
        <w:jc w:val="center"/>
        <w:rPr>
          <w:rFonts w:ascii="Times New Roman" w:hAnsi="Times New Roman" w:cs="Times New Roman"/>
          <w:b/>
          <w:bCs/>
          <w:sz w:val="24"/>
          <w:szCs w:val="24"/>
        </w:rPr>
      </w:pPr>
      <w:r w:rsidRPr="00242B64">
        <w:rPr>
          <w:rFonts w:ascii="Times New Roman" w:hAnsi="Times New Roman" w:cs="Times New Roman"/>
          <w:b/>
          <w:bCs/>
          <w:sz w:val="24"/>
          <w:szCs w:val="24"/>
        </w:rPr>
        <w:lastRenderedPageBreak/>
        <w:t>Referencia Bibliográfica</w:t>
      </w:r>
    </w:p>
    <w:p w14:paraId="11144EF3" w14:textId="77777777" w:rsidR="00242B64" w:rsidRPr="00130D48" w:rsidRDefault="00242B64" w:rsidP="00242B64">
      <w:pPr>
        <w:rPr>
          <w:rFonts w:ascii="Times New Roman" w:hAnsi="Times New Roman" w:cs="Times New Roman"/>
          <w:sz w:val="24"/>
          <w:szCs w:val="24"/>
        </w:rPr>
      </w:pPr>
    </w:p>
    <w:p w14:paraId="3CC6CE7D" w14:textId="77777777" w:rsidR="00242B64" w:rsidRPr="005F63FD" w:rsidRDefault="00242B64" w:rsidP="005F63FD">
      <w:pPr>
        <w:rPr>
          <w:rFonts w:ascii="Times New Roman" w:hAnsi="Times New Roman" w:cs="Times New Roman"/>
          <w:sz w:val="24"/>
          <w:szCs w:val="24"/>
        </w:rPr>
      </w:pPr>
    </w:p>
    <w:p w14:paraId="75183DCE" w14:textId="3E07F648" w:rsidR="005F63FD" w:rsidRPr="005F63FD" w:rsidRDefault="005F63FD" w:rsidP="005F63FD">
      <w:pPr>
        <w:rPr>
          <w:rFonts w:ascii="Times New Roman" w:hAnsi="Times New Roman" w:cs="Times New Roman"/>
          <w:sz w:val="24"/>
          <w:szCs w:val="24"/>
        </w:rPr>
      </w:pPr>
    </w:p>
    <w:p w14:paraId="527FF81B" w14:textId="125DF662" w:rsidR="005F63FD" w:rsidRPr="005F63FD" w:rsidRDefault="005F63FD" w:rsidP="005F63FD">
      <w:pPr>
        <w:rPr>
          <w:rFonts w:ascii="Times New Roman" w:hAnsi="Times New Roman" w:cs="Times New Roman"/>
          <w:sz w:val="24"/>
          <w:szCs w:val="24"/>
        </w:rPr>
      </w:pPr>
    </w:p>
    <w:p w14:paraId="39C1C786" w14:textId="5A1022D0" w:rsidR="005F63FD" w:rsidRPr="005F63FD" w:rsidRDefault="005F63FD" w:rsidP="005F63FD">
      <w:pPr>
        <w:rPr>
          <w:rFonts w:ascii="Times New Roman" w:hAnsi="Times New Roman" w:cs="Times New Roman"/>
          <w:sz w:val="24"/>
          <w:szCs w:val="24"/>
        </w:rPr>
      </w:pPr>
    </w:p>
    <w:p w14:paraId="38147C2D" w14:textId="04EC926F" w:rsidR="005F63FD" w:rsidRPr="005F63FD" w:rsidRDefault="005F63FD" w:rsidP="005F63FD">
      <w:pPr>
        <w:rPr>
          <w:rFonts w:ascii="Times New Roman" w:hAnsi="Times New Roman" w:cs="Times New Roman"/>
          <w:sz w:val="24"/>
          <w:szCs w:val="24"/>
        </w:rPr>
      </w:pPr>
    </w:p>
    <w:p w14:paraId="02BA55C3" w14:textId="4178DE79" w:rsidR="005F63FD" w:rsidRPr="005F63FD" w:rsidRDefault="005F63FD" w:rsidP="005F63FD">
      <w:pPr>
        <w:rPr>
          <w:rFonts w:ascii="Times New Roman" w:hAnsi="Times New Roman" w:cs="Times New Roman"/>
          <w:sz w:val="24"/>
          <w:szCs w:val="24"/>
        </w:rPr>
      </w:pPr>
    </w:p>
    <w:p w14:paraId="54FBB07C" w14:textId="56AE5E6F" w:rsidR="005F63FD" w:rsidRPr="005F63FD" w:rsidRDefault="005F63FD" w:rsidP="005F63FD">
      <w:pPr>
        <w:rPr>
          <w:rFonts w:ascii="Times New Roman" w:hAnsi="Times New Roman" w:cs="Times New Roman"/>
          <w:sz w:val="24"/>
          <w:szCs w:val="24"/>
        </w:rPr>
      </w:pPr>
    </w:p>
    <w:p w14:paraId="7A69BCE9" w14:textId="458128C3" w:rsidR="005F63FD" w:rsidRPr="005F63FD" w:rsidRDefault="005F63FD" w:rsidP="005F63FD">
      <w:pPr>
        <w:rPr>
          <w:rFonts w:ascii="Times New Roman" w:hAnsi="Times New Roman" w:cs="Times New Roman"/>
          <w:sz w:val="24"/>
          <w:szCs w:val="24"/>
        </w:rPr>
      </w:pPr>
    </w:p>
    <w:p w14:paraId="07058CE5" w14:textId="7AFAEEAD" w:rsidR="005F63FD" w:rsidRPr="005F63FD" w:rsidRDefault="005F63FD" w:rsidP="005F63FD">
      <w:pPr>
        <w:rPr>
          <w:rFonts w:ascii="Times New Roman" w:hAnsi="Times New Roman" w:cs="Times New Roman"/>
          <w:sz w:val="24"/>
          <w:szCs w:val="24"/>
        </w:rPr>
      </w:pPr>
    </w:p>
    <w:p w14:paraId="07A3599D" w14:textId="20B18BC4" w:rsidR="005F63FD" w:rsidRPr="005F63FD" w:rsidRDefault="005F63FD" w:rsidP="005F63FD">
      <w:pPr>
        <w:rPr>
          <w:rFonts w:ascii="Times New Roman" w:hAnsi="Times New Roman" w:cs="Times New Roman"/>
          <w:sz w:val="24"/>
          <w:szCs w:val="24"/>
        </w:rPr>
      </w:pPr>
    </w:p>
    <w:p w14:paraId="564BACBA" w14:textId="302E4333" w:rsidR="005F63FD" w:rsidRDefault="005F63FD" w:rsidP="005F63FD">
      <w:pPr>
        <w:rPr>
          <w:noProof/>
        </w:rPr>
      </w:pPr>
    </w:p>
    <w:p w14:paraId="79D4B704" w14:textId="707E1D32" w:rsidR="005F63FD" w:rsidRDefault="005F63FD" w:rsidP="005F63FD">
      <w:pPr>
        <w:rPr>
          <w:noProof/>
        </w:rPr>
      </w:pPr>
    </w:p>
    <w:p w14:paraId="0BF8A6C6" w14:textId="77777777" w:rsidR="005F63FD" w:rsidRDefault="005F63FD" w:rsidP="005F63FD">
      <w:pPr>
        <w:tabs>
          <w:tab w:val="left" w:pos="945"/>
        </w:tabs>
        <w:rPr>
          <w:rFonts w:ascii="Times New Roman" w:hAnsi="Times New Roman" w:cs="Times New Roman"/>
          <w:sz w:val="24"/>
          <w:szCs w:val="24"/>
        </w:rPr>
      </w:pPr>
    </w:p>
    <w:p w14:paraId="1488F5CB" w14:textId="77777777" w:rsidR="005F63FD" w:rsidRDefault="005F63FD" w:rsidP="005F63FD">
      <w:pPr>
        <w:tabs>
          <w:tab w:val="left" w:pos="945"/>
        </w:tabs>
        <w:rPr>
          <w:rFonts w:ascii="Times New Roman" w:hAnsi="Times New Roman" w:cs="Times New Roman"/>
          <w:sz w:val="24"/>
          <w:szCs w:val="24"/>
        </w:rPr>
      </w:pPr>
    </w:p>
    <w:p w14:paraId="6BDC2D2C" w14:textId="77777777" w:rsidR="005F63FD" w:rsidRDefault="005F63FD" w:rsidP="005F63FD">
      <w:pPr>
        <w:tabs>
          <w:tab w:val="left" w:pos="945"/>
        </w:tabs>
        <w:rPr>
          <w:rFonts w:ascii="Times New Roman" w:hAnsi="Times New Roman" w:cs="Times New Roman"/>
          <w:sz w:val="24"/>
          <w:szCs w:val="24"/>
        </w:rPr>
      </w:pPr>
    </w:p>
    <w:p w14:paraId="2895BEE0" w14:textId="77777777" w:rsidR="005F63FD" w:rsidRDefault="005F63FD" w:rsidP="005F63FD">
      <w:pPr>
        <w:tabs>
          <w:tab w:val="left" w:pos="945"/>
        </w:tabs>
        <w:rPr>
          <w:rFonts w:ascii="Times New Roman" w:hAnsi="Times New Roman" w:cs="Times New Roman"/>
          <w:sz w:val="24"/>
          <w:szCs w:val="24"/>
        </w:rPr>
      </w:pPr>
    </w:p>
    <w:p w14:paraId="5B9F9B2B" w14:textId="42397618" w:rsidR="005F63FD" w:rsidRPr="005F63FD" w:rsidRDefault="005F63FD" w:rsidP="005F63FD">
      <w:pPr>
        <w:tabs>
          <w:tab w:val="left" w:pos="945"/>
        </w:tabs>
        <w:rPr>
          <w:rFonts w:ascii="Times New Roman" w:hAnsi="Times New Roman" w:cs="Times New Roman"/>
          <w:sz w:val="24"/>
          <w:szCs w:val="24"/>
        </w:rPr>
      </w:pPr>
    </w:p>
    <w:sectPr w:rsidR="005F63FD" w:rsidRPr="005F63FD" w:rsidSect="005F3CF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16EA5" w14:textId="77777777" w:rsidR="00514CF3" w:rsidRDefault="00514CF3" w:rsidP="005545C4">
      <w:pPr>
        <w:spacing w:after="0" w:line="240" w:lineRule="auto"/>
      </w:pPr>
      <w:r>
        <w:separator/>
      </w:r>
    </w:p>
  </w:endnote>
  <w:endnote w:type="continuationSeparator" w:id="0">
    <w:p w14:paraId="4E8911DC" w14:textId="77777777" w:rsidR="00514CF3" w:rsidRDefault="00514CF3" w:rsidP="0055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2751" w14:textId="77777777" w:rsidR="00514CF3" w:rsidRDefault="00514CF3" w:rsidP="005545C4">
      <w:pPr>
        <w:spacing w:after="0" w:line="240" w:lineRule="auto"/>
      </w:pPr>
      <w:r>
        <w:separator/>
      </w:r>
    </w:p>
  </w:footnote>
  <w:footnote w:type="continuationSeparator" w:id="0">
    <w:p w14:paraId="445C6E62" w14:textId="77777777" w:rsidR="00514CF3" w:rsidRDefault="00514CF3" w:rsidP="00554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BF1"/>
    <w:multiLevelType w:val="multilevel"/>
    <w:tmpl w:val="D9D0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D52DD"/>
    <w:multiLevelType w:val="multilevel"/>
    <w:tmpl w:val="82A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F20AE"/>
    <w:multiLevelType w:val="multilevel"/>
    <w:tmpl w:val="CD84B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A3"/>
    <w:rsid w:val="00002829"/>
    <w:rsid w:val="0000560D"/>
    <w:rsid w:val="00007F79"/>
    <w:rsid w:val="00010B29"/>
    <w:rsid w:val="000146FF"/>
    <w:rsid w:val="00022180"/>
    <w:rsid w:val="00023CA6"/>
    <w:rsid w:val="000415C0"/>
    <w:rsid w:val="00044613"/>
    <w:rsid w:val="0005613F"/>
    <w:rsid w:val="000637BA"/>
    <w:rsid w:val="00064BDD"/>
    <w:rsid w:val="000709BD"/>
    <w:rsid w:val="00075A53"/>
    <w:rsid w:val="000A4A37"/>
    <w:rsid w:val="000A6095"/>
    <w:rsid w:val="000A75A3"/>
    <w:rsid w:val="000C6C45"/>
    <w:rsid w:val="000D2986"/>
    <w:rsid w:val="000F0915"/>
    <w:rsid w:val="00102791"/>
    <w:rsid w:val="00105B16"/>
    <w:rsid w:val="001073A7"/>
    <w:rsid w:val="00111DEA"/>
    <w:rsid w:val="001123CA"/>
    <w:rsid w:val="00117AC2"/>
    <w:rsid w:val="00125DD1"/>
    <w:rsid w:val="00130D48"/>
    <w:rsid w:val="00141104"/>
    <w:rsid w:val="00141C72"/>
    <w:rsid w:val="001577C0"/>
    <w:rsid w:val="00157E01"/>
    <w:rsid w:val="001624F5"/>
    <w:rsid w:val="001658B8"/>
    <w:rsid w:val="001679E3"/>
    <w:rsid w:val="001769F8"/>
    <w:rsid w:val="00181572"/>
    <w:rsid w:val="00187052"/>
    <w:rsid w:val="00193394"/>
    <w:rsid w:val="00193451"/>
    <w:rsid w:val="001935BD"/>
    <w:rsid w:val="00194FD0"/>
    <w:rsid w:val="00195628"/>
    <w:rsid w:val="001B505C"/>
    <w:rsid w:val="001B5480"/>
    <w:rsid w:val="001C7944"/>
    <w:rsid w:val="001D5FA2"/>
    <w:rsid w:val="001F2DE7"/>
    <w:rsid w:val="00203AB4"/>
    <w:rsid w:val="00206CAC"/>
    <w:rsid w:val="00220064"/>
    <w:rsid w:val="00227F1E"/>
    <w:rsid w:val="00230006"/>
    <w:rsid w:val="00231230"/>
    <w:rsid w:val="00231ECC"/>
    <w:rsid w:val="00232094"/>
    <w:rsid w:val="00233A88"/>
    <w:rsid w:val="002361C8"/>
    <w:rsid w:val="00242B64"/>
    <w:rsid w:val="00244973"/>
    <w:rsid w:val="002467FF"/>
    <w:rsid w:val="0025230A"/>
    <w:rsid w:val="00257103"/>
    <w:rsid w:val="00274BE8"/>
    <w:rsid w:val="00282BC8"/>
    <w:rsid w:val="002905C9"/>
    <w:rsid w:val="00291D95"/>
    <w:rsid w:val="0029688C"/>
    <w:rsid w:val="002A34F5"/>
    <w:rsid w:val="002B2496"/>
    <w:rsid w:val="002C60C9"/>
    <w:rsid w:val="002D22FE"/>
    <w:rsid w:val="002D3BB5"/>
    <w:rsid w:val="002D4018"/>
    <w:rsid w:val="002E0576"/>
    <w:rsid w:val="002F2E1F"/>
    <w:rsid w:val="003269BA"/>
    <w:rsid w:val="00327A57"/>
    <w:rsid w:val="003310CA"/>
    <w:rsid w:val="0033462C"/>
    <w:rsid w:val="00336840"/>
    <w:rsid w:val="00352AA2"/>
    <w:rsid w:val="00361888"/>
    <w:rsid w:val="00367E37"/>
    <w:rsid w:val="00372951"/>
    <w:rsid w:val="00372BFA"/>
    <w:rsid w:val="0038132F"/>
    <w:rsid w:val="00381E8D"/>
    <w:rsid w:val="0039182E"/>
    <w:rsid w:val="00391C0B"/>
    <w:rsid w:val="00392387"/>
    <w:rsid w:val="0039256E"/>
    <w:rsid w:val="0039634D"/>
    <w:rsid w:val="003A7BAF"/>
    <w:rsid w:val="003B5DF8"/>
    <w:rsid w:val="003C690C"/>
    <w:rsid w:val="003D40BF"/>
    <w:rsid w:val="003D421A"/>
    <w:rsid w:val="003D6211"/>
    <w:rsid w:val="003D63EE"/>
    <w:rsid w:val="003E1B22"/>
    <w:rsid w:val="003F2B03"/>
    <w:rsid w:val="003F2E53"/>
    <w:rsid w:val="004103EB"/>
    <w:rsid w:val="00420AA4"/>
    <w:rsid w:val="00423223"/>
    <w:rsid w:val="00434225"/>
    <w:rsid w:val="00436251"/>
    <w:rsid w:val="00441E55"/>
    <w:rsid w:val="00442B84"/>
    <w:rsid w:val="00452BFD"/>
    <w:rsid w:val="00460350"/>
    <w:rsid w:val="004611B4"/>
    <w:rsid w:val="00463C28"/>
    <w:rsid w:val="00464705"/>
    <w:rsid w:val="004712D3"/>
    <w:rsid w:val="004830C8"/>
    <w:rsid w:val="004832F0"/>
    <w:rsid w:val="004A5860"/>
    <w:rsid w:val="004B1117"/>
    <w:rsid w:val="004C0AA3"/>
    <w:rsid w:val="004C1F14"/>
    <w:rsid w:val="004D5DFD"/>
    <w:rsid w:val="004D633C"/>
    <w:rsid w:val="004E3153"/>
    <w:rsid w:val="004F1213"/>
    <w:rsid w:val="00507949"/>
    <w:rsid w:val="0050797F"/>
    <w:rsid w:val="00514CF3"/>
    <w:rsid w:val="00515565"/>
    <w:rsid w:val="00523A74"/>
    <w:rsid w:val="00524BEF"/>
    <w:rsid w:val="005256F7"/>
    <w:rsid w:val="005439D1"/>
    <w:rsid w:val="00551E63"/>
    <w:rsid w:val="005545C4"/>
    <w:rsid w:val="00567D32"/>
    <w:rsid w:val="00573FE5"/>
    <w:rsid w:val="00575A72"/>
    <w:rsid w:val="0057715F"/>
    <w:rsid w:val="005965D0"/>
    <w:rsid w:val="005A15C5"/>
    <w:rsid w:val="005D5436"/>
    <w:rsid w:val="005D637E"/>
    <w:rsid w:val="005E3208"/>
    <w:rsid w:val="005F0895"/>
    <w:rsid w:val="005F3CFB"/>
    <w:rsid w:val="005F63FD"/>
    <w:rsid w:val="00600D24"/>
    <w:rsid w:val="006055A7"/>
    <w:rsid w:val="00605822"/>
    <w:rsid w:val="0061345F"/>
    <w:rsid w:val="0061460D"/>
    <w:rsid w:val="00620B55"/>
    <w:rsid w:val="00624044"/>
    <w:rsid w:val="00635E05"/>
    <w:rsid w:val="0065286A"/>
    <w:rsid w:val="00652CF9"/>
    <w:rsid w:val="0065313D"/>
    <w:rsid w:val="006556C6"/>
    <w:rsid w:val="00657496"/>
    <w:rsid w:val="0065781F"/>
    <w:rsid w:val="006604AE"/>
    <w:rsid w:val="00665947"/>
    <w:rsid w:val="00674043"/>
    <w:rsid w:val="006834E6"/>
    <w:rsid w:val="006A71C6"/>
    <w:rsid w:val="006A77F1"/>
    <w:rsid w:val="006B05F8"/>
    <w:rsid w:val="006D25B0"/>
    <w:rsid w:val="006D5F68"/>
    <w:rsid w:val="006E09EE"/>
    <w:rsid w:val="006E4115"/>
    <w:rsid w:val="006E4D85"/>
    <w:rsid w:val="006E739F"/>
    <w:rsid w:val="006E78AF"/>
    <w:rsid w:val="006F053F"/>
    <w:rsid w:val="006F13E6"/>
    <w:rsid w:val="006F353E"/>
    <w:rsid w:val="006F4686"/>
    <w:rsid w:val="006F62F0"/>
    <w:rsid w:val="00701246"/>
    <w:rsid w:val="00702705"/>
    <w:rsid w:val="00702E03"/>
    <w:rsid w:val="00704B8C"/>
    <w:rsid w:val="00720CB8"/>
    <w:rsid w:val="00723E3E"/>
    <w:rsid w:val="00724F22"/>
    <w:rsid w:val="00726DA4"/>
    <w:rsid w:val="007364CE"/>
    <w:rsid w:val="00742F79"/>
    <w:rsid w:val="00750884"/>
    <w:rsid w:val="0075642B"/>
    <w:rsid w:val="00756B8C"/>
    <w:rsid w:val="00761049"/>
    <w:rsid w:val="0076137B"/>
    <w:rsid w:val="00783761"/>
    <w:rsid w:val="00790964"/>
    <w:rsid w:val="007959AE"/>
    <w:rsid w:val="007A0BED"/>
    <w:rsid w:val="007A0DC4"/>
    <w:rsid w:val="007A1DC9"/>
    <w:rsid w:val="007A3461"/>
    <w:rsid w:val="007C5C42"/>
    <w:rsid w:val="007D46D6"/>
    <w:rsid w:val="007D5F31"/>
    <w:rsid w:val="007E06B8"/>
    <w:rsid w:val="007E243F"/>
    <w:rsid w:val="007E46F0"/>
    <w:rsid w:val="007F300C"/>
    <w:rsid w:val="008051DF"/>
    <w:rsid w:val="0081393F"/>
    <w:rsid w:val="00840D71"/>
    <w:rsid w:val="00851B97"/>
    <w:rsid w:val="00856750"/>
    <w:rsid w:val="008629A6"/>
    <w:rsid w:val="00863E1B"/>
    <w:rsid w:val="008654F2"/>
    <w:rsid w:val="0087799B"/>
    <w:rsid w:val="00882726"/>
    <w:rsid w:val="00886FE2"/>
    <w:rsid w:val="00887416"/>
    <w:rsid w:val="008A18C4"/>
    <w:rsid w:val="008A77D2"/>
    <w:rsid w:val="008D1604"/>
    <w:rsid w:val="008D4C77"/>
    <w:rsid w:val="008D6157"/>
    <w:rsid w:val="008E16CA"/>
    <w:rsid w:val="008F0C93"/>
    <w:rsid w:val="009052EC"/>
    <w:rsid w:val="009127EC"/>
    <w:rsid w:val="009133C9"/>
    <w:rsid w:val="00934B57"/>
    <w:rsid w:val="00942055"/>
    <w:rsid w:val="00961F21"/>
    <w:rsid w:val="00970F85"/>
    <w:rsid w:val="009732C2"/>
    <w:rsid w:val="0098452A"/>
    <w:rsid w:val="00986E62"/>
    <w:rsid w:val="009A2788"/>
    <w:rsid w:val="009A4DA5"/>
    <w:rsid w:val="009B04EE"/>
    <w:rsid w:val="009B5AF7"/>
    <w:rsid w:val="009C4482"/>
    <w:rsid w:val="009C6992"/>
    <w:rsid w:val="009C7F4B"/>
    <w:rsid w:val="009E3D30"/>
    <w:rsid w:val="009F64B1"/>
    <w:rsid w:val="009F6CD8"/>
    <w:rsid w:val="00A004CD"/>
    <w:rsid w:val="00A015E4"/>
    <w:rsid w:val="00A05D6B"/>
    <w:rsid w:val="00A166CF"/>
    <w:rsid w:val="00A24B57"/>
    <w:rsid w:val="00A2583F"/>
    <w:rsid w:val="00A337DA"/>
    <w:rsid w:val="00A44DDA"/>
    <w:rsid w:val="00A51F87"/>
    <w:rsid w:val="00A7365A"/>
    <w:rsid w:val="00A749F0"/>
    <w:rsid w:val="00A82B19"/>
    <w:rsid w:val="00A83E4F"/>
    <w:rsid w:val="00A86CF8"/>
    <w:rsid w:val="00A924BF"/>
    <w:rsid w:val="00AA3FFA"/>
    <w:rsid w:val="00AB1BDD"/>
    <w:rsid w:val="00AB7633"/>
    <w:rsid w:val="00AC5385"/>
    <w:rsid w:val="00AC5787"/>
    <w:rsid w:val="00AE764F"/>
    <w:rsid w:val="00AF1E8F"/>
    <w:rsid w:val="00AF7CC9"/>
    <w:rsid w:val="00B04E79"/>
    <w:rsid w:val="00B069C5"/>
    <w:rsid w:val="00B17A0E"/>
    <w:rsid w:val="00B22D67"/>
    <w:rsid w:val="00B2342C"/>
    <w:rsid w:val="00B237D5"/>
    <w:rsid w:val="00B3477B"/>
    <w:rsid w:val="00B622DF"/>
    <w:rsid w:val="00B63CF8"/>
    <w:rsid w:val="00B6479C"/>
    <w:rsid w:val="00B71511"/>
    <w:rsid w:val="00B7304D"/>
    <w:rsid w:val="00B81895"/>
    <w:rsid w:val="00B84C9B"/>
    <w:rsid w:val="00B84EA0"/>
    <w:rsid w:val="00B94AAF"/>
    <w:rsid w:val="00B9692F"/>
    <w:rsid w:val="00BA7DA4"/>
    <w:rsid w:val="00BB24A7"/>
    <w:rsid w:val="00BC0502"/>
    <w:rsid w:val="00BC1D67"/>
    <w:rsid w:val="00BC3E50"/>
    <w:rsid w:val="00BD1F52"/>
    <w:rsid w:val="00BE4353"/>
    <w:rsid w:val="00BF036E"/>
    <w:rsid w:val="00BF1F93"/>
    <w:rsid w:val="00BF22AE"/>
    <w:rsid w:val="00BF59B4"/>
    <w:rsid w:val="00C00DAF"/>
    <w:rsid w:val="00C21751"/>
    <w:rsid w:val="00C26B2B"/>
    <w:rsid w:val="00C307B0"/>
    <w:rsid w:val="00C34157"/>
    <w:rsid w:val="00C35111"/>
    <w:rsid w:val="00C465B4"/>
    <w:rsid w:val="00C5228C"/>
    <w:rsid w:val="00C52C6F"/>
    <w:rsid w:val="00C620E2"/>
    <w:rsid w:val="00C67469"/>
    <w:rsid w:val="00C67CD5"/>
    <w:rsid w:val="00C7101B"/>
    <w:rsid w:val="00C71826"/>
    <w:rsid w:val="00C76754"/>
    <w:rsid w:val="00C80C01"/>
    <w:rsid w:val="00C8773F"/>
    <w:rsid w:val="00CA7FAF"/>
    <w:rsid w:val="00CB08D1"/>
    <w:rsid w:val="00CC1FBF"/>
    <w:rsid w:val="00CD21CE"/>
    <w:rsid w:val="00CD2CCA"/>
    <w:rsid w:val="00CD32FA"/>
    <w:rsid w:val="00CE328F"/>
    <w:rsid w:val="00CE3E08"/>
    <w:rsid w:val="00CF3F05"/>
    <w:rsid w:val="00D11BCD"/>
    <w:rsid w:val="00D14486"/>
    <w:rsid w:val="00D16722"/>
    <w:rsid w:val="00D1705F"/>
    <w:rsid w:val="00D244D5"/>
    <w:rsid w:val="00D25B0A"/>
    <w:rsid w:val="00D5590C"/>
    <w:rsid w:val="00D63F1D"/>
    <w:rsid w:val="00D73797"/>
    <w:rsid w:val="00D949AA"/>
    <w:rsid w:val="00D94CA3"/>
    <w:rsid w:val="00DA3F2A"/>
    <w:rsid w:val="00DB7587"/>
    <w:rsid w:val="00DD08E8"/>
    <w:rsid w:val="00DD67FE"/>
    <w:rsid w:val="00DE484F"/>
    <w:rsid w:val="00DF1B5D"/>
    <w:rsid w:val="00E220DC"/>
    <w:rsid w:val="00E228B7"/>
    <w:rsid w:val="00E24847"/>
    <w:rsid w:val="00E26E07"/>
    <w:rsid w:val="00E270F4"/>
    <w:rsid w:val="00E4132C"/>
    <w:rsid w:val="00E6035F"/>
    <w:rsid w:val="00E6160C"/>
    <w:rsid w:val="00E61D26"/>
    <w:rsid w:val="00E663E2"/>
    <w:rsid w:val="00E71D91"/>
    <w:rsid w:val="00E7572E"/>
    <w:rsid w:val="00E871F1"/>
    <w:rsid w:val="00E90ED4"/>
    <w:rsid w:val="00E93E36"/>
    <w:rsid w:val="00EA2837"/>
    <w:rsid w:val="00EA4E34"/>
    <w:rsid w:val="00EA59C6"/>
    <w:rsid w:val="00EB3F5B"/>
    <w:rsid w:val="00EB5E0E"/>
    <w:rsid w:val="00EC6448"/>
    <w:rsid w:val="00EE1977"/>
    <w:rsid w:val="00EE281E"/>
    <w:rsid w:val="00EE3D3C"/>
    <w:rsid w:val="00EE3FD1"/>
    <w:rsid w:val="00EF4A0D"/>
    <w:rsid w:val="00EF54DE"/>
    <w:rsid w:val="00F10A15"/>
    <w:rsid w:val="00F11366"/>
    <w:rsid w:val="00F12CCF"/>
    <w:rsid w:val="00F318CE"/>
    <w:rsid w:val="00F4279B"/>
    <w:rsid w:val="00F437E0"/>
    <w:rsid w:val="00F44FF2"/>
    <w:rsid w:val="00F45C86"/>
    <w:rsid w:val="00F4602F"/>
    <w:rsid w:val="00F64E45"/>
    <w:rsid w:val="00F669F6"/>
    <w:rsid w:val="00F8429D"/>
    <w:rsid w:val="00F847FE"/>
    <w:rsid w:val="00F9206B"/>
    <w:rsid w:val="00FA67B8"/>
    <w:rsid w:val="00FB6481"/>
    <w:rsid w:val="00FC2093"/>
    <w:rsid w:val="00FC4F1E"/>
    <w:rsid w:val="00FC6417"/>
    <w:rsid w:val="00FC6EF3"/>
    <w:rsid w:val="00FD0DE5"/>
    <w:rsid w:val="00FE2AE0"/>
    <w:rsid w:val="00FF4CCF"/>
    <w:rsid w:val="00FF7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0B32"/>
  <w15:chartTrackingRefBased/>
  <w15:docId w15:val="{0F73771C-459E-4989-823B-0E80B7EA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709B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300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F300C"/>
  </w:style>
  <w:style w:type="paragraph" w:customStyle="1" w:styleId="paragraph">
    <w:name w:val="paragraph"/>
    <w:basedOn w:val="Normal"/>
    <w:rsid w:val="00EB3F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EB3F5B"/>
  </w:style>
  <w:style w:type="character" w:customStyle="1" w:styleId="eop">
    <w:name w:val="eop"/>
    <w:basedOn w:val="Fuentedeprrafopredeter"/>
    <w:rsid w:val="00EB3F5B"/>
  </w:style>
  <w:style w:type="character" w:customStyle="1" w:styleId="scxw19704197">
    <w:name w:val="scxw19704197"/>
    <w:basedOn w:val="Fuentedeprrafopredeter"/>
    <w:rsid w:val="00EB3F5B"/>
  </w:style>
  <w:style w:type="character" w:styleId="Textoennegrita">
    <w:name w:val="Strong"/>
    <w:basedOn w:val="Fuentedeprrafopredeter"/>
    <w:uiPriority w:val="22"/>
    <w:qFormat/>
    <w:rsid w:val="00B04E79"/>
    <w:rPr>
      <w:b/>
      <w:bCs/>
    </w:rPr>
  </w:style>
  <w:style w:type="table" w:styleId="Tablaconcuadrcula">
    <w:name w:val="Table Grid"/>
    <w:basedOn w:val="Tablanormal"/>
    <w:uiPriority w:val="39"/>
    <w:rsid w:val="0042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07F79"/>
    <w:pPr>
      <w:spacing w:after="0" w:line="240" w:lineRule="auto"/>
    </w:pPr>
  </w:style>
  <w:style w:type="paragraph" w:styleId="Encabezado">
    <w:name w:val="header"/>
    <w:basedOn w:val="Normal"/>
    <w:link w:val="EncabezadoCar"/>
    <w:uiPriority w:val="99"/>
    <w:unhideWhenUsed/>
    <w:rsid w:val="005545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5C4"/>
  </w:style>
  <w:style w:type="paragraph" w:styleId="Piedepgina">
    <w:name w:val="footer"/>
    <w:basedOn w:val="Normal"/>
    <w:link w:val="PiedepginaCar"/>
    <w:uiPriority w:val="99"/>
    <w:unhideWhenUsed/>
    <w:rsid w:val="005545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5C4"/>
  </w:style>
  <w:style w:type="character" w:styleId="Hipervnculo">
    <w:name w:val="Hyperlink"/>
    <w:basedOn w:val="Fuentedeprrafopredeter"/>
    <w:uiPriority w:val="99"/>
    <w:semiHidden/>
    <w:unhideWhenUsed/>
    <w:rsid w:val="00F10A15"/>
    <w:rPr>
      <w:color w:val="0000FF"/>
      <w:u w:val="single"/>
    </w:rPr>
  </w:style>
  <w:style w:type="character" w:customStyle="1" w:styleId="eur">
    <w:name w:val="eur"/>
    <w:basedOn w:val="Fuentedeprrafopredeter"/>
    <w:rsid w:val="00F10A15"/>
  </w:style>
  <w:style w:type="character" w:customStyle="1" w:styleId="Ttulo2Car">
    <w:name w:val="Título 2 Car"/>
    <w:basedOn w:val="Fuentedeprrafopredeter"/>
    <w:link w:val="Ttulo2"/>
    <w:uiPriority w:val="9"/>
    <w:rsid w:val="000709BD"/>
    <w:rPr>
      <w:rFonts w:ascii="Times New Roman" w:eastAsia="Times New Roman" w:hAnsi="Times New Roman" w:cs="Times New Roman"/>
      <w:b/>
      <w:bCs/>
      <w:sz w:val="3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655">
      <w:bodyDiv w:val="1"/>
      <w:marLeft w:val="0"/>
      <w:marRight w:val="0"/>
      <w:marTop w:val="0"/>
      <w:marBottom w:val="0"/>
      <w:divBdr>
        <w:top w:val="none" w:sz="0" w:space="0" w:color="auto"/>
        <w:left w:val="none" w:sz="0" w:space="0" w:color="auto"/>
        <w:bottom w:val="none" w:sz="0" w:space="0" w:color="auto"/>
        <w:right w:val="none" w:sz="0" w:space="0" w:color="auto"/>
      </w:divBdr>
    </w:div>
    <w:div w:id="688219098">
      <w:bodyDiv w:val="1"/>
      <w:marLeft w:val="0"/>
      <w:marRight w:val="0"/>
      <w:marTop w:val="0"/>
      <w:marBottom w:val="0"/>
      <w:divBdr>
        <w:top w:val="none" w:sz="0" w:space="0" w:color="auto"/>
        <w:left w:val="none" w:sz="0" w:space="0" w:color="auto"/>
        <w:bottom w:val="none" w:sz="0" w:space="0" w:color="auto"/>
        <w:right w:val="none" w:sz="0" w:space="0" w:color="auto"/>
      </w:divBdr>
      <w:divsChild>
        <w:div w:id="1726026505">
          <w:marLeft w:val="0"/>
          <w:marRight w:val="0"/>
          <w:marTop w:val="0"/>
          <w:marBottom w:val="0"/>
          <w:divBdr>
            <w:top w:val="none" w:sz="0" w:space="0" w:color="auto"/>
            <w:left w:val="none" w:sz="0" w:space="0" w:color="auto"/>
            <w:bottom w:val="none" w:sz="0" w:space="0" w:color="auto"/>
            <w:right w:val="none" w:sz="0" w:space="0" w:color="auto"/>
          </w:divBdr>
        </w:div>
        <w:div w:id="1433429824">
          <w:marLeft w:val="0"/>
          <w:marRight w:val="0"/>
          <w:marTop w:val="0"/>
          <w:marBottom w:val="0"/>
          <w:divBdr>
            <w:top w:val="none" w:sz="0" w:space="0" w:color="auto"/>
            <w:left w:val="none" w:sz="0" w:space="0" w:color="auto"/>
            <w:bottom w:val="none" w:sz="0" w:space="0" w:color="auto"/>
            <w:right w:val="none" w:sz="0" w:space="0" w:color="auto"/>
          </w:divBdr>
        </w:div>
        <w:div w:id="835265717">
          <w:marLeft w:val="0"/>
          <w:marRight w:val="0"/>
          <w:marTop w:val="0"/>
          <w:marBottom w:val="0"/>
          <w:divBdr>
            <w:top w:val="none" w:sz="0" w:space="0" w:color="auto"/>
            <w:left w:val="none" w:sz="0" w:space="0" w:color="auto"/>
            <w:bottom w:val="none" w:sz="0" w:space="0" w:color="auto"/>
            <w:right w:val="none" w:sz="0" w:space="0" w:color="auto"/>
          </w:divBdr>
        </w:div>
        <w:div w:id="1344630065">
          <w:marLeft w:val="0"/>
          <w:marRight w:val="0"/>
          <w:marTop w:val="0"/>
          <w:marBottom w:val="0"/>
          <w:divBdr>
            <w:top w:val="none" w:sz="0" w:space="0" w:color="auto"/>
            <w:left w:val="none" w:sz="0" w:space="0" w:color="auto"/>
            <w:bottom w:val="none" w:sz="0" w:space="0" w:color="auto"/>
            <w:right w:val="none" w:sz="0" w:space="0" w:color="auto"/>
          </w:divBdr>
        </w:div>
      </w:divsChild>
    </w:div>
    <w:div w:id="862206316">
      <w:bodyDiv w:val="1"/>
      <w:marLeft w:val="0"/>
      <w:marRight w:val="0"/>
      <w:marTop w:val="0"/>
      <w:marBottom w:val="0"/>
      <w:divBdr>
        <w:top w:val="none" w:sz="0" w:space="0" w:color="auto"/>
        <w:left w:val="none" w:sz="0" w:space="0" w:color="auto"/>
        <w:bottom w:val="none" w:sz="0" w:space="0" w:color="auto"/>
        <w:right w:val="none" w:sz="0" w:space="0" w:color="auto"/>
      </w:divBdr>
    </w:div>
    <w:div w:id="890504952">
      <w:bodyDiv w:val="1"/>
      <w:marLeft w:val="0"/>
      <w:marRight w:val="0"/>
      <w:marTop w:val="0"/>
      <w:marBottom w:val="0"/>
      <w:divBdr>
        <w:top w:val="none" w:sz="0" w:space="0" w:color="auto"/>
        <w:left w:val="none" w:sz="0" w:space="0" w:color="auto"/>
        <w:bottom w:val="none" w:sz="0" w:space="0" w:color="auto"/>
        <w:right w:val="none" w:sz="0" w:space="0" w:color="auto"/>
      </w:divBdr>
      <w:divsChild>
        <w:div w:id="1895315485">
          <w:marLeft w:val="0"/>
          <w:marRight w:val="0"/>
          <w:marTop w:val="0"/>
          <w:marBottom w:val="0"/>
          <w:divBdr>
            <w:top w:val="none" w:sz="0" w:space="0" w:color="auto"/>
            <w:left w:val="none" w:sz="0" w:space="0" w:color="auto"/>
            <w:bottom w:val="none" w:sz="0" w:space="0" w:color="auto"/>
            <w:right w:val="none" w:sz="0" w:space="0" w:color="auto"/>
          </w:divBdr>
        </w:div>
        <w:div w:id="1512834644">
          <w:marLeft w:val="0"/>
          <w:marRight w:val="0"/>
          <w:marTop w:val="0"/>
          <w:marBottom w:val="0"/>
          <w:divBdr>
            <w:top w:val="none" w:sz="0" w:space="0" w:color="auto"/>
            <w:left w:val="none" w:sz="0" w:space="0" w:color="auto"/>
            <w:bottom w:val="none" w:sz="0" w:space="0" w:color="auto"/>
            <w:right w:val="none" w:sz="0" w:space="0" w:color="auto"/>
          </w:divBdr>
        </w:div>
        <w:div w:id="1441416994">
          <w:marLeft w:val="0"/>
          <w:marRight w:val="0"/>
          <w:marTop w:val="0"/>
          <w:marBottom w:val="0"/>
          <w:divBdr>
            <w:top w:val="none" w:sz="0" w:space="0" w:color="auto"/>
            <w:left w:val="none" w:sz="0" w:space="0" w:color="auto"/>
            <w:bottom w:val="none" w:sz="0" w:space="0" w:color="auto"/>
            <w:right w:val="none" w:sz="0" w:space="0" w:color="auto"/>
          </w:divBdr>
        </w:div>
        <w:div w:id="91902707">
          <w:marLeft w:val="0"/>
          <w:marRight w:val="0"/>
          <w:marTop w:val="0"/>
          <w:marBottom w:val="0"/>
          <w:divBdr>
            <w:top w:val="none" w:sz="0" w:space="0" w:color="auto"/>
            <w:left w:val="none" w:sz="0" w:space="0" w:color="auto"/>
            <w:bottom w:val="none" w:sz="0" w:space="0" w:color="auto"/>
            <w:right w:val="none" w:sz="0" w:space="0" w:color="auto"/>
          </w:divBdr>
        </w:div>
        <w:div w:id="1626619804">
          <w:marLeft w:val="0"/>
          <w:marRight w:val="0"/>
          <w:marTop w:val="0"/>
          <w:marBottom w:val="0"/>
          <w:divBdr>
            <w:top w:val="none" w:sz="0" w:space="0" w:color="auto"/>
            <w:left w:val="none" w:sz="0" w:space="0" w:color="auto"/>
            <w:bottom w:val="none" w:sz="0" w:space="0" w:color="auto"/>
            <w:right w:val="none" w:sz="0" w:space="0" w:color="auto"/>
          </w:divBdr>
        </w:div>
        <w:div w:id="1805463366">
          <w:marLeft w:val="0"/>
          <w:marRight w:val="0"/>
          <w:marTop w:val="0"/>
          <w:marBottom w:val="0"/>
          <w:divBdr>
            <w:top w:val="none" w:sz="0" w:space="0" w:color="auto"/>
            <w:left w:val="none" w:sz="0" w:space="0" w:color="auto"/>
            <w:bottom w:val="none" w:sz="0" w:space="0" w:color="auto"/>
            <w:right w:val="none" w:sz="0" w:space="0" w:color="auto"/>
          </w:divBdr>
        </w:div>
      </w:divsChild>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503930596">
      <w:bodyDiv w:val="1"/>
      <w:marLeft w:val="0"/>
      <w:marRight w:val="0"/>
      <w:marTop w:val="0"/>
      <w:marBottom w:val="0"/>
      <w:divBdr>
        <w:top w:val="none" w:sz="0" w:space="0" w:color="auto"/>
        <w:left w:val="none" w:sz="0" w:space="0" w:color="auto"/>
        <w:bottom w:val="none" w:sz="0" w:space="0" w:color="auto"/>
        <w:right w:val="none" w:sz="0" w:space="0" w:color="auto"/>
      </w:divBdr>
      <w:divsChild>
        <w:div w:id="609314864">
          <w:marLeft w:val="0"/>
          <w:marRight w:val="0"/>
          <w:marTop w:val="0"/>
          <w:marBottom w:val="0"/>
          <w:divBdr>
            <w:top w:val="none" w:sz="0" w:space="0" w:color="auto"/>
            <w:left w:val="none" w:sz="0" w:space="0" w:color="auto"/>
            <w:bottom w:val="none" w:sz="0" w:space="0" w:color="auto"/>
            <w:right w:val="none" w:sz="0" w:space="0" w:color="auto"/>
          </w:divBdr>
        </w:div>
        <w:div w:id="540939274">
          <w:marLeft w:val="0"/>
          <w:marRight w:val="0"/>
          <w:marTop w:val="0"/>
          <w:marBottom w:val="0"/>
          <w:divBdr>
            <w:top w:val="none" w:sz="0" w:space="0" w:color="auto"/>
            <w:left w:val="none" w:sz="0" w:space="0" w:color="auto"/>
            <w:bottom w:val="none" w:sz="0" w:space="0" w:color="auto"/>
            <w:right w:val="none" w:sz="0" w:space="0" w:color="auto"/>
          </w:divBdr>
        </w:div>
        <w:div w:id="1551265428">
          <w:marLeft w:val="0"/>
          <w:marRight w:val="0"/>
          <w:marTop w:val="0"/>
          <w:marBottom w:val="0"/>
          <w:divBdr>
            <w:top w:val="none" w:sz="0" w:space="0" w:color="auto"/>
            <w:left w:val="none" w:sz="0" w:space="0" w:color="auto"/>
            <w:bottom w:val="none" w:sz="0" w:space="0" w:color="auto"/>
            <w:right w:val="none" w:sz="0" w:space="0" w:color="auto"/>
          </w:divBdr>
        </w:div>
        <w:div w:id="1314485875">
          <w:marLeft w:val="0"/>
          <w:marRight w:val="0"/>
          <w:marTop w:val="0"/>
          <w:marBottom w:val="0"/>
          <w:divBdr>
            <w:top w:val="none" w:sz="0" w:space="0" w:color="auto"/>
            <w:left w:val="none" w:sz="0" w:space="0" w:color="auto"/>
            <w:bottom w:val="none" w:sz="0" w:space="0" w:color="auto"/>
            <w:right w:val="none" w:sz="0" w:space="0" w:color="auto"/>
          </w:divBdr>
        </w:div>
        <w:div w:id="846555259">
          <w:marLeft w:val="0"/>
          <w:marRight w:val="0"/>
          <w:marTop w:val="0"/>
          <w:marBottom w:val="0"/>
          <w:divBdr>
            <w:top w:val="none" w:sz="0" w:space="0" w:color="auto"/>
            <w:left w:val="none" w:sz="0" w:space="0" w:color="auto"/>
            <w:bottom w:val="none" w:sz="0" w:space="0" w:color="auto"/>
            <w:right w:val="none" w:sz="0" w:space="0" w:color="auto"/>
          </w:divBdr>
        </w:div>
      </w:divsChild>
    </w:div>
    <w:div w:id="1963539733">
      <w:bodyDiv w:val="1"/>
      <w:marLeft w:val="0"/>
      <w:marRight w:val="0"/>
      <w:marTop w:val="0"/>
      <w:marBottom w:val="0"/>
      <w:divBdr>
        <w:top w:val="none" w:sz="0" w:space="0" w:color="auto"/>
        <w:left w:val="none" w:sz="0" w:space="0" w:color="auto"/>
        <w:bottom w:val="none" w:sz="0" w:space="0" w:color="auto"/>
        <w:right w:val="none" w:sz="0" w:space="0" w:color="auto"/>
      </w:divBdr>
      <w:divsChild>
        <w:div w:id="790055219">
          <w:marLeft w:val="0"/>
          <w:marRight w:val="0"/>
          <w:marTop w:val="0"/>
          <w:marBottom w:val="0"/>
          <w:divBdr>
            <w:top w:val="none" w:sz="0" w:space="0" w:color="auto"/>
            <w:left w:val="none" w:sz="0" w:space="0" w:color="auto"/>
            <w:bottom w:val="none" w:sz="0" w:space="0" w:color="auto"/>
            <w:right w:val="none" w:sz="0" w:space="0" w:color="auto"/>
          </w:divBdr>
        </w:div>
        <w:div w:id="1497182353">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511534740">
          <w:marLeft w:val="0"/>
          <w:marRight w:val="0"/>
          <w:marTop w:val="0"/>
          <w:marBottom w:val="0"/>
          <w:divBdr>
            <w:top w:val="none" w:sz="0" w:space="0" w:color="auto"/>
            <w:left w:val="none" w:sz="0" w:space="0" w:color="auto"/>
            <w:bottom w:val="none" w:sz="0" w:space="0" w:color="auto"/>
            <w:right w:val="none" w:sz="0" w:space="0" w:color="auto"/>
          </w:divBdr>
        </w:div>
        <w:div w:id="1360738266">
          <w:marLeft w:val="0"/>
          <w:marRight w:val="0"/>
          <w:marTop w:val="0"/>
          <w:marBottom w:val="0"/>
          <w:divBdr>
            <w:top w:val="none" w:sz="0" w:space="0" w:color="auto"/>
            <w:left w:val="none" w:sz="0" w:space="0" w:color="auto"/>
            <w:bottom w:val="none" w:sz="0" w:space="0" w:color="auto"/>
            <w:right w:val="none" w:sz="0" w:space="0" w:color="auto"/>
          </w:divBdr>
        </w:div>
        <w:div w:id="948974779">
          <w:marLeft w:val="0"/>
          <w:marRight w:val="0"/>
          <w:marTop w:val="0"/>
          <w:marBottom w:val="0"/>
          <w:divBdr>
            <w:top w:val="none" w:sz="0" w:space="0" w:color="auto"/>
            <w:left w:val="none" w:sz="0" w:space="0" w:color="auto"/>
            <w:bottom w:val="none" w:sz="0" w:space="0" w:color="auto"/>
            <w:right w:val="none" w:sz="0" w:space="0" w:color="auto"/>
          </w:divBdr>
        </w:div>
      </w:divsChild>
    </w:div>
    <w:div w:id="203977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EMESTRE%202021-I\CRECIMIENTO\TRABAJO%20FINAL%20EEUU\grafic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SEMESTRE%202021-I\CRECIMIENTO\TRABAJO%20FINAL%20EEUU\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Hoja1!$C$2</c:f>
              <c:strCache>
                <c:ptCount val="1"/>
                <c:pt idx="0">
                  <c:v>PBI</c:v>
                </c:pt>
              </c:strCache>
            </c:strRef>
          </c:tx>
          <c:spPr>
            <a:solidFill>
              <a:srgbClr val="002060"/>
            </a:solidFill>
            <a:ln>
              <a:noFill/>
            </a:ln>
            <a:effectLst/>
          </c:spPr>
          <c:invertIfNegative val="0"/>
          <c:cat>
            <c:strRef>
              <c:f>Hoja1!$B$4:$B$15</c:f>
              <c:strCache>
                <c:ptCount val="5"/>
                <c:pt idx="0">
                  <c:v>2015</c:v>
                </c:pt>
                <c:pt idx="1">
                  <c:v>2016</c:v>
                </c:pt>
                <c:pt idx="2">
                  <c:v>2017</c:v>
                </c:pt>
                <c:pt idx="3">
                  <c:v>2018</c:v>
                </c:pt>
                <c:pt idx="4">
                  <c:v>2019</c:v>
                </c:pt>
              </c:strCache>
              <c:extLst/>
            </c:strRef>
          </c:cat>
          <c:val>
            <c:numRef>
              <c:f>Hoja1!$C$4:$C$15</c:f>
              <c:numCache>
                <c:formatCode>General</c:formatCode>
                <c:ptCount val="5"/>
                <c:pt idx="0">
                  <c:v>18238.3</c:v>
                </c:pt>
                <c:pt idx="1">
                  <c:v>18695.099999999999</c:v>
                </c:pt>
                <c:pt idx="2">
                  <c:v>19479.63</c:v>
                </c:pt>
                <c:pt idx="3">
                  <c:v>20527.150000000001</c:v>
                </c:pt>
                <c:pt idx="4">
                  <c:v>21372.6</c:v>
                </c:pt>
              </c:numCache>
              <c:extLst/>
            </c:numRef>
          </c:val>
          <c:extLst>
            <c:ext xmlns:c16="http://schemas.microsoft.com/office/drawing/2014/chart" uri="{C3380CC4-5D6E-409C-BE32-E72D297353CC}">
              <c16:uniqueId val="{00000000-95AA-4689-B958-DC0E2B374F72}"/>
            </c:ext>
          </c:extLst>
        </c:ser>
        <c:dLbls>
          <c:showLegendKey val="0"/>
          <c:showVal val="0"/>
          <c:showCatName val="0"/>
          <c:showSerName val="0"/>
          <c:showPercent val="0"/>
          <c:showBubbleSize val="0"/>
        </c:dLbls>
        <c:gapWidth val="180"/>
        <c:overlap val="-27"/>
        <c:axId val="536943295"/>
        <c:axId val="536944543"/>
      </c:barChart>
      <c:catAx>
        <c:axId val="536943295"/>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536944543"/>
        <c:crosses val="autoZero"/>
        <c:auto val="1"/>
        <c:lblAlgn val="ctr"/>
        <c:lblOffset val="100"/>
        <c:noMultiLvlLbl val="0"/>
      </c:catAx>
      <c:valAx>
        <c:axId val="5369445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536943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Hoja3!$B$3:$B$7</c:f>
              <c:numCache>
                <c:formatCode>General</c:formatCode>
                <c:ptCount val="5"/>
                <c:pt idx="0">
                  <c:v>2015</c:v>
                </c:pt>
                <c:pt idx="1">
                  <c:v>2016</c:v>
                </c:pt>
                <c:pt idx="2">
                  <c:v>2017</c:v>
                </c:pt>
                <c:pt idx="3">
                  <c:v>2018</c:v>
                </c:pt>
                <c:pt idx="4">
                  <c:v>2019</c:v>
                </c:pt>
              </c:numCache>
            </c:numRef>
          </c:cat>
          <c:val>
            <c:numRef>
              <c:f>Hoja3!$C$3:$C$7</c:f>
              <c:numCache>
                <c:formatCode>0.00%</c:formatCode>
                <c:ptCount val="5"/>
                <c:pt idx="0">
                  <c:v>2.7E-2</c:v>
                </c:pt>
                <c:pt idx="1">
                  <c:v>1.67E-2</c:v>
                </c:pt>
                <c:pt idx="2">
                  <c:v>2.2599999999999999E-2</c:v>
                </c:pt>
                <c:pt idx="3">
                  <c:v>2.92E-2</c:v>
                </c:pt>
                <c:pt idx="4">
                  <c:v>2.29E-2</c:v>
                </c:pt>
              </c:numCache>
            </c:numRef>
          </c:val>
          <c:extLst>
            <c:ext xmlns:c16="http://schemas.microsoft.com/office/drawing/2014/chart" uri="{C3380CC4-5D6E-409C-BE32-E72D297353CC}">
              <c16:uniqueId val="{00000000-C9E3-4CF8-ADAD-94947D472981}"/>
            </c:ext>
          </c:extLst>
        </c:ser>
        <c:dLbls>
          <c:showLegendKey val="0"/>
          <c:showVal val="0"/>
          <c:showCatName val="0"/>
          <c:showSerName val="0"/>
          <c:showPercent val="0"/>
          <c:showBubbleSize val="0"/>
        </c:dLbls>
        <c:gapWidth val="219"/>
        <c:overlap val="-27"/>
        <c:axId val="763074176"/>
        <c:axId val="763056288"/>
      </c:barChart>
      <c:catAx>
        <c:axId val="76307417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763056288"/>
        <c:crosses val="autoZero"/>
        <c:auto val="1"/>
        <c:lblAlgn val="ctr"/>
        <c:lblOffset val="100"/>
        <c:noMultiLvlLbl val="0"/>
      </c:catAx>
      <c:valAx>
        <c:axId val="7630562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76307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Hoja4!$C$3</c:f>
              <c:strCache>
                <c:ptCount val="1"/>
                <c:pt idx="0">
                  <c:v>Agricultura</c:v>
                </c:pt>
              </c:strCache>
            </c:strRef>
          </c:tx>
          <c:spPr>
            <a:solidFill>
              <a:schemeClr val="accent1"/>
            </a:solidFill>
            <a:ln>
              <a:noFill/>
            </a:ln>
            <a:effectLst/>
          </c:spPr>
          <c:invertIfNegative val="0"/>
          <c:cat>
            <c:numRef>
              <c:f>Hoja4!$B$4:$B$8</c:f>
              <c:numCache>
                <c:formatCode>General</c:formatCode>
                <c:ptCount val="5"/>
                <c:pt idx="0">
                  <c:v>2015</c:v>
                </c:pt>
                <c:pt idx="1">
                  <c:v>2016</c:v>
                </c:pt>
                <c:pt idx="2">
                  <c:v>2017</c:v>
                </c:pt>
                <c:pt idx="3">
                  <c:v>2018</c:v>
                </c:pt>
                <c:pt idx="4">
                  <c:v>2019</c:v>
                </c:pt>
              </c:numCache>
            </c:numRef>
          </c:cat>
          <c:val>
            <c:numRef>
              <c:f>Hoja4!$C$4:$C$8</c:f>
              <c:numCache>
                <c:formatCode>0.00%</c:formatCode>
                <c:ptCount val="5"/>
                <c:pt idx="0">
                  <c:v>1.1900000000000001E-2</c:v>
                </c:pt>
                <c:pt idx="1">
                  <c:v>1.04E-2</c:v>
                </c:pt>
                <c:pt idx="2">
                  <c:v>9.4000000000000004E-3</c:v>
                </c:pt>
                <c:pt idx="3">
                  <c:v>9.4000000000000004E-3</c:v>
                </c:pt>
                <c:pt idx="4">
                  <c:v>8.6E-3</c:v>
                </c:pt>
              </c:numCache>
            </c:numRef>
          </c:val>
          <c:extLst>
            <c:ext xmlns:c16="http://schemas.microsoft.com/office/drawing/2014/chart" uri="{C3380CC4-5D6E-409C-BE32-E72D297353CC}">
              <c16:uniqueId val="{00000000-0C94-44E6-A86F-6186B4C855B3}"/>
            </c:ext>
          </c:extLst>
        </c:ser>
        <c:ser>
          <c:idx val="1"/>
          <c:order val="1"/>
          <c:tx>
            <c:strRef>
              <c:f>Hoja4!$D$3</c:f>
              <c:strCache>
                <c:ptCount val="1"/>
                <c:pt idx="0">
                  <c:v>Industria</c:v>
                </c:pt>
              </c:strCache>
            </c:strRef>
          </c:tx>
          <c:spPr>
            <a:solidFill>
              <a:srgbClr val="FF0000"/>
            </a:solidFill>
            <a:ln>
              <a:noFill/>
            </a:ln>
            <a:effectLst/>
          </c:spPr>
          <c:invertIfNegative val="0"/>
          <c:cat>
            <c:numRef>
              <c:f>Hoja4!$B$4:$B$8</c:f>
              <c:numCache>
                <c:formatCode>General</c:formatCode>
                <c:ptCount val="5"/>
                <c:pt idx="0">
                  <c:v>2015</c:v>
                </c:pt>
                <c:pt idx="1">
                  <c:v>2016</c:v>
                </c:pt>
                <c:pt idx="2">
                  <c:v>2017</c:v>
                </c:pt>
                <c:pt idx="3">
                  <c:v>2018</c:v>
                </c:pt>
                <c:pt idx="4">
                  <c:v>2019</c:v>
                </c:pt>
              </c:numCache>
            </c:numRef>
          </c:cat>
          <c:val>
            <c:numRef>
              <c:f>Hoja4!$D$4:$D$8</c:f>
              <c:numCache>
                <c:formatCode>0.00%</c:formatCode>
                <c:ptCount val="5"/>
                <c:pt idx="0">
                  <c:v>0.1933</c:v>
                </c:pt>
                <c:pt idx="1">
                  <c:v>0.18529999999999999</c:v>
                </c:pt>
                <c:pt idx="2">
                  <c:v>0.17979999999999999</c:v>
                </c:pt>
                <c:pt idx="3">
                  <c:v>0.18340000000000001</c:v>
                </c:pt>
                <c:pt idx="4">
                  <c:v>0.18640000000000001</c:v>
                </c:pt>
              </c:numCache>
            </c:numRef>
          </c:val>
          <c:extLst>
            <c:ext xmlns:c16="http://schemas.microsoft.com/office/drawing/2014/chart" uri="{C3380CC4-5D6E-409C-BE32-E72D297353CC}">
              <c16:uniqueId val="{00000001-0C94-44E6-A86F-6186B4C855B3}"/>
            </c:ext>
          </c:extLst>
        </c:ser>
        <c:ser>
          <c:idx val="2"/>
          <c:order val="2"/>
          <c:tx>
            <c:strRef>
              <c:f>Hoja4!$E$3</c:f>
              <c:strCache>
                <c:ptCount val="1"/>
                <c:pt idx="0">
                  <c:v>Servicios</c:v>
                </c:pt>
              </c:strCache>
            </c:strRef>
          </c:tx>
          <c:spPr>
            <a:solidFill>
              <a:srgbClr val="002060"/>
            </a:solidFill>
            <a:ln>
              <a:noFill/>
            </a:ln>
            <a:effectLst/>
          </c:spPr>
          <c:invertIfNegative val="0"/>
          <c:cat>
            <c:numRef>
              <c:f>Hoja4!$B$4:$B$8</c:f>
              <c:numCache>
                <c:formatCode>General</c:formatCode>
                <c:ptCount val="5"/>
                <c:pt idx="0">
                  <c:v>2015</c:v>
                </c:pt>
                <c:pt idx="1">
                  <c:v>2016</c:v>
                </c:pt>
                <c:pt idx="2">
                  <c:v>2017</c:v>
                </c:pt>
                <c:pt idx="3">
                  <c:v>2018</c:v>
                </c:pt>
                <c:pt idx="4">
                  <c:v>2019</c:v>
                </c:pt>
              </c:numCache>
            </c:numRef>
          </c:cat>
          <c:val>
            <c:numRef>
              <c:f>Hoja4!$E$4:$E$8</c:f>
              <c:numCache>
                <c:formatCode>0.00%</c:formatCode>
                <c:ptCount val="5"/>
                <c:pt idx="0">
                  <c:v>0.7581</c:v>
                </c:pt>
                <c:pt idx="1">
                  <c:v>0.76800000000000002</c:v>
                </c:pt>
                <c:pt idx="2">
                  <c:v>0.77510000000000001</c:v>
                </c:pt>
                <c:pt idx="3">
                  <c:v>0.77200000000000002</c:v>
                </c:pt>
                <c:pt idx="4">
                  <c:v>0.76890000000000003</c:v>
                </c:pt>
              </c:numCache>
            </c:numRef>
          </c:val>
          <c:extLst>
            <c:ext xmlns:c16="http://schemas.microsoft.com/office/drawing/2014/chart" uri="{C3380CC4-5D6E-409C-BE32-E72D297353CC}">
              <c16:uniqueId val="{00000002-0C94-44E6-A86F-6186B4C855B3}"/>
            </c:ext>
          </c:extLst>
        </c:ser>
        <c:dLbls>
          <c:showLegendKey val="0"/>
          <c:showVal val="0"/>
          <c:showCatName val="0"/>
          <c:showSerName val="0"/>
          <c:showPercent val="0"/>
          <c:showBubbleSize val="0"/>
        </c:dLbls>
        <c:gapWidth val="150"/>
        <c:overlap val="100"/>
        <c:axId val="1138731248"/>
        <c:axId val="1138747888"/>
      </c:barChart>
      <c:catAx>
        <c:axId val="11387312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E"/>
          </a:p>
        </c:txPr>
        <c:crossAx val="1138747888"/>
        <c:crosses val="autoZero"/>
        <c:auto val="1"/>
        <c:lblAlgn val="ctr"/>
        <c:lblOffset val="100"/>
        <c:noMultiLvlLbl val="0"/>
      </c:catAx>
      <c:valAx>
        <c:axId val="11387478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E"/>
          </a:p>
        </c:txPr>
        <c:crossAx val="113873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'GDP 1960 - 2020'!$E$105:$E$109</c:f>
              <c:numCache>
                <c:formatCode>General</c:formatCode>
                <c:ptCount val="5"/>
                <c:pt idx="0">
                  <c:v>2015</c:v>
                </c:pt>
                <c:pt idx="1">
                  <c:v>2016</c:v>
                </c:pt>
                <c:pt idx="2">
                  <c:v>2017</c:v>
                </c:pt>
                <c:pt idx="3">
                  <c:v>2018</c:v>
                </c:pt>
                <c:pt idx="4">
                  <c:v>2019</c:v>
                </c:pt>
              </c:numCache>
            </c:numRef>
          </c:cat>
          <c:val>
            <c:numRef>
              <c:f>'GDP 1960 - 2020'!$F$105:$F$109</c:f>
              <c:numCache>
                <c:formatCode>#,##0</c:formatCode>
                <c:ptCount val="5"/>
                <c:pt idx="0">
                  <c:v>56848.51</c:v>
                </c:pt>
                <c:pt idx="1">
                  <c:v>57839.99</c:v>
                </c:pt>
                <c:pt idx="2">
                  <c:v>59885.71</c:v>
                </c:pt>
                <c:pt idx="3">
                  <c:v>62769.66</c:v>
                </c:pt>
                <c:pt idx="4">
                  <c:v>65051.88</c:v>
                </c:pt>
              </c:numCache>
            </c:numRef>
          </c:val>
          <c:extLst>
            <c:ext xmlns:c16="http://schemas.microsoft.com/office/drawing/2014/chart" uri="{C3380CC4-5D6E-409C-BE32-E72D297353CC}">
              <c16:uniqueId val="{00000000-3D6A-495B-86C3-5819309AEEFF}"/>
            </c:ext>
          </c:extLst>
        </c:ser>
        <c:dLbls>
          <c:dLblPos val="outEnd"/>
          <c:showLegendKey val="0"/>
          <c:showVal val="1"/>
          <c:showCatName val="0"/>
          <c:showSerName val="0"/>
          <c:showPercent val="0"/>
          <c:showBubbleSize val="0"/>
        </c:dLbls>
        <c:gapWidth val="219"/>
        <c:overlap val="-27"/>
        <c:axId val="453299839"/>
        <c:axId val="453283199"/>
      </c:barChart>
      <c:catAx>
        <c:axId val="453299839"/>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PE"/>
          </a:p>
        </c:txPr>
        <c:crossAx val="453283199"/>
        <c:crosses val="autoZero"/>
        <c:auto val="1"/>
        <c:lblAlgn val="ctr"/>
        <c:lblOffset val="100"/>
        <c:noMultiLvlLbl val="0"/>
      </c:catAx>
      <c:valAx>
        <c:axId val="453283199"/>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PE"/>
          </a:p>
        </c:txPr>
        <c:crossAx val="453299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Hoja5!$C$4</c:f>
              <c:strCache>
                <c:ptCount val="1"/>
                <c:pt idx="0">
                  <c:v>Agricultura</c:v>
                </c:pt>
              </c:strCache>
            </c:strRef>
          </c:tx>
          <c:spPr>
            <a:solidFill>
              <a:schemeClr val="accent1"/>
            </a:solidFill>
            <a:ln>
              <a:noFill/>
            </a:ln>
            <a:effectLst/>
          </c:spPr>
          <c:invertIfNegative val="0"/>
          <c:cat>
            <c:numRef>
              <c:f>Hoja5!$B$5:$B$9</c:f>
              <c:numCache>
                <c:formatCode>General</c:formatCode>
                <c:ptCount val="5"/>
                <c:pt idx="0">
                  <c:v>2015</c:v>
                </c:pt>
                <c:pt idx="1">
                  <c:v>2016</c:v>
                </c:pt>
                <c:pt idx="2">
                  <c:v>2017</c:v>
                </c:pt>
                <c:pt idx="3">
                  <c:v>2018</c:v>
                </c:pt>
                <c:pt idx="4">
                  <c:v>2019</c:v>
                </c:pt>
              </c:numCache>
            </c:numRef>
          </c:cat>
          <c:val>
            <c:numRef>
              <c:f>Hoja5!$C$5:$C$9</c:f>
              <c:numCache>
                <c:formatCode>0.00%</c:formatCode>
                <c:ptCount val="5"/>
                <c:pt idx="0">
                  <c:v>1.44E-2</c:v>
                </c:pt>
                <c:pt idx="1">
                  <c:v>1.43E-2</c:v>
                </c:pt>
                <c:pt idx="2">
                  <c:v>1.43E-2</c:v>
                </c:pt>
                <c:pt idx="3">
                  <c:v>1.37E-2</c:v>
                </c:pt>
                <c:pt idx="4">
                  <c:v>1.3599999999999999E-2</c:v>
                </c:pt>
              </c:numCache>
            </c:numRef>
          </c:val>
          <c:extLst>
            <c:ext xmlns:c16="http://schemas.microsoft.com/office/drawing/2014/chart" uri="{C3380CC4-5D6E-409C-BE32-E72D297353CC}">
              <c16:uniqueId val="{00000000-2197-4469-AD08-DC35C289E78A}"/>
            </c:ext>
          </c:extLst>
        </c:ser>
        <c:ser>
          <c:idx val="1"/>
          <c:order val="1"/>
          <c:tx>
            <c:strRef>
              <c:f>Hoja5!$D$4</c:f>
              <c:strCache>
                <c:ptCount val="1"/>
                <c:pt idx="0">
                  <c:v>Industria</c:v>
                </c:pt>
              </c:strCache>
            </c:strRef>
          </c:tx>
          <c:spPr>
            <a:solidFill>
              <a:srgbClr val="FF0000"/>
            </a:solidFill>
            <a:ln>
              <a:noFill/>
            </a:ln>
            <a:effectLst/>
          </c:spPr>
          <c:invertIfNegative val="0"/>
          <c:cat>
            <c:numRef>
              <c:f>Hoja5!$B$5:$B$9</c:f>
              <c:numCache>
                <c:formatCode>General</c:formatCode>
                <c:ptCount val="5"/>
                <c:pt idx="0">
                  <c:v>2015</c:v>
                </c:pt>
                <c:pt idx="1">
                  <c:v>2016</c:v>
                </c:pt>
                <c:pt idx="2">
                  <c:v>2017</c:v>
                </c:pt>
                <c:pt idx="3">
                  <c:v>2018</c:v>
                </c:pt>
                <c:pt idx="4">
                  <c:v>2019</c:v>
                </c:pt>
              </c:numCache>
            </c:numRef>
          </c:cat>
          <c:val>
            <c:numRef>
              <c:f>Hoja5!$D$5:$D$9</c:f>
              <c:numCache>
                <c:formatCode>0.00%</c:formatCode>
                <c:ptCount val="5"/>
                <c:pt idx="0">
                  <c:v>0.1986</c:v>
                </c:pt>
                <c:pt idx="1">
                  <c:v>0.1978</c:v>
                </c:pt>
                <c:pt idx="2">
                  <c:v>0.1973</c:v>
                </c:pt>
                <c:pt idx="3">
                  <c:v>0.19869999999999999</c:v>
                </c:pt>
                <c:pt idx="4">
                  <c:v>0.1991</c:v>
                </c:pt>
              </c:numCache>
            </c:numRef>
          </c:val>
          <c:extLst>
            <c:ext xmlns:c16="http://schemas.microsoft.com/office/drawing/2014/chart" uri="{C3380CC4-5D6E-409C-BE32-E72D297353CC}">
              <c16:uniqueId val="{00000001-2197-4469-AD08-DC35C289E78A}"/>
            </c:ext>
          </c:extLst>
        </c:ser>
        <c:ser>
          <c:idx val="2"/>
          <c:order val="2"/>
          <c:tx>
            <c:strRef>
              <c:f>Hoja5!$E$4</c:f>
              <c:strCache>
                <c:ptCount val="1"/>
                <c:pt idx="0">
                  <c:v>Servicio</c:v>
                </c:pt>
              </c:strCache>
            </c:strRef>
          </c:tx>
          <c:spPr>
            <a:solidFill>
              <a:srgbClr val="002060"/>
            </a:solidFill>
            <a:ln>
              <a:noFill/>
            </a:ln>
            <a:effectLst/>
          </c:spPr>
          <c:invertIfNegative val="0"/>
          <c:cat>
            <c:numRef>
              <c:f>Hoja5!$B$5:$B$9</c:f>
              <c:numCache>
                <c:formatCode>General</c:formatCode>
                <c:ptCount val="5"/>
                <c:pt idx="0">
                  <c:v>2015</c:v>
                </c:pt>
                <c:pt idx="1">
                  <c:v>2016</c:v>
                </c:pt>
                <c:pt idx="2">
                  <c:v>2017</c:v>
                </c:pt>
                <c:pt idx="3">
                  <c:v>2018</c:v>
                </c:pt>
                <c:pt idx="4">
                  <c:v>2019</c:v>
                </c:pt>
              </c:numCache>
            </c:numRef>
          </c:cat>
          <c:val>
            <c:numRef>
              <c:f>Hoja5!$E$5:$E$9</c:f>
              <c:numCache>
                <c:formatCode>0.00%</c:formatCode>
                <c:ptCount val="5"/>
                <c:pt idx="0">
                  <c:v>0.78700000000000003</c:v>
                </c:pt>
                <c:pt idx="1">
                  <c:v>0.78790000000000004</c:v>
                </c:pt>
                <c:pt idx="2">
                  <c:v>0.78849999999999998</c:v>
                </c:pt>
                <c:pt idx="3">
                  <c:v>0.78759999999999997</c:v>
                </c:pt>
                <c:pt idx="4">
                  <c:v>0.78739999999999999</c:v>
                </c:pt>
              </c:numCache>
            </c:numRef>
          </c:val>
          <c:extLst>
            <c:ext xmlns:c16="http://schemas.microsoft.com/office/drawing/2014/chart" uri="{C3380CC4-5D6E-409C-BE32-E72D297353CC}">
              <c16:uniqueId val="{00000002-2197-4469-AD08-DC35C289E78A}"/>
            </c:ext>
          </c:extLst>
        </c:ser>
        <c:dLbls>
          <c:showLegendKey val="0"/>
          <c:showVal val="0"/>
          <c:showCatName val="0"/>
          <c:showSerName val="0"/>
          <c:showPercent val="0"/>
          <c:showBubbleSize val="0"/>
        </c:dLbls>
        <c:gapWidth val="150"/>
        <c:overlap val="100"/>
        <c:axId val="1138737488"/>
        <c:axId val="1138742896"/>
      </c:barChart>
      <c:catAx>
        <c:axId val="1138737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38742896"/>
        <c:crosses val="autoZero"/>
        <c:auto val="1"/>
        <c:lblAlgn val="ctr"/>
        <c:lblOffset val="100"/>
        <c:noMultiLvlLbl val="0"/>
      </c:catAx>
      <c:valAx>
        <c:axId val="113874289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38737488"/>
        <c:crosses val="autoZero"/>
        <c:crossBetween val="between"/>
      </c:valAx>
      <c:spPr>
        <a:noFill/>
        <a:ln>
          <a:noFill/>
        </a:ln>
        <a:effectLst/>
      </c:spPr>
    </c:plotArea>
    <c:legend>
      <c:legendPos val="b"/>
      <c:layout>
        <c:manualLayout>
          <c:xMode val="edge"/>
          <c:yMode val="edge"/>
          <c:x val="0.29601917145621215"/>
          <c:y val="0.90338108338867285"/>
          <c:w val="0.36334141907677059"/>
          <c:h val="6.8129209752395406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2060"/>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Hoja6!$B$3:$B$7</c:f>
              <c:numCache>
                <c:formatCode>General</c:formatCode>
                <c:ptCount val="5"/>
                <c:pt idx="0">
                  <c:v>2015</c:v>
                </c:pt>
                <c:pt idx="1">
                  <c:v>2016</c:v>
                </c:pt>
                <c:pt idx="2">
                  <c:v>2017</c:v>
                </c:pt>
                <c:pt idx="3">
                  <c:v>2018</c:v>
                </c:pt>
                <c:pt idx="4">
                  <c:v>2019</c:v>
                </c:pt>
              </c:numCache>
            </c:numRef>
          </c:cat>
          <c:val>
            <c:numRef>
              <c:f>Hoja6!$C$3:$C$7</c:f>
              <c:numCache>
                <c:formatCode>General</c:formatCode>
                <c:ptCount val="5"/>
                <c:pt idx="0">
                  <c:v>148.85</c:v>
                </c:pt>
                <c:pt idx="1">
                  <c:v>151.44</c:v>
                </c:pt>
                <c:pt idx="2">
                  <c:v>153.34</c:v>
                </c:pt>
                <c:pt idx="3">
                  <c:v>155.76</c:v>
                </c:pt>
                <c:pt idx="4">
                  <c:v>157.54</c:v>
                </c:pt>
              </c:numCache>
            </c:numRef>
          </c:val>
          <c:extLst>
            <c:ext xmlns:c16="http://schemas.microsoft.com/office/drawing/2014/chart" uri="{C3380CC4-5D6E-409C-BE32-E72D297353CC}">
              <c16:uniqueId val="{00000000-F0B5-4730-9BA7-4C30BB163B20}"/>
            </c:ext>
          </c:extLst>
        </c:ser>
        <c:dLbls>
          <c:dLblPos val="outEnd"/>
          <c:showLegendKey val="0"/>
          <c:showVal val="1"/>
          <c:showCatName val="0"/>
          <c:showSerName val="0"/>
          <c:showPercent val="0"/>
          <c:showBubbleSize val="0"/>
        </c:dLbls>
        <c:gapWidth val="219"/>
        <c:overlap val="-27"/>
        <c:axId val="1138793232"/>
        <c:axId val="1138794480"/>
      </c:barChart>
      <c:catAx>
        <c:axId val="11387932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38794480"/>
        <c:crosses val="autoZero"/>
        <c:auto val="1"/>
        <c:lblAlgn val="ctr"/>
        <c:lblOffset val="100"/>
        <c:noMultiLvlLbl val="0"/>
      </c:catAx>
      <c:valAx>
        <c:axId val="1138794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3879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002060"/>
              </a:solidFill>
              <a:round/>
            </a:ln>
            <a:effectLst/>
          </c:spPr>
          <c:marker>
            <c:symbol val="circle"/>
            <c:size val="5"/>
            <c:spPr>
              <a:solidFill>
                <a:schemeClr val="bg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2-4D9D-484D-BACD-EED7F6DC560A}"/>
                </c:ext>
              </c:extLst>
            </c:dLbl>
            <c:dLbl>
              <c:idx val="1"/>
              <c:delete val="1"/>
              <c:extLst>
                <c:ext xmlns:c15="http://schemas.microsoft.com/office/drawing/2012/chart" uri="{CE6537A1-D6FC-4f65-9D91-7224C49458BB}"/>
                <c:ext xmlns:c16="http://schemas.microsoft.com/office/drawing/2014/chart" uri="{C3380CC4-5D6E-409C-BE32-E72D297353CC}">
                  <c16:uniqueId val="{00000003-4D9D-484D-BACD-EED7F6DC560A}"/>
                </c:ext>
              </c:extLst>
            </c:dLbl>
            <c:dLbl>
              <c:idx val="2"/>
              <c:delete val="1"/>
              <c:extLst>
                <c:ext xmlns:c15="http://schemas.microsoft.com/office/drawing/2012/chart" uri="{CE6537A1-D6FC-4f65-9D91-7224C49458BB}"/>
                <c:ext xmlns:c16="http://schemas.microsoft.com/office/drawing/2014/chart" uri="{C3380CC4-5D6E-409C-BE32-E72D297353CC}">
                  <c16:uniqueId val="{00000004-4D9D-484D-BACD-EED7F6DC560A}"/>
                </c:ext>
              </c:extLst>
            </c:dLbl>
            <c:dLbl>
              <c:idx val="3"/>
              <c:delete val="1"/>
              <c:extLst>
                <c:ext xmlns:c15="http://schemas.microsoft.com/office/drawing/2012/chart" uri="{CE6537A1-D6FC-4f65-9D91-7224C49458BB}"/>
                <c:ext xmlns:c16="http://schemas.microsoft.com/office/drawing/2014/chart" uri="{C3380CC4-5D6E-409C-BE32-E72D297353CC}">
                  <c16:uniqueId val="{00000005-4D9D-484D-BACD-EED7F6DC560A}"/>
                </c:ext>
              </c:extLst>
            </c:dLbl>
            <c:dLbl>
              <c:idx val="4"/>
              <c:delete val="1"/>
              <c:extLst>
                <c:ext xmlns:c15="http://schemas.microsoft.com/office/drawing/2012/chart" uri="{CE6537A1-D6FC-4f65-9D91-7224C49458BB}"/>
                <c:ext xmlns:c16="http://schemas.microsoft.com/office/drawing/2014/chart" uri="{C3380CC4-5D6E-409C-BE32-E72D297353CC}">
                  <c16:uniqueId val="{00000006-4D9D-484D-BACD-EED7F6DC560A}"/>
                </c:ext>
              </c:extLst>
            </c:dLbl>
            <c:dLbl>
              <c:idx val="5"/>
              <c:delete val="1"/>
              <c:extLst>
                <c:ext xmlns:c15="http://schemas.microsoft.com/office/drawing/2012/chart" uri="{CE6537A1-D6FC-4f65-9D91-7224C49458BB}"/>
                <c:ext xmlns:c16="http://schemas.microsoft.com/office/drawing/2014/chart" uri="{C3380CC4-5D6E-409C-BE32-E72D297353CC}">
                  <c16:uniqueId val="{00000007-4D9D-484D-BACD-EED7F6DC560A}"/>
                </c:ext>
              </c:extLst>
            </c:dLbl>
            <c:dLbl>
              <c:idx val="6"/>
              <c:delete val="1"/>
              <c:extLst>
                <c:ext xmlns:c15="http://schemas.microsoft.com/office/drawing/2012/chart" uri="{CE6537A1-D6FC-4f65-9D91-7224C49458BB}"/>
                <c:ext xmlns:c16="http://schemas.microsoft.com/office/drawing/2014/chart" uri="{C3380CC4-5D6E-409C-BE32-E72D297353CC}">
                  <c16:uniqueId val="{00000008-4D9D-484D-BACD-EED7F6DC560A}"/>
                </c:ext>
              </c:extLst>
            </c:dLbl>
            <c:dLbl>
              <c:idx val="7"/>
              <c:delete val="1"/>
              <c:extLst>
                <c:ext xmlns:c15="http://schemas.microsoft.com/office/drawing/2012/chart" uri="{CE6537A1-D6FC-4f65-9D91-7224C49458BB}"/>
                <c:ext xmlns:c16="http://schemas.microsoft.com/office/drawing/2014/chart" uri="{C3380CC4-5D6E-409C-BE32-E72D297353CC}">
                  <c16:uniqueId val="{00000009-4D9D-484D-BACD-EED7F6DC560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Hoja7!$B$9:$B$21</c:f>
              <c:numCache>
                <c:formatCode>General</c:formatCode>
                <c:ptCount val="13"/>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numCache>
              <c:extLst/>
            </c:numRef>
          </c:cat>
          <c:val>
            <c:numRef>
              <c:f>Hoja7!$C$9:$C$21</c:f>
              <c:numCache>
                <c:formatCode>0.00%</c:formatCode>
                <c:ptCount val="13"/>
                <c:pt idx="0">
                  <c:v>4.6199999999999998E-2</c:v>
                </c:pt>
                <c:pt idx="1">
                  <c:v>5.7799999999999997E-2</c:v>
                </c:pt>
                <c:pt idx="2">
                  <c:v>9.2499999999999999E-2</c:v>
                </c:pt>
                <c:pt idx="3">
                  <c:v>9.6299999999999997E-2</c:v>
                </c:pt>
                <c:pt idx="4">
                  <c:v>8.9499999999999996E-2</c:v>
                </c:pt>
                <c:pt idx="5">
                  <c:v>8.0699999999999994E-2</c:v>
                </c:pt>
                <c:pt idx="6">
                  <c:v>7.3800000000000004E-2</c:v>
                </c:pt>
                <c:pt idx="7">
                  <c:v>6.1699999999999998E-2</c:v>
                </c:pt>
                <c:pt idx="8">
                  <c:v>5.28E-2</c:v>
                </c:pt>
                <c:pt idx="9">
                  <c:v>4.87E-2</c:v>
                </c:pt>
                <c:pt idx="10">
                  <c:v>4.36E-2</c:v>
                </c:pt>
                <c:pt idx="11">
                  <c:v>3.9E-2</c:v>
                </c:pt>
                <c:pt idx="12">
                  <c:v>3.6700000000000003E-2</c:v>
                </c:pt>
              </c:numCache>
              <c:extLst/>
            </c:numRef>
          </c:val>
          <c:smooth val="1"/>
          <c:extLst>
            <c:ext xmlns:c16="http://schemas.microsoft.com/office/drawing/2014/chart" uri="{C3380CC4-5D6E-409C-BE32-E72D297353CC}">
              <c16:uniqueId val="{00000000-4D9D-484D-BACD-EED7F6DC560A}"/>
            </c:ext>
          </c:extLst>
        </c:ser>
        <c:dLbls>
          <c:showLegendKey val="0"/>
          <c:showVal val="0"/>
          <c:showCatName val="0"/>
          <c:showSerName val="0"/>
          <c:showPercent val="0"/>
          <c:showBubbleSize val="0"/>
        </c:dLbls>
        <c:marker val="1"/>
        <c:smooth val="0"/>
        <c:axId val="1180424448"/>
        <c:axId val="1180424032"/>
      </c:lineChart>
      <c:catAx>
        <c:axId val="11804244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80424032"/>
        <c:crosses val="autoZero"/>
        <c:auto val="1"/>
        <c:lblAlgn val="ctr"/>
        <c:lblOffset val="100"/>
        <c:noMultiLvlLbl val="0"/>
      </c:catAx>
      <c:valAx>
        <c:axId val="118042403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PE"/>
          </a:p>
        </c:txPr>
        <c:crossAx val="118042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sz="1400" b="1">
                <a:solidFill>
                  <a:sysClr val="windowText" lastClr="000000"/>
                </a:solidFill>
              </a:rPr>
              <a:t>Producto Bruto Interno de EEUU 1960 - 2019 (MM USD)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es-PE"/>
        </a:p>
      </c:txPr>
    </c:title>
    <c:autoTitleDeleted val="0"/>
    <c:plotArea>
      <c:layout/>
      <c:lineChart>
        <c:grouping val="standard"/>
        <c:varyColors val="0"/>
        <c:ser>
          <c:idx val="1"/>
          <c:order val="0"/>
          <c:tx>
            <c:strRef>
              <c:f>'[graficos.xlsx]GDP 1960 - 2020'!$C$2</c:f>
              <c:strCache>
                <c:ptCount val="1"/>
                <c:pt idx="0">
                  <c:v>PBI Real</c:v>
                </c:pt>
              </c:strCache>
            </c:strRef>
          </c:tx>
          <c:spPr>
            <a:ln w="28575" cap="rnd">
              <a:solidFill>
                <a:srgbClr val="002060"/>
              </a:solidFill>
              <a:round/>
            </a:ln>
            <a:effectLst/>
          </c:spPr>
          <c:marker>
            <c:symbol val="none"/>
          </c:marker>
          <c:cat>
            <c:numRef>
              <c:f>'[graficos.xlsx]GDP 1960 - 2020'!$B$3:$B$62</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'[graficos.xlsx]GDP 1960 - 2020'!$C$3:$C$62</c:f>
              <c:numCache>
                <c:formatCode>0.00</c:formatCode>
                <c:ptCount val="60"/>
                <c:pt idx="0">
                  <c:v>0.54330000000000001</c:v>
                </c:pt>
                <c:pt idx="1">
                  <c:v>0.56330000000000002</c:v>
                </c:pt>
                <c:pt idx="2">
                  <c:v>0.60509999999999997</c:v>
                </c:pt>
                <c:pt idx="3">
                  <c:v>0.63859999999999995</c:v>
                </c:pt>
                <c:pt idx="4">
                  <c:v>0.68579999999999997</c:v>
                </c:pt>
                <c:pt idx="5">
                  <c:v>0.74370000000000003</c:v>
                </c:pt>
                <c:pt idx="6">
                  <c:v>0.81499999999999995</c:v>
                </c:pt>
                <c:pt idx="7">
                  <c:v>0.86170000000000002</c:v>
                </c:pt>
                <c:pt idx="8">
                  <c:v>0.9425</c:v>
                </c:pt>
                <c:pt idx="9">
                  <c:v>1.0199</c:v>
                </c:pt>
                <c:pt idx="10">
                  <c:v>1.0733029999999999</c:v>
                </c:pt>
                <c:pt idx="11">
                  <c:v>1.1648499999999999</c:v>
                </c:pt>
                <c:pt idx="12">
                  <c:v>1.27911</c:v>
                </c:pt>
                <c:pt idx="13">
                  <c:v>1.425376</c:v>
                </c:pt>
                <c:pt idx="14">
                  <c:v>1.5452429999999999</c:v>
                </c:pt>
                <c:pt idx="15">
                  <c:v>1.684904</c:v>
                </c:pt>
                <c:pt idx="16">
                  <c:v>1.8734120000000001</c:v>
                </c:pt>
                <c:pt idx="17">
                  <c:v>2.081826</c:v>
                </c:pt>
                <c:pt idx="18">
                  <c:v>2.3515990000000002</c:v>
                </c:pt>
                <c:pt idx="19">
                  <c:v>2.6273330000000001</c:v>
                </c:pt>
                <c:pt idx="20">
                  <c:v>2.857307</c:v>
                </c:pt>
                <c:pt idx="21">
                  <c:v>3.2070409999999998</c:v>
                </c:pt>
                <c:pt idx="22">
                  <c:v>3.3437890000000001</c:v>
                </c:pt>
                <c:pt idx="23">
                  <c:v>3.6340379999999999</c:v>
                </c:pt>
                <c:pt idx="24">
                  <c:v>4.0376130000000003</c:v>
                </c:pt>
                <c:pt idx="25">
                  <c:v>4.3389790000000001</c:v>
                </c:pt>
                <c:pt idx="26">
                  <c:v>4.579631</c:v>
                </c:pt>
                <c:pt idx="27">
                  <c:v>4.8552150000000003</c:v>
                </c:pt>
                <c:pt idx="28">
                  <c:v>5.2364379999999997</c:v>
                </c:pt>
                <c:pt idx="29">
                  <c:v>5.6415800000000003</c:v>
                </c:pt>
                <c:pt idx="30">
                  <c:v>5.9631439999999998</c:v>
                </c:pt>
                <c:pt idx="31">
                  <c:v>6.1581289999999997</c:v>
                </c:pt>
                <c:pt idx="32">
                  <c:v>6.520327</c:v>
                </c:pt>
                <c:pt idx="33">
                  <c:v>6.8585589999999996</c:v>
                </c:pt>
                <c:pt idx="34">
                  <c:v>7.287236</c:v>
                </c:pt>
                <c:pt idx="35">
                  <c:v>7.6397490000000001</c:v>
                </c:pt>
                <c:pt idx="36">
                  <c:v>8.0731219999999997</c:v>
                </c:pt>
                <c:pt idx="37">
                  <c:v>8.5775544569999997</c:v>
                </c:pt>
                <c:pt idx="38">
                  <c:v>9.0628182020000008</c:v>
                </c:pt>
                <c:pt idx="39">
                  <c:v>9.6306642020000002</c:v>
                </c:pt>
                <c:pt idx="40">
                  <c:v>10.252345463999999</c:v>
                </c:pt>
                <c:pt idx="41">
                  <c:v>10.581821399000001</c:v>
                </c:pt>
                <c:pt idx="42">
                  <c:v>10.936419054</c:v>
                </c:pt>
                <c:pt idx="43">
                  <c:v>11.458243877999999</c:v>
                </c:pt>
                <c:pt idx="44">
                  <c:v>12.213729147</c:v>
                </c:pt>
                <c:pt idx="45">
                  <c:v>13.03664023</c:v>
                </c:pt>
                <c:pt idx="46">
                  <c:v>13.814611414</c:v>
                </c:pt>
                <c:pt idx="47">
                  <c:v>14.451858656000001</c:v>
                </c:pt>
                <c:pt idx="48">
                  <c:v>14.712844084</c:v>
                </c:pt>
                <c:pt idx="49">
                  <c:v>14.448933025000001</c:v>
                </c:pt>
                <c:pt idx="50">
                  <c:v>14.992052727000001</c:v>
                </c:pt>
                <c:pt idx="51">
                  <c:v>15.542581104</c:v>
                </c:pt>
                <c:pt idx="52">
                  <c:v>16.197007349</c:v>
                </c:pt>
                <c:pt idx="53">
                  <c:v>16.784849196</c:v>
                </c:pt>
                <c:pt idx="54">
                  <c:v>17.527163694999999</c:v>
                </c:pt>
                <c:pt idx="55">
                  <c:v>18.238300569</c:v>
                </c:pt>
                <c:pt idx="56">
                  <c:v>18.745075687</c:v>
                </c:pt>
                <c:pt idx="57">
                  <c:v>19.542979183</c:v>
                </c:pt>
                <c:pt idx="58">
                  <c:v>20.611860933999999</c:v>
                </c:pt>
                <c:pt idx="59">
                  <c:v>21.433224697</c:v>
                </c:pt>
              </c:numCache>
            </c:numRef>
          </c:val>
          <c:smooth val="0"/>
          <c:extLst>
            <c:ext xmlns:c16="http://schemas.microsoft.com/office/drawing/2014/chart" uri="{C3380CC4-5D6E-409C-BE32-E72D297353CC}">
              <c16:uniqueId val="{00000000-E9A7-421B-B78D-6F4B7BAF39FE}"/>
            </c:ext>
          </c:extLst>
        </c:ser>
        <c:dLbls>
          <c:showLegendKey val="0"/>
          <c:showVal val="0"/>
          <c:showCatName val="0"/>
          <c:showSerName val="0"/>
          <c:showPercent val="0"/>
          <c:showBubbleSize val="0"/>
        </c:dLbls>
        <c:smooth val="0"/>
        <c:axId val="538873487"/>
        <c:axId val="538894703"/>
      </c:lineChart>
      <c:catAx>
        <c:axId val="538873487"/>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j-lt"/>
                <a:ea typeface="+mn-ea"/>
                <a:cs typeface="+mn-cs"/>
              </a:defRPr>
            </a:pPr>
            <a:endParaRPr lang="es-PE"/>
          </a:p>
        </c:txPr>
        <c:crossAx val="538894703"/>
        <c:crosses val="autoZero"/>
        <c:auto val="1"/>
        <c:lblAlgn val="ctr"/>
        <c:lblOffset val="100"/>
        <c:noMultiLvlLbl val="0"/>
      </c:catAx>
      <c:valAx>
        <c:axId val="53889470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j-lt"/>
                <a:ea typeface="+mn-ea"/>
                <a:cs typeface="+mn-cs"/>
              </a:defRPr>
            </a:pPr>
            <a:endParaRPr lang="es-PE"/>
          </a:p>
        </c:txPr>
        <c:crossAx val="53887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mj-lt"/>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j-lt"/>
                <a:ea typeface="+mn-ea"/>
                <a:cs typeface="+mn-cs"/>
              </a:defRPr>
            </a:pPr>
            <a:r>
              <a:rPr lang="es-PE" b="1">
                <a:solidFill>
                  <a:sysClr val="windowText" lastClr="000000"/>
                </a:solidFill>
              </a:rPr>
              <a:t>PBI Per cápita 1986 - 2019 (USD)</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j-lt"/>
              <a:ea typeface="+mn-ea"/>
              <a:cs typeface="+mn-cs"/>
            </a:defRPr>
          </a:pPr>
          <a:endParaRPr lang="es-PE"/>
        </a:p>
      </c:txPr>
    </c:title>
    <c:autoTitleDeleted val="0"/>
    <c:plotArea>
      <c:layout/>
      <c:lineChart>
        <c:grouping val="standard"/>
        <c:varyColors val="0"/>
        <c:ser>
          <c:idx val="0"/>
          <c:order val="0"/>
          <c:spPr>
            <a:ln w="28575" cap="rnd">
              <a:solidFill>
                <a:srgbClr val="002060"/>
              </a:solidFill>
              <a:round/>
            </a:ln>
            <a:effectLst/>
          </c:spPr>
          <c:marker>
            <c:symbol val="none"/>
          </c:marker>
          <c:cat>
            <c:strRef>
              <c:f>'[graficos.xlsx]GDP 1960 - 2020'!$B$68:$B$101</c:f>
              <c:strCache>
                <c:ptCount val="34"/>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strCache>
            </c:strRef>
          </c:cat>
          <c:val>
            <c:numRef>
              <c:f>'[graficos.xlsx]GDP 1960 - 2020'!$C$68:$C$101</c:f>
              <c:numCache>
                <c:formatCode>General</c:formatCode>
                <c:ptCount val="34"/>
                <c:pt idx="0">
                  <c:v>19034.77</c:v>
                </c:pt>
                <c:pt idx="1">
                  <c:v>20000.97</c:v>
                </c:pt>
                <c:pt idx="2">
                  <c:v>21376</c:v>
                </c:pt>
                <c:pt idx="3">
                  <c:v>22814.080000000002</c:v>
                </c:pt>
                <c:pt idx="4">
                  <c:v>23847.98</c:v>
                </c:pt>
                <c:pt idx="5">
                  <c:v>24302.78</c:v>
                </c:pt>
                <c:pt idx="6">
                  <c:v>25392.93</c:v>
                </c:pt>
                <c:pt idx="7">
                  <c:v>26364.19</c:v>
                </c:pt>
                <c:pt idx="8">
                  <c:v>27674.02</c:v>
                </c:pt>
                <c:pt idx="9">
                  <c:v>28671.48</c:v>
                </c:pt>
                <c:pt idx="10">
                  <c:v>29946.97</c:v>
                </c:pt>
                <c:pt idx="11">
                  <c:v>31440.09</c:v>
                </c:pt>
                <c:pt idx="12">
                  <c:v>32833.67</c:v>
                </c:pt>
                <c:pt idx="13">
                  <c:v>34494.54</c:v>
                </c:pt>
                <c:pt idx="14">
                  <c:v>36317.74</c:v>
                </c:pt>
                <c:pt idx="15">
                  <c:v>37101.1</c:v>
                </c:pt>
                <c:pt idx="16">
                  <c:v>37971.279999999999</c:v>
                </c:pt>
                <c:pt idx="17">
                  <c:v>39411.550000000003</c:v>
                </c:pt>
                <c:pt idx="18">
                  <c:v>41629.86</c:v>
                </c:pt>
                <c:pt idx="19">
                  <c:v>44025.56</c:v>
                </c:pt>
                <c:pt idx="20">
                  <c:v>46213.51</c:v>
                </c:pt>
                <c:pt idx="21">
                  <c:v>47869.24</c:v>
                </c:pt>
                <c:pt idx="22">
                  <c:v>48283.41</c:v>
                </c:pt>
                <c:pt idx="23">
                  <c:v>47007.67</c:v>
                </c:pt>
                <c:pt idx="24">
                  <c:v>48403.3</c:v>
                </c:pt>
                <c:pt idx="25">
                  <c:v>49829.06</c:v>
                </c:pt>
                <c:pt idx="26">
                  <c:v>51563.13</c:v>
                </c:pt>
                <c:pt idx="27">
                  <c:v>53071.82</c:v>
                </c:pt>
                <c:pt idx="28">
                  <c:v>55024.66</c:v>
                </c:pt>
                <c:pt idx="29">
                  <c:v>56848.51</c:v>
                </c:pt>
                <c:pt idx="30">
                  <c:v>57839.99</c:v>
                </c:pt>
                <c:pt idx="31">
                  <c:v>59885.71</c:v>
                </c:pt>
                <c:pt idx="32">
                  <c:v>62769.66</c:v>
                </c:pt>
                <c:pt idx="33">
                  <c:v>65051.88</c:v>
                </c:pt>
              </c:numCache>
            </c:numRef>
          </c:val>
          <c:smooth val="0"/>
          <c:extLst>
            <c:ext xmlns:c16="http://schemas.microsoft.com/office/drawing/2014/chart" uri="{C3380CC4-5D6E-409C-BE32-E72D297353CC}">
              <c16:uniqueId val="{00000000-BCF1-4797-BBC6-432CA385C4C7}"/>
            </c:ext>
          </c:extLst>
        </c:ser>
        <c:dLbls>
          <c:showLegendKey val="0"/>
          <c:showVal val="0"/>
          <c:showCatName val="0"/>
          <c:showSerName val="0"/>
          <c:showPercent val="0"/>
          <c:showBubbleSize val="0"/>
        </c:dLbls>
        <c:smooth val="0"/>
        <c:axId val="397263599"/>
        <c:axId val="397263183"/>
      </c:lineChart>
      <c:catAx>
        <c:axId val="397263599"/>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PE"/>
          </a:p>
        </c:txPr>
        <c:crossAx val="397263183"/>
        <c:crosses val="autoZero"/>
        <c:auto val="1"/>
        <c:lblAlgn val="ctr"/>
        <c:lblOffset val="100"/>
        <c:noMultiLvlLbl val="0"/>
      </c:catAx>
      <c:valAx>
        <c:axId val="3972631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PE"/>
          </a:p>
        </c:txPr>
        <c:crossAx val="397263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mj-lt"/>
        </a:defRPr>
      </a:pPr>
      <a:endParaRPr lang="es-P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0.14057</cdr:x>
      <cdr:y>0.0536</cdr:y>
    </cdr:from>
    <cdr:to>
      <cdr:x>0.83808</cdr:x>
      <cdr:y>0.51076</cdr:y>
    </cdr:to>
    <cdr:cxnSp macro="">
      <cdr:nvCxnSpPr>
        <cdr:cNvPr id="2" name="Conector recto 1"/>
        <cdr:cNvCxnSpPr/>
      </cdr:nvCxnSpPr>
      <cdr:spPr>
        <a:xfrm xmlns:a="http://schemas.openxmlformats.org/drawingml/2006/main" flipV="1">
          <a:off x="752475" y="154940"/>
          <a:ext cx="3733800" cy="1321435"/>
        </a:xfrm>
        <a:prstGeom xmlns:a="http://schemas.openxmlformats.org/drawingml/2006/main" prst="line">
          <a:avLst/>
        </a:prstGeom>
        <a:ln xmlns:a="http://schemas.openxmlformats.org/drawingml/2006/main" w="9525" cap="flat" cmpd="sng" algn="ctr">
          <a:solidFill>
            <a:schemeClr val="tx1">
              <a:lumMod val="95000"/>
              <a:lumOff val="5000"/>
            </a:schemeClr>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521C-7281-46EC-97A9-BA8F34A3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12</Pages>
  <Words>2617</Words>
  <Characters>14397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Richard Perez Ore</dc:creator>
  <cp:keywords/>
  <dc:description/>
  <cp:lastModifiedBy>david richard perez ore</cp:lastModifiedBy>
  <cp:revision>442</cp:revision>
  <dcterms:created xsi:type="dcterms:W3CDTF">2021-12-20T16:46:00Z</dcterms:created>
  <dcterms:modified xsi:type="dcterms:W3CDTF">2021-12-26T15:36:00Z</dcterms:modified>
</cp:coreProperties>
</file>