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jpeg" ContentType="image/jpeg"/>
  <Override PartName="/word/media/image6.jpeg" ContentType="image/jpeg"/>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rFonts w:eastAsia="ArialMT"/>
        </w:rPr>
      </w:pPr>
      <w:bookmarkStart w:id="0" w:name="_Hlk91550375"/>
      <w:bookmarkEnd w:id="0"/>
      <w:r>
        <w:rPr>
          <w:rFonts w:eastAsia="ArialMT"/>
        </w:rPr>
        <w:t>UNIVERSIDAD NACIONAL SAN CRISTÓBAL DE HUAMANGA</w:t>
      </w:r>
    </w:p>
    <w:p>
      <w:pPr>
        <w:pStyle w:val="Normal"/>
        <w:spacing w:lineRule="auto" w:line="240"/>
        <w:jc w:val="center"/>
        <w:rPr>
          <w:rFonts w:eastAsia="ArialMT"/>
        </w:rPr>
      </w:pPr>
      <w:r>
        <w:rPr>
          <w:rFonts w:eastAsia="ArialMT"/>
        </w:rPr>
      </w:r>
    </w:p>
    <w:p>
      <w:pPr>
        <w:pStyle w:val="Normal"/>
        <w:spacing w:lineRule="auto" w:line="240"/>
        <w:jc w:val="center"/>
        <w:rPr>
          <w:rFonts w:eastAsia="ArialMT"/>
          <w:sz w:val="22"/>
          <w:szCs w:val="22"/>
        </w:rPr>
      </w:pPr>
      <w:r>
        <w:rPr>
          <w:rFonts w:eastAsia="ArialMT"/>
          <w:sz w:val="22"/>
          <w:szCs w:val="22"/>
        </w:rPr>
        <w:t>FACULTAD DE CIENCIAS ECONÓMICAS, ADMINISTRATIVAS Y CONTABLES</w:t>
      </w:r>
    </w:p>
    <w:p>
      <w:pPr>
        <w:pStyle w:val="Normal"/>
        <w:spacing w:lineRule="auto" w:line="240"/>
        <w:jc w:val="center"/>
        <w:rPr>
          <w:rFonts w:eastAsia="ArialMT"/>
          <w:sz w:val="22"/>
          <w:szCs w:val="22"/>
        </w:rPr>
      </w:pPr>
      <w:r>
        <w:rPr>
          <w:rFonts w:eastAsia="ArialMT"/>
          <w:sz w:val="22"/>
          <w:szCs w:val="22"/>
        </w:rPr>
      </w:r>
    </w:p>
    <w:p>
      <w:pPr>
        <w:pStyle w:val="Normal"/>
        <w:jc w:val="center"/>
        <w:rPr>
          <w:rFonts w:eastAsia="ArialMT"/>
          <w:sz w:val="29"/>
          <w:szCs w:val="29"/>
        </w:rPr>
      </w:pPr>
      <w:r>
        <w:rPr>
          <w:rFonts w:eastAsia="ArialMT"/>
          <w:sz w:val="29"/>
          <w:szCs w:val="29"/>
        </w:rPr>
        <w:t>ESCUELA PROFESIONAL DE ECONOMÍA</w:t>
      </w:r>
    </w:p>
    <w:p>
      <w:pPr>
        <w:pStyle w:val="Normal"/>
        <w:jc w:val="center"/>
        <w:rPr/>
      </w:pPr>
      <w:r>
        <w:rPr/>
        <w:drawing>
          <wp:inline distT="0" distB="0" distL="0" distR="0">
            <wp:extent cx="2701290" cy="2400935"/>
            <wp:effectExtent l="0" t="0" r="0" b="0"/>
            <wp:docPr id="1" name="image2.png" descr="Imagen que contiene firmar, hombre, gente, muj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Imagen que contiene firmar, hombre, gente, mujer&#10;&#10;Descripción generada automáticamente"/>
                    <pic:cNvPicPr>
                      <a:picLocks noChangeAspect="1" noChangeArrowheads="1"/>
                    </pic:cNvPicPr>
                  </pic:nvPicPr>
                  <pic:blipFill>
                    <a:blip r:embed="rId2"/>
                    <a:stretch>
                      <a:fillRect/>
                    </a:stretch>
                  </pic:blipFill>
                  <pic:spPr bwMode="auto">
                    <a:xfrm>
                      <a:off x="0" y="0"/>
                      <a:ext cx="2701290" cy="2400935"/>
                    </a:xfrm>
                    <a:prstGeom prst="rect">
                      <a:avLst/>
                    </a:prstGeom>
                  </pic:spPr>
                </pic:pic>
              </a:graphicData>
            </a:graphic>
          </wp:inline>
        </w:drawing>
      </w:r>
    </w:p>
    <w:p>
      <w:pPr>
        <w:pStyle w:val="Normal"/>
        <w:spacing w:lineRule="auto" w:line="240"/>
        <w:jc w:val="center"/>
        <w:rPr>
          <w:rFonts w:eastAsia="Arial-BoldMT"/>
          <w:b/>
          <w:b/>
          <w:sz w:val="34"/>
          <w:szCs w:val="34"/>
        </w:rPr>
      </w:pPr>
      <w:r>
        <w:rPr>
          <w:rFonts w:eastAsia="Arial-BoldMT"/>
          <w:b/>
          <w:sz w:val="34"/>
          <w:szCs w:val="34"/>
        </w:rPr>
        <w:t>Desigualdad socioeconómica y la pobreza en el</w:t>
      </w:r>
    </w:p>
    <w:p>
      <w:pPr>
        <w:pStyle w:val="Normal"/>
        <w:jc w:val="center"/>
        <w:rPr/>
      </w:pPr>
      <w:r>
        <w:rPr>
          <w:rFonts w:eastAsia="Arial-BoldMT"/>
          <w:b/>
          <w:sz w:val="34"/>
          <w:szCs w:val="34"/>
        </w:rPr>
        <w:t>departamento Ayacucho, periodo 2000-2019</w:t>
      </w:r>
    </w:p>
    <w:p>
      <w:pPr>
        <w:pStyle w:val="Normal"/>
        <w:jc w:val="center"/>
        <w:rPr/>
      </w:pPr>
      <w:r>
        <w:rPr/>
      </w:r>
    </w:p>
    <w:p>
      <w:pPr>
        <w:pStyle w:val="Normal"/>
        <w:spacing w:lineRule="auto" w:line="240"/>
        <w:jc w:val="center"/>
        <w:rPr>
          <w:rFonts w:eastAsia="Arial-BoldMT"/>
          <w:b/>
          <w:b/>
          <w:sz w:val="29"/>
          <w:szCs w:val="29"/>
        </w:rPr>
      </w:pPr>
      <w:r>
        <w:rPr>
          <w:rFonts w:eastAsia="Arial-BoldMT"/>
          <w:b/>
          <w:sz w:val="29"/>
          <w:szCs w:val="29"/>
        </w:rPr>
        <w:t>Proyecto de Tesis</w:t>
      </w:r>
    </w:p>
    <w:p>
      <w:pPr>
        <w:pStyle w:val="Normal"/>
        <w:spacing w:lineRule="auto" w:line="240"/>
        <w:jc w:val="center"/>
        <w:rPr>
          <w:rFonts w:eastAsia="ArialMT"/>
          <w:sz w:val="29"/>
          <w:szCs w:val="29"/>
        </w:rPr>
      </w:pPr>
      <w:r>
        <w:rPr>
          <w:rFonts w:eastAsia="ArialMT"/>
          <w:sz w:val="29"/>
          <w:szCs w:val="29"/>
        </w:rPr>
      </w:r>
    </w:p>
    <w:p>
      <w:pPr>
        <w:pStyle w:val="Normal"/>
        <w:spacing w:lineRule="auto" w:line="240"/>
        <w:jc w:val="center"/>
        <w:rPr>
          <w:rFonts w:eastAsia="Arial-ItalicMT"/>
          <w:i/>
          <w:i/>
          <w:sz w:val="29"/>
          <w:szCs w:val="29"/>
        </w:rPr>
      </w:pPr>
      <w:r>
        <w:rPr>
          <w:rFonts w:eastAsia="Arial-ItalicMT"/>
          <w:i/>
          <w:sz w:val="29"/>
          <w:szCs w:val="29"/>
        </w:rPr>
        <w:t>Presentado por:</w:t>
      </w:r>
    </w:p>
    <w:p>
      <w:pPr>
        <w:pStyle w:val="Normal"/>
        <w:spacing w:lineRule="auto" w:line="240"/>
        <w:jc w:val="center"/>
        <w:rPr>
          <w:rFonts w:eastAsia="Arial-ItalicMT"/>
          <w:i/>
          <w:i/>
          <w:sz w:val="29"/>
          <w:szCs w:val="29"/>
        </w:rPr>
      </w:pPr>
      <w:r>
        <w:rPr>
          <w:rFonts w:eastAsia="Arial-ItalicMT"/>
          <w:i/>
          <w:sz w:val="29"/>
          <w:szCs w:val="29"/>
        </w:rPr>
      </w:r>
    </w:p>
    <w:p>
      <w:pPr>
        <w:pStyle w:val="Normal"/>
        <w:spacing w:lineRule="auto" w:line="240"/>
        <w:jc w:val="center"/>
        <w:rPr>
          <w:rFonts w:eastAsia="ArialMT"/>
          <w:sz w:val="34"/>
          <w:szCs w:val="34"/>
        </w:rPr>
      </w:pPr>
      <w:r>
        <w:rPr>
          <w:rFonts w:eastAsia="ArialMT"/>
          <w:sz w:val="34"/>
          <w:szCs w:val="34"/>
        </w:rPr>
        <w:t>Elmer Edison ACHALMA MENDOZA</w:t>
      </w:r>
    </w:p>
    <w:p>
      <w:pPr>
        <w:pStyle w:val="Normal"/>
        <w:spacing w:lineRule="auto" w:line="240"/>
        <w:jc w:val="center"/>
        <w:rPr>
          <w:rFonts w:eastAsia="ArialMT"/>
          <w:sz w:val="34"/>
          <w:szCs w:val="34"/>
        </w:rPr>
      </w:pPr>
      <w:r>
        <w:rPr>
          <w:rFonts w:eastAsia="ArialMT"/>
          <w:sz w:val="34"/>
          <w:szCs w:val="34"/>
        </w:rPr>
        <w:t>Kattya Yashitrh CASTILLO LOPEZ</w:t>
      </w:r>
    </w:p>
    <w:p>
      <w:pPr>
        <w:pStyle w:val="Normal"/>
        <w:spacing w:lineRule="auto" w:line="240"/>
        <w:jc w:val="center"/>
        <w:rPr>
          <w:rFonts w:eastAsia="ArialMT"/>
          <w:sz w:val="34"/>
          <w:szCs w:val="34"/>
        </w:rPr>
      </w:pPr>
      <w:r>
        <w:rPr>
          <w:rFonts w:eastAsia="ArialMT"/>
          <w:sz w:val="34"/>
          <w:szCs w:val="34"/>
        </w:rPr>
      </w:r>
    </w:p>
    <w:p>
      <w:pPr>
        <w:pStyle w:val="Normal"/>
        <w:spacing w:lineRule="auto" w:line="240"/>
        <w:jc w:val="center"/>
        <w:rPr>
          <w:rFonts w:eastAsia="Arial-ItalicMT"/>
          <w:i/>
          <w:i/>
          <w:sz w:val="29"/>
          <w:szCs w:val="29"/>
        </w:rPr>
      </w:pPr>
      <w:r>
        <w:rPr>
          <w:rFonts w:eastAsia="Arial-ItalicMT"/>
          <w:i/>
          <w:sz w:val="29"/>
          <w:szCs w:val="29"/>
        </w:rPr>
        <w:t>Asesor: Dr. Pelayo HILARIO VALENZUELA</w:t>
      </w:r>
    </w:p>
    <w:p>
      <w:pPr>
        <w:pStyle w:val="Normal"/>
        <w:spacing w:lineRule="auto" w:line="240"/>
        <w:jc w:val="center"/>
        <w:rPr>
          <w:rFonts w:eastAsia="Arial-ItalicMT"/>
          <w:i/>
          <w:i/>
          <w:sz w:val="29"/>
          <w:szCs w:val="29"/>
        </w:rPr>
      </w:pPr>
      <w:r>
        <w:rPr>
          <w:rFonts w:eastAsia="Arial-ItalicMT"/>
          <w:i/>
          <w:sz w:val="29"/>
          <w:szCs w:val="29"/>
        </w:rPr>
      </w:r>
    </w:p>
    <w:p>
      <w:pPr>
        <w:pStyle w:val="Normal"/>
        <w:spacing w:lineRule="auto" w:line="240"/>
        <w:jc w:val="center"/>
        <w:rPr>
          <w:rFonts w:eastAsia="Arial-ItalicMT"/>
          <w:i/>
          <w:i/>
          <w:sz w:val="29"/>
          <w:szCs w:val="29"/>
        </w:rPr>
      </w:pPr>
      <w:r>
        <w:rPr>
          <w:rFonts w:eastAsia="Arial-ItalicMT"/>
          <w:i/>
          <w:sz w:val="29"/>
          <w:szCs w:val="29"/>
        </w:rPr>
      </w:r>
    </w:p>
    <w:p>
      <w:pPr>
        <w:pStyle w:val="Normal"/>
        <w:spacing w:lineRule="auto" w:line="240"/>
        <w:jc w:val="center"/>
        <w:rPr>
          <w:rFonts w:eastAsia="ArialMT"/>
          <w:sz w:val="29"/>
          <w:szCs w:val="29"/>
        </w:rPr>
      </w:pPr>
      <w:r>
        <w:rPr>
          <w:rFonts w:eastAsia="ArialMT"/>
          <w:sz w:val="29"/>
          <w:szCs w:val="29"/>
        </w:rPr>
        <w:t>Ayacucho - Perú</w:t>
      </w:r>
    </w:p>
    <w:p>
      <w:pPr>
        <w:pStyle w:val="Normal"/>
        <w:jc w:val="center"/>
        <w:rPr/>
      </w:pPr>
      <w:r>
        <w:rPr>
          <w:rFonts w:eastAsia="ArialMT"/>
          <w:sz w:val="29"/>
          <w:szCs w:val="29"/>
        </w:rPr>
        <w:t>Mayo, 2022</w:t>
      </w:r>
    </w:p>
    <w:p>
      <w:pPr>
        <w:pStyle w:val="Normal"/>
        <w:jc w:val="center"/>
        <w:rPr/>
      </w:pPr>
      <w:r>
        <w:rPr/>
      </w:r>
    </w:p>
    <w:p>
      <w:pPr>
        <w:pStyle w:val="Normal"/>
        <w:keepNext w:val="true"/>
        <w:keepLines/>
        <w:spacing w:lineRule="auto" w:line="259" w:before="240" w:after="0"/>
        <w:ind w:left="360" w:hanging="360"/>
        <w:jc w:val="center"/>
        <w:rPr>
          <w:rFonts w:eastAsia="Calibri"/>
          <w:sz w:val="32"/>
          <w:szCs w:val="32"/>
        </w:rPr>
      </w:pPr>
      <w:r>
        <w:rPr>
          <w:rFonts w:eastAsia="Calibri"/>
          <w:sz w:val="32"/>
          <w:szCs w:val="32"/>
        </w:rPr>
        <w:t>Índice</w:t>
      </w:r>
    </w:p>
    <w:p>
      <w:pPr>
        <w:pStyle w:val="Normal"/>
        <w:keepNext w:val="true"/>
        <w:keepLines/>
        <w:spacing w:lineRule="auto" w:line="259" w:before="240" w:after="0"/>
        <w:ind w:left="360" w:hanging="360"/>
        <w:jc w:val="center"/>
        <w:rPr>
          <w:rFonts w:eastAsia="Calibri"/>
          <w:sz w:val="32"/>
          <w:szCs w:val="32"/>
        </w:rPr>
      </w:pPr>
      <w:r>
        <w:rPr>
          <w:rFonts w:eastAsia="Calibri"/>
          <w:sz w:val="32"/>
          <w:szCs w:val="32"/>
        </w:rPr>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szCs w:val="22"/>
              <w:lang w:val="es-MX"/>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89109896">
            <w:r>
              <w:rPr>
                <w:webHidden/>
                <w:rStyle w:val="IndexLink"/>
                <w:rFonts w:eastAsia="" w:eastAsiaTheme="majorEastAsia"/>
                <w:vanish w:val="false"/>
              </w:rPr>
              <w:t>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PLANTEAMIENTO DEL PROBLEMA</w:t>
            </w:r>
            <w:r>
              <w:rPr>
                <w:webHidden/>
              </w:rPr>
              <w:fldChar w:fldCharType="begin"/>
            </w:r>
            <w:r>
              <w:rPr>
                <w:webHidden/>
              </w:rPr>
              <w:instrText xml:space="preserve">PAGEREF _Toc89109896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897">
            <w:r>
              <w:rPr>
                <w:webHidden/>
                <w:rStyle w:val="IndexLink"/>
                <w:rFonts w:eastAsia="" w:eastAsiaTheme="majorEastAsia"/>
                <w:vanish w:val="false"/>
              </w:rPr>
              <w:t>1.1.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Enunciado del problema</w:t>
            </w:r>
            <w:r>
              <w:rPr>
                <w:webHidden/>
              </w:rPr>
              <w:fldChar w:fldCharType="begin"/>
            </w:r>
            <w:r>
              <w:rPr>
                <w:webHidden/>
              </w:rPr>
              <w:instrText xml:space="preserve">PAGEREF _Toc89109897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898">
            <w:r>
              <w:rPr>
                <w:webHidden/>
                <w:rStyle w:val="IndexLink"/>
                <w:rFonts w:eastAsia="" w:eastAsiaTheme="majorEastAsia"/>
                <w:vanish w:val="false"/>
              </w:rPr>
              <w:t>1.2.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Formulación del problema</w:t>
            </w:r>
            <w:r>
              <w:rPr>
                <w:webHidden/>
              </w:rPr>
              <w:fldChar w:fldCharType="begin"/>
            </w:r>
            <w:r>
              <w:rPr>
                <w:webHidden/>
              </w:rPr>
              <w:instrText xml:space="preserve">PAGEREF _Toc89109898 \h</w:instrText>
            </w:r>
            <w:r>
              <w:rPr>
                <w:webHidden/>
              </w:rPr>
              <w:fldChar w:fldCharType="separate"/>
            </w:r>
            <w:r>
              <w:rPr>
                <w:rStyle w:val="IndexLink"/>
                <w:vanish w:val="false"/>
              </w:rPr>
              <w:tab/>
              <w:t>12</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899">
            <w:r>
              <w:rPr>
                <w:webHidden/>
                <w:rStyle w:val="IndexLink"/>
                <w:rFonts w:eastAsia="" w:eastAsiaTheme="majorEastAsia"/>
                <w:vanish w:val="false"/>
              </w:rPr>
              <w:t>1.2.1.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Problema general</w:t>
            </w:r>
            <w:r>
              <w:rPr>
                <w:webHidden/>
              </w:rPr>
              <w:fldChar w:fldCharType="begin"/>
            </w:r>
            <w:r>
              <w:rPr>
                <w:webHidden/>
              </w:rPr>
              <w:instrText xml:space="preserve">PAGEREF _Toc89109899 \h</w:instrText>
            </w:r>
            <w:r>
              <w:rPr>
                <w:webHidden/>
              </w:rPr>
              <w:fldChar w:fldCharType="separate"/>
            </w:r>
            <w:r>
              <w:rPr>
                <w:rStyle w:val="IndexLink"/>
                <w:vanish w:val="false"/>
              </w:rPr>
              <w:tab/>
              <w:t>12</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00">
            <w:r>
              <w:rPr>
                <w:webHidden/>
                <w:rStyle w:val="IndexLink"/>
                <w:rFonts w:eastAsia="" w:eastAsiaTheme="majorEastAsia"/>
                <w:vanish w:val="false"/>
              </w:rPr>
              <w:t>1.2.2.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Problemas específicos</w:t>
            </w:r>
            <w:r>
              <w:rPr>
                <w:webHidden/>
              </w:rPr>
              <w:fldChar w:fldCharType="begin"/>
            </w:r>
            <w:r>
              <w:rPr>
                <w:webHidden/>
              </w:rPr>
              <w:instrText xml:space="preserve">PAGEREF _Toc89109900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01">
            <w:r>
              <w:rPr>
                <w:webHidden/>
                <w:rStyle w:val="IndexLink"/>
                <w:rFonts w:eastAsia="" w:eastAsiaTheme="majorEastAsia"/>
                <w:vanish w:val="false"/>
              </w:rPr>
              <w:t>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OBJETIVOS</w:t>
            </w:r>
            <w:r>
              <w:rPr>
                <w:webHidden/>
              </w:rPr>
              <w:fldChar w:fldCharType="begin"/>
            </w:r>
            <w:r>
              <w:rPr>
                <w:webHidden/>
              </w:rPr>
              <w:instrText xml:space="preserve">PAGEREF _Toc89109901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02">
            <w:r>
              <w:rPr>
                <w:webHidden/>
                <w:rStyle w:val="IndexLink"/>
                <w:rFonts w:eastAsia="" w:eastAsiaTheme="majorEastAsia"/>
                <w:vanish w:val="false"/>
              </w:rPr>
              <w:t>2.1. Objetivo general</w:t>
            </w:r>
            <w:r>
              <w:rPr>
                <w:webHidden/>
              </w:rPr>
              <w:fldChar w:fldCharType="begin"/>
            </w:r>
            <w:r>
              <w:rPr>
                <w:webHidden/>
              </w:rPr>
              <w:instrText xml:space="preserve">PAGEREF _Toc89109902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3">
            <w:r>
              <w:rPr>
                <w:webHidden/>
                <w:rStyle w:val="IndexLink"/>
                <w:rFonts w:eastAsia="" w:eastAsiaTheme="majorEastAsia"/>
                <w:vanish w:val="false"/>
              </w:rPr>
              <w:t>2.2.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Objetivos específicos</w:t>
            </w:r>
            <w:r>
              <w:rPr>
                <w:webHidden/>
              </w:rPr>
              <w:fldChar w:fldCharType="begin"/>
            </w:r>
            <w:r>
              <w:rPr>
                <w:webHidden/>
              </w:rPr>
              <w:instrText xml:space="preserve">PAGEREF _Toc89109903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04">
            <w:r>
              <w:rPr>
                <w:webHidden/>
                <w:rStyle w:val="IndexLink"/>
                <w:rFonts w:eastAsia="" w:eastAsiaTheme="majorEastAsia"/>
                <w:vanish w:val="false"/>
              </w:rPr>
              <w:t>III.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w:t>
            </w:r>
            <w:r>
              <w:rPr>
                <w:webHidden/>
              </w:rPr>
              <w:fldChar w:fldCharType="begin"/>
            </w:r>
            <w:r>
              <w:rPr>
                <w:webHidden/>
              </w:rPr>
              <w:instrText xml:space="preserve">PAGEREF _Toc89109904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5">
            <w:r>
              <w:rPr>
                <w:webHidden/>
                <w:rStyle w:val="IndexLink"/>
                <w:rFonts w:eastAsia="" w:eastAsiaTheme="majorEastAsia"/>
                <w:vanish w:val="false"/>
              </w:rPr>
              <w:t>3.1.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 teórica</w:t>
            </w:r>
            <w:r>
              <w:rPr>
                <w:webHidden/>
              </w:rPr>
              <w:fldChar w:fldCharType="begin"/>
            </w:r>
            <w:r>
              <w:rPr>
                <w:webHidden/>
              </w:rPr>
              <w:instrText xml:space="preserve">PAGEREF _Toc89109905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6">
            <w:r>
              <w:rPr>
                <w:webHidden/>
                <w:rStyle w:val="IndexLink"/>
                <w:rFonts w:eastAsia="" w:eastAsiaTheme="majorEastAsia"/>
                <w:vanish w:val="false"/>
              </w:rPr>
              <w:t>3.2.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 practica</w:t>
            </w:r>
            <w:r>
              <w:rPr>
                <w:webHidden/>
              </w:rPr>
              <w:fldChar w:fldCharType="begin"/>
            </w:r>
            <w:r>
              <w:rPr>
                <w:webHidden/>
              </w:rPr>
              <w:instrText xml:space="preserve">PAGEREF _Toc89109906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7">
            <w:r>
              <w:rPr>
                <w:webHidden/>
                <w:rStyle w:val="IndexLink"/>
                <w:rFonts w:eastAsia="" w:eastAsiaTheme="majorEastAsia"/>
                <w:vanish w:val="false"/>
              </w:rPr>
              <w:t>3.3.</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 metodológica</w:t>
            </w:r>
            <w:r>
              <w:rPr>
                <w:webHidden/>
              </w:rPr>
              <w:fldChar w:fldCharType="begin"/>
            </w:r>
            <w:r>
              <w:rPr>
                <w:webHidden/>
              </w:rPr>
              <w:instrText xml:space="preserve">PAGEREF _Toc89109907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08">
            <w:r>
              <w:rPr>
                <w:webHidden/>
                <w:rStyle w:val="IndexLink"/>
                <w:rFonts w:eastAsia="" w:eastAsiaTheme="majorEastAsia"/>
                <w:vanish w:val="false"/>
              </w:rPr>
              <w:t>IV.</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MARCO TEÓRICO</w:t>
            </w:r>
            <w:r>
              <w:rPr>
                <w:webHidden/>
              </w:rPr>
              <w:fldChar w:fldCharType="begin"/>
            </w:r>
            <w:r>
              <w:rPr>
                <w:webHidden/>
              </w:rPr>
              <w:instrText xml:space="preserve">PAGEREF _Toc89109908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09">
            <w:r>
              <w:rPr>
                <w:webHidden/>
                <w:rStyle w:val="IndexLink"/>
                <w:rFonts w:eastAsia="" w:eastAsiaTheme="majorEastAsia"/>
                <w:vanish w:val="false"/>
              </w:rPr>
              <w:t>4.1.  Marco histórico</w:t>
            </w:r>
            <w:r>
              <w:rPr>
                <w:webHidden/>
              </w:rPr>
              <w:fldChar w:fldCharType="begin"/>
            </w:r>
            <w:r>
              <w:rPr>
                <w:webHidden/>
              </w:rPr>
              <w:instrText xml:space="preserve">PAGEREF _Toc89109909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0">
            <w:r>
              <w:rPr>
                <w:webHidden/>
                <w:rStyle w:val="IndexLink"/>
                <w:rFonts w:eastAsia="" w:eastAsiaTheme="majorEastAsia"/>
                <w:vanish w:val="false"/>
              </w:rPr>
              <w:t>4.1.1. Enfoque Subjetivo</w:t>
            </w:r>
            <w:r>
              <w:rPr>
                <w:webHidden/>
              </w:rPr>
              <w:fldChar w:fldCharType="begin"/>
            </w:r>
            <w:r>
              <w:rPr>
                <w:webHidden/>
              </w:rPr>
              <w:instrText xml:space="preserve">PAGEREF _Toc89109910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1">
            <w:r>
              <w:rPr>
                <w:webHidden/>
                <w:rStyle w:val="IndexLink"/>
                <w:rFonts w:eastAsia="" w:eastAsiaTheme="majorEastAsia"/>
                <w:vanish w:val="false"/>
              </w:rPr>
              <w:t>4.1.2. Enfoque Relativo</w:t>
            </w:r>
            <w:r>
              <w:rPr>
                <w:webHidden/>
              </w:rPr>
              <w:fldChar w:fldCharType="begin"/>
            </w:r>
            <w:r>
              <w:rPr>
                <w:webHidden/>
              </w:rPr>
              <w:instrText xml:space="preserve">PAGEREF _Toc89109911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2">
            <w:r>
              <w:rPr>
                <w:webHidden/>
                <w:rStyle w:val="IndexLink"/>
                <w:rFonts w:eastAsia="" w:eastAsiaTheme="majorEastAsia"/>
                <w:vanish w:val="false"/>
              </w:rPr>
              <w:t>4.1.3. Enfoque absoluto</w:t>
            </w:r>
            <w:r>
              <w:rPr>
                <w:webHidden/>
              </w:rPr>
              <w:fldChar w:fldCharType="begin"/>
            </w:r>
            <w:r>
              <w:rPr>
                <w:webHidden/>
              </w:rPr>
              <w:instrText xml:space="preserve">PAGEREF _Toc89109912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3">
            <w:r>
              <w:rPr>
                <w:webHidden/>
                <w:rStyle w:val="IndexLink"/>
                <w:rFonts w:eastAsia="" w:eastAsiaTheme="majorEastAsia"/>
                <w:vanish w:val="false"/>
              </w:rPr>
              <w:t>4.2.  Marco referencial</w:t>
            </w:r>
            <w:r>
              <w:rPr>
                <w:webHidden/>
              </w:rPr>
              <w:fldChar w:fldCharType="begin"/>
            </w:r>
            <w:r>
              <w:rPr>
                <w:webHidden/>
              </w:rPr>
              <w:instrText xml:space="preserve">PAGEREF _Toc89109913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4">
            <w:r>
              <w:rPr>
                <w:webHidden/>
                <w:rStyle w:val="IndexLink"/>
                <w:rFonts w:eastAsia="" w:eastAsiaTheme="majorEastAsia"/>
                <w:vanish w:val="false"/>
              </w:rPr>
              <w:t>4.3.  Sistema teórico</w:t>
            </w:r>
            <w:r>
              <w:rPr>
                <w:webHidden/>
              </w:rPr>
              <w:fldChar w:fldCharType="begin"/>
            </w:r>
            <w:r>
              <w:rPr>
                <w:webHidden/>
              </w:rPr>
              <w:instrText xml:space="preserve">PAGEREF _Toc89109914 \h</w:instrText>
            </w:r>
            <w:r>
              <w:rPr>
                <w:webHidden/>
              </w:rPr>
              <w:fldChar w:fldCharType="separate"/>
            </w:r>
            <w:r>
              <w:rPr>
                <w:rStyle w:val="IndexLink"/>
                <w:vanish w:val="false"/>
              </w:rPr>
              <w:tab/>
              <w:t>17</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5">
            <w:r>
              <w:rPr>
                <w:webHidden/>
                <w:rStyle w:val="IndexLink"/>
                <w:rFonts w:eastAsia="" w:eastAsiaTheme="majorEastAsia"/>
                <w:vanish w:val="false"/>
              </w:rPr>
              <w:t>4.3.1. Desigualdad Socioeconómica y la Pobreza</w:t>
            </w:r>
            <w:r>
              <w:rPr>
                <w:webHidden/>
              </w:rPr>
              <w:fldChar w:fldCharType="begin"/>
            </w:r>
            <w:r>
              <w:rPr>
                <w:webHidden/>
              </w:rPr>
              <w:instrText xml:space="preserve">PAGEREF _Toc89109915 \h</w:instrText>
            </w:r>
            <w:r>
              <w:rPr>
                <w:webHidden/>
              </w:rPr>
              <w:fldChar w:fldCharType="separate"/>
            </w:r>
            <w:r>
              <w:rPr>
                <w:rStyle w:val="IndexLink"/>
                <w:vanish w:val="false"/>
              </w:rPr>
              <w:tab/>
              <w:t>17</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6">
            <w:r>
              <w:rPr>
                <w:webHidden/>
                <w:rStyle w:val="IndexLink"/>
                <w:rFonts w:eastAsia="" w:eastAsiaTheme="majorEastAsia"/>
                <w:vanish w:val="false"/>
              </w:rPr>
              <w:t>4.3.1.1.  Desigualdad socioeconómica</w:t>
            </w:r>
            <w:r>
              <w:rPr>
                <w:webHidden/>
              </w:rPr>
              <w:fldChar w:fldCharType="begin"/>
            </w:r>
            <w:r>
              <w:rPr>
                <w:webHidden/>
              </w:rPr>
              <w:instrText xml:space="preserve">PAGEREF _Toc89109916 \h</w:instrText>
            </w:r>
            <w:r>
              <w:rPr>
                <w:webHidden/>
              </w:rPr>
              <w:fldChar w:fldCharType="separate"/>
            </w:r>
            <w:r>
              <w:rPr>
                <w:rStyle w:val="IndexLink"/>
                <w:vanish w:val="false"/>
              </w:rPr>
              <w:tab/>
              <w:t>17</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7">
            <w:r>
              <w:rPr>
                <w:webHidden/>
                <w:rStyle w:val="IndexLink"/>
                <w:rFonts w:eastAsia="" w:eastAsiaTheme="majorEastAsia"/>
                <w:vanish w:val="false"/>
              </w:rPr>
              <w:t>4.3.1.2.  La Pobreza</w:t>
            </w:r>
            <w:r>
              <w:rPr>
                <w:webHidden/>
              </w:rPr>
              <w:fldChar w:fldCharType="begin"/>
            </w:r>
            <w:r>
              <w:rPr>
                <w:webHidden/>
              </w:rPr>
              <w:instrText xml:space="preserve">PAGEREF _Toc89109917 \h</w:instrText>
            </w:r>
            <w:r>
              <w:rPr>
                <w:webHidden/>
              </w:rPr>
              <w:fldChar w:fldCharType="separate"/>
            </w:r>
            <w:r>
              <w:rPr>
                <w:rStyle w:val="IndexLink"/>
                <w:vanish w:val="false"/>
              </w:rPr>
              <w:tab/>
              <w:t>17</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8">
            <w:r>
              <w:rPr>
                <w:webHidden/>
                <w:rStyle w:val="IndexLink"/>
                <w:rFonts w:eastAsia="" w:eastAsiaTheme="majorEastAsia"/>
                <w:vanish w:val="false"/>
                <w:shd w:fill="FFFFFF" w:val="clear"/>
                <w:lang w:eastAsia="en-US"/>
              </w:rPr>
              <w:t>4.3.1.3.  Medición de la pobreza</w:t>
            </w:r>
            <w:r>
              <w:rPr>
                <w:webHidden/>
              </w:rPr>
              <w:fldChar w:fldCharType="begin"/>
            </w:r>
            <w:r>
              <w:rPr>
                <w:webHidden/>
              </w:rPr>
              <w:instrText xml:space="preserve">PAGEREF _Toc89109918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9">
            <w:r>
              <w:rPr>
                <w:webHidden/>
                <w:rStyle w:val="IndexLink"/>
                <w:rFonts w:eastAsia="" w:eastAsiaTheme="majorEastAsia"/>
                <w:vanish w:val="false"/>
              </w:rPr>
              <w:t>4.3.2. Empleo e Índice de Desarrollo Humano (IDH)</w:t>
            </w:r>
            <w:r>
              <w:rPr>
                <w:webHidden/>
              </w:rPr>
              <w:fldChar w:fldCharType="begin"/>
            </w:r>
            <w:r>
              <w:rPr>
                <w:webHidden/>
              </w:rPr>
              <w:instrText xml:space="preserve">PAGEREF _Toc89109919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0">
            <w:r>
              <w:rPr>
                <w:webHidden/>
                <w:rStyle w:val="IndexLink"/>
                <w:rFonts w:eastAsia="" w:eastAsiaTheme="majorEastAsia"/>
                <w:vanish w:val="false"/>
              </w:rPr>
              <w:t>4.3.3. Índice de Theilen y grado de pobreza</w:t>
            </w:r>
            <w:r>
              <w:rPr>
                <w:webHidden/>
              </w:rPr>
              <w:fldChar w:fldCharType="begin"/>
            </w:r>
            <w:r>
              <w:rPr>
                <w:webHidden/>
              </w:rPr>
              <w:instrText xml:space="preserve">PAGEREF _Toc89109920 \h</w:instrText>
            </w:r>
            <w:r>
              <w:rPr>
                <w:webHidden/>
              </w:rPr>
              <w:fldChar w:fldCharType="separate"/>
            </w:r>
            <w:r>
              <w:rPr>
                <w:rStyle w:val="IndexLink"/>
                <w:vanish w:val="false"/>
              </w:rPr>
              <w:tab/>
              <w:t>21</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1">
            <w:r>
              <w:rPr>
                <w:webHidden/>
                <w:rStyle w:val="IndexLink"/>
                <w:rFonts w:eastAsia="" w:eastAsiaTheme="majorEastAsia"/>
                <w:vanish w:val="false"/>
              </w:rPr>
              <w:t>4.3.3.1.  Índice de Theilen</w:t>
            </w:r>
            <w:r>
              <w:rPr>
                <w:webHidden/>
              </w:rPr>
              <w:fldChar w:fldCharType="begin"/>
            </w:r>
            <w:r>
              <w:rPr>
                <w:webHidden/>
              </w:rPr>
              <w:instrText xml:space="preserve">PAGEREF _Toc89109921 \h</w:instrText>
            </w:r>
            <w:r>
              <w:rPr>
                <w:webHidden/>
              </w:rPr>
              <w:fldChar w:fldCharType="separate"/>
            </w:r>
            <w:r>
              <w:rPr>
                <w:rStyle w:val="IndexLink"/>
                <w:vanish w:val="false"/>
              </w:rPr>
              <w:tab/>
              <w:t>21</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2">
            <w:r>
              <w:rPr>
                <w:webHidden/>
                <w:rStyle w:val="IndexLink"/>
                <w:rFonts w:eastAsia="" w:eastAsiaTheme="majorEastAsia"/>
                <w:vanish w:val="false"/>
              </w:rPr>
              <w:t>4.3.3.2.  Grado de pobreza</w:t>
            </w:r>
            <w:r>
              <w:rPr>
                <w:webHidden/>
              </w:rPr>
              <w:fldChar w:fldCharType="begin"/>
            </w:r>
            <w:r>
              <w:rPr>
                <w:webHidden/>
              </w:rPr>
              <w:instrText xml:space="preserve">PAGEREF _Toc89109922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3">
            <w:r>
              <w:rPr>
                <w:webHidden/>
                <w:rStyle w:val="IndexLink"/>
                <w:rFonts w:eastAsia="" w:eastAsiaTheme="majorEastAsia"/>
                <w:vanish w:val="false"/>
              </w:rPr>
              <w:t>4.3.4. Desempleo e Índice de Gini</w:t>
            </w:r>
            <w:r>
              <w:rPr>
                <w:webHidden/>
              </w:rPr>
              <w:fldChar w:fldCharType="begin"/>
            </w:r>
            <w:r>
              <w:rPr>
                <w:webHidden/>
              </w:rPr>
              <w:instrText xml:space="preserve">PAGEREF _Toc89109923 \h</w:instrText>
            </w:r>
            <w:r>
              <w:rPr>
                <w:webHidden/>
              </w:rPr>
              <w:fldChar w:fldCharType="separate"/>
            </w:r>
            <w:r>
              <w:rPr>
                <w:rStyle w:val="IndexLink"/>
                <w:vanish w:val="false"/>
              </w:rPr>
              <w:tab/>
              <w:t>22</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4">
            <w:r>
              <w:rPr>
                <w:webHidden/>
                <w:rStyle w:val="IndexLink"/>
                <w:rFonts w:eastAsia="" w:eastAsiaTheme="majorEastAsia"/>
                <w:vanish w:val="false"/>
              </w:rPr>
              <w:t>4.3.4.1.  Desempleo</w:t>
            </w:r>
            <w:r>
              <w:rPr>
                <w:webHidden/>
              </w:rPr>
              <w:fldChar w:fldCharType="begin"/>
            </w:r>
            <w:r>
              <w:rPr>
                <w:webHidden/>
              </w:rPr>
              <w:instrText xml:space="preserve">PAGEREF _Toc89109924 \h</w:instrText>
            </w:r>
            <w:r>
              <w:rPr>
                <w:webHidden/>
              </w:rPr>
              <w:fldChar w:fldCharType="separate"/>
            </w:r>
            <w:r>
              <w:rPr>
                <w:rStyle w:val="IndexLink"/>
                <w:vanish w:val="false"/>
              </w:rPr>
              <w:tab/>
              <w:t>22</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5">
            <w:r>
              <w:rPr>
                <w:webHidden/>
                <w:rStyle w:val="IndexLink"/>
                <w:rFonts w:eastAsia="" w:eastAsiaTheme="majorEastAsia"/>
                <w:vanish w:val="false"/>
              </w:rPr>
              <w:t>4.3.4.2.  Clases de desempleo</w:t>
            </w:r>
            <w:r>
              <w:rPr>
                <w:webHidden/>
              </w:rPr>
              <w:fldChar w:fldCharType="begin"/>
            </w:r>
            <w:r>
              <w:rPr>
                <w:webHidden/>
              </w:rPr>
              <w:instrText xml:space="preserve">PAGEREF _Toc89109925 \h</w:instrText>
            </w:r>
            <w:r>
              <w:rPr>
                <w:webHidden/>
              </w:rPr>
              <w:fldChar w:fldCharType="separate"/>
            </w:r>
            <w:r>
              <w:rPr>
                <w:rStyle w:val="IndexLink"/>
                <w:vanish w:val="false"/>
              </w:rPr>
              <w:tab/>
              <w:t>22</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6">
            <w:r>
              <w:rPr>
                <w:webHidden/>
                <w:rStyle w:val="IndexLink"/>
                <w:rFonts w:eastAsia="" w:eastAsiaTheme="majorEastAsia"/>
                <w:vanish w:val="false"/>
              </w:rPr>
              <w:t>4.3.4.3.  Índice de Gini</w:t>
            </w:r>
            <w:r>
              <w:rPr>
                <w:webHidden/>
              </w:rPr>
              <w:fldChar w:fldCharType="begin"/>
            </w:r>
            <w:r>
              <w:rPr>
                <w:webHidden/>
              </w:rPr>
              <w:instrText xml:space="preserve">PAGEREF _Toc89109926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7">
            <w:r>
              <w:rPr>
                <w:webHidden/>
                <w:rStyle w:val="IndexLink"/>
                <w:rFonts w:eastAsia="" w:eastAsiaTheme="majorEastAsia"/>
                <w:vanish w:val="false"/>
              </w:rPr>
              <w:t>4.4.  Marco conceptual</w:t>
            </w:r>
            <w:r>
              <w:rPr>
                <w:webHidden/>
              </w:rPr>
              <w:fldChar w:fldCharType="begin"/>
            </w:r>
            <w:r>
              <w:rPr>
                <w:webHidden/>
              </w:rPr>
              <w:instrText xml:space="preserve">PAGEREF _Toc89109927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8">
            <w:r>
              <w:rPr>
                <w:webHidden/>
                <w:rStyle w:val="IndexLink"/>
                <w:rFonts w:eastAsia="" w:eastAsiaTheme="majorEastAsia"/>
                <w:vanish w:val="false"/>
              </w:rPr>
              <w:t>4.4.1. Desigualdad socioeconómica</w:t>
            </w:r>
            <w:r>
              <w:rPr>
                <w:webHidden/>
              </w:rPr>
              <w:fldChar w:fldCharType="begin"/>
            </w:r>
            <w:r>
              <w:rPr>
                <w:webHidden/>
              </w:rPr>
              <w:instrText xml:space="preserve">PAGEREF _Toc89109928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9">
            <w:r>
              <w:rPr>
                <w:webHidden/>
                <w:rStyle w:val="IndexLink"/>
                <w:rFonts w:eastAsia="" w:eastAsiaTheme="majorEastAsia"/>
                <w:vanish w:val="false"/>
              </w:rPr>
              <w:t>4.4.2. La Pobreza</w:t>
            </w:r>
            <w:r>
              <w:rPr>
                <w:webHidden/>
              </w:rPr>
              <w:fldChar w:fldCharType="begin"/>
            </w:r>
            <w:r>
              <w:rPr>
                <w:webHidden/>
              </w:rPr>
              <w:instrText xml:space="preserve">PAGEREF _Toc89109929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0">
            <w:r>
              <w:rPr>
                <w:webHidden/>
                <w:rStyle w:val="IndexLink"/>
                <w:rFonts w:eastAsia="" w:eastAsiaTheme="majorEastAsia"/>
                <w:vanish w:val="false"/>
              </w:rPr>
              <w:t>4.4.3. Empleo</w:t>
            </w:r>
            <w:r>
              <w:rPr>
                <w:webHidden/>
              </w:rPr>
              <w:fldChar w:fldCharType="begin"/>
            </w:r>
            <w:r>
              <w:rPr>
                <w:webHidden/>
              </w:rPr>
              <w:instrText xml:space="preserve">PAGEREF _Toc89109930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1">
            <w:r>
              <w:rPr>
                <w:webHidden/>
                <w:rStyle w:val="IndexLink"/>
                <w:rFonts w:eastAsia="" w:eastAsiaTheme="majorEastAsia"/>
                <w:vanish w:val="false"/>
              </w:rPr>
              <w:t>4.4.4. Índice de Desarrollo Humano (IDH)</w:t>
            </w:r>
            <w:r>
              <w:rPr>
                <w:webHidden/>
              </w:rPr>
              <w:fldChar w:fldCharType="begin"/>
            </w:r>
            <w:r>
              <w:rPr>
                <w:webHidden/>
              </w:rPr>
              <w:instrText xml:space="preserve">PAGEREF _Toc89109931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2">
            <w:r>
              <w:rPr>
                <w:webHidden/>
                <w:rStyle w:val="IndexLink"/>
                <w:rFonts w:eastAsia="" w:eastAsiaTheme="majorEastAsia"/>
                <w:vanish w:val="false"/>
              </w:rPr>
              <w:t>4.4.5. Índice de Theilen</w:t>
            </w:r>
            <w:r>
              <w:rPr>
                <w:webHidden/>
              </w:rPr>
              <w:fldChar w:fldCharType="begin"/>
            </w:r>
            <w:r>
              <w:rPr>
                <w:webHidden/>
              </w:rPr>
              <w:instrText xml:space="preserve">PAGEREF _Toc89109932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3">
            <w:r>
              <w:rPr>
                <w:webHidden/>
                <w:rStyle w:val="IndexLink"/>
                <w:rFonts w:eastAsia="" w:eastAsiaTheme="majorEastAsia"/>
                <w:vanish w:val="false"/>
              </w:rPr>
              <w:t>4.4.6. Grado de pobreza</w:t>
            </w:r>
            <w:r>
              <w:rPr>
                <w:webHidden/>
              </w:rPr>
              <w:fldChar w:fldCharType="begin"/>
            </w:r>
            <w:r>
              <w:rPr>
                <w:webHidden/>
              </w:rPr>
              <w:instrText xml:space="preserve">PAGEREF _Toc89109933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4">
            <w:r>
              <w:rPr>
                <w:webHidden/>
                <w:rStyle w:val="IndexLink"/>
                <w:rFonts w:eastAsia="" w:eastAsiaTheme="majorEastAsia"/>
                <w:vanish w:val="false"/>
              </w:rPr>
              <w:t>4.4.7. Desempleo</w:t>
            </w:r>
            <w:r>
              <w:rPr>
                <w:webHidden/>
              </w:rPr>
              <w:fldChar w:fldCharType="begin"/>
            </w:r>
            <w:r>
              <w:rPr>
                <w:webHidden/>
              </w:rPr>
              <w:instrText xml:space="preserve">PAGEREF _Toc89109934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5">
            <w:r>
              <w:rPr>
                <w:webHidden/>
                <w:rStyle w:val="IndexLink"/>
                <w:rFonts w:eastAsia="" w:eastAsiaTheme="majorEastAsia"/>
                <w:vanish w:val="false"/>
              </w:rPr>
              <w:t>4.4.8. Índice de Gini</w:t>
            </w:r>
            <w:r>
              <w:rPr>
                <w:webHidden/>
              </w:rPr>
              <w:fldChar w:fldCharType="begin"/>
            </w:r>
            <w:r>
              <w:rPr>
                <w:webHidden/>
              </w:rPr>
              <w:instrText xml:space="preserve">PAGEREF _Toc89109935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36">
            <w:r>
              <w:rPr>
                <w:webHidden/>
                <w:rStyle w:val="IndexLink"/>
                <w:rFonts w:eastAsia="" w:eastAsiaTheme="majorEastAsia"/>
                <w:vanish w:val="false"/>
              </w:rPr>
              <w:t>V.</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HIPÓTESIS</w:t>
            </w:r>
            <w:r>
              <w:rPr>
                <w:webHidden/>
              </w:rPr>
              <w:fldChar w:fldCharType="begin"/>
            </w:r>
            <w:r>
              <w:rPr>
                <w:webHidden/>
              </w:rPr>
              <w:instrText xml:space="preserve">PAGEREF _Toc89109936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37">
            <w:r>
              <w:rPr>
                <w:webHidden/>
                <w:rStyle w:val="IndexLink"/>
                <w:rFonts w:eastAsia="" w:eastAsiaTheme="majorEastAsia"/>
                <w:vanish w:val="false"/>
              </w:rPr>
              <w:t>5.1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Hipótesis general</w:t>
            </w:r>
            <w:r>
              <w:rPr>
                <w:webHidden/>
              </w:rPr>
              <w:fldChar w:fldCharType="begin"/>
            </w:r>
            <w:r>
              <w:rPr>
                <w:webHidden/>
              </w:rPr>
              <w:instrText xml:space="preserve">PAGEREF _Toc89109937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38">
            <w:r>
              <w:rPr>
                <w:webHidden/>
                <w:rStyle w:val="IndexLink"/>
                <w:rFonts w:eastAsia="" w:eastAsiaTheme="majorEastAsia"/>
                <w:vanish w:val="false"/>
              </w:rPr>
              <w:t>5.2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Hipótesis especifica</w:t>
            </w:r>
            <w:r>
              <w:rPr>
                <w:webHidden/>
              </w:rPr>
              <w:fldChar w:fldCharType="begin"/>
            </w:r>
            <w:r>
              <w:rPr>
                <w:webHidden/>
              </w:rPr>
              <w:instrText xml:space="preserve">PAGEREF _Toc89109938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39">
            <w:r>
              <w:rPr>
                <w:webHidden/>
                <w:rStyle w:val="IndexLink"/>
                <w:rFonts w:eastAsia="" w:eastAsiaTheme="majorEastAsia"/>
                <w:vanish w:val="false"/>
              </w:rPr>
              <w:t>VI.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VARIABLES E INDICADORES</w:t>
            </w:r>
            <w:r>
              <w:rPr>
                <w:webHidden/>
              </w:rPr>
              <w:fldChar w:fldCharType="begin"/>
            </w:r>
            <w:r>
              <w:rPr>
                <w:webHidden/>
              </w:rPr>
              <w:instrText xml:space="preserve">PAGEREF _Toc89109939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0">
            <w:r>
              <w:rPr>
                <w:webHidden/>
                <w:rStyle w:val="IndexLink"/>
                <w:rFonts w:eastAsia="" w:eastAsiaTheme="majorEastAsia"/>
                <w:vanish w:val="false"/>
              </w:rPr>
              <w:t>6.1. Desigualdad socioeconómica y dimensiones</w:t>
            </w:r>
            <w:r>
              <w:rPr>
                <w:webHidden/>
              </w:rPr>
              <w:fldChar w:fldCharType="begin"/>
            </w:r>
            <w:r>
              <w:rPr>
                <w:webHidden/>
              </w:rPr>
              <w:instrText xml:space="preserve">PAGEREF _Toc89109940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1">
            <w:r>
              <w:rPr>
                <w:webHidden/>
                <w:rStyle w:val="IndexLink"/>
                <w:rFonts w:eastAsia="" w:eastAsiaTheme="majorEastAsia"/>
                <w:vanish w:val="false"/>
              </w:rPr>
              <w:t>6.1.1. Variable causa</w:t>
            </w:r>
            <w:r>
              <w:rPr>
                <w:webHidden/>
              </w:rPr>
              <w:fldChar w:fldCharType="begin"/>
            </w:r>
            <w:r>
              <w:rPr>
                <w:webHidden/>
              </w:rPr>
              <w:instrText xml:space="preserve">PAGEREF _Toc89109941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2">
            <w:r>
              <w:rPr>
                <w:webHidden/>
                <w:rStyle w:val="IndexLink"/>
                <w:rFonts w:eastAsia="" w:eastAsiaTheme="majorEastAsia"/>
                <w:vanish w:val="false"/>
              </w:rPr>
              <w:t>6.1.2. Variable efecto</w:t>
            </w:r>
            <w:r>
              <w:rPr>
                <w:webHidden/>
              </w:rPr>
              <w:fldChar w:fldCharType="begin"/>
            </w:r>
            <w:r>
              <w:rPr>
                <w:webHidden/>
              </w:rPr>
              <w:instrText xml:space="preserve">PAGEREF _Toc89109942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3">
            <w:r>
              <w:rPr>
                <w:webHidden/>
                <w:rStyle w:val="IndexLink"/>
                <w:rFonts w:eastAsia="" w:eastAsiaTheme="majorEastAsia"/>
                <w:vanish w:val="false"/>
              </w:rPr>
              <w:t>6.2. Operacionales de variables y dimensiones</w:t>
            </w:r>
            <w:r>
              <w:rPr>
                <w:webHidden/>
              </w:rPr>
              <w:fldChar w:fldCharType="begin"/>
            </w:r>
            <w:r>
              <w:rPr>
                <w:webHidden/>
              </w:rPr>
              <w:instrText xml:space="preserve">PAGEREF _Toc89109943 \h</w:instrText>
            </w:r>
            <w:r>
              <w:rPr>
                <w:webHidden/>
              </w:rPr>
              <w:fldChar w:fldCharType="separate"/>
            </w:r>
            <w:r>
              <w:rPr>
                <w:rStyle w:val="IndexLink"/>
                <w:vanish w:val="false"/>
              </w:rPr>
              <w:tab/>
              <w:t>26</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44">
            <w:r>
              <w:rPr>
                <w:webHidden/>
                <w:rStyle w:val="IndexLink"/>
                <w:rFonts w:eastAsia="" w:eastAsiaTheme="majorEastAsia"/>
                <w:vanish w:val="false"/>
              </w:rPr>
              <w:t>VII.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METODOLOGÍA</w:t>
            </w:r>
            <w:r>
              <w:rPr>
                <w:webHidden/>
              </w:rPr>
              <w:fldChar w:fldCharType="begin"/>
            </w:r>
            <w:r>
              <w:rPr>
                <w:webHidden/>
              </w:rPr>
              <w:instrText xml:space="preserve">PAGEREF _Toc89109944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45">
            <w:r>
              <w:rPr>
                <w:webHidden/>
                <w:rStyle w:val="IndexLink"/>
                <w:rFonts w:eastAsia="" w:eastAsiaTheme="majorEastAsia"/>
                <w:vanish w:val="false"/>
              </w:rPr>
              <w:t>7.1.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Tipo y nivel de investigación</w:t>
            </w:r>
            <w:r>
              <w:rPr>
                <w:webHidden/>
              </w:rPr>
              <w:fldChar w:fldCharType="begin"/>
            </w:r>
            <w:r>
              <w:rPr>
                <w:webHidden/>
              </w:rPr>
              <w:instrText xml:space="preserve">PAGEREF _Toc89109945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46">
            <w:r>
              <w:rPr>
                <w:webHidden/>
                <w:rStyle w:val="IndexLink"/>
                <w:rFonts w:eastAsia="" w:eastAsiaTheme="majorEastAsia"/>
                <w:vanish w:val="false"/>
              </w:rPr>
              <w:t>7.1.1.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Tipo de investigación</w:t>
            </w:r>
            <w:r>
              <w:rPr>
                <w:webHidden/>
              </w:rPr>
              <w:fldChar w:fldCharType="begin"/>
            </w:r>
            <w:r>
              <w:rPr>
                <w:webHidden/>
              </w:rPr>
              <w:instrText xml:space="preserve">PAGEREF _Toc89109946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47">
            <w:r>
              <w:rPr>
                <w:webHidden/>
                <w:rStyle w:val="IndexLink"/>
                <w:rFonts w:eastAsia="" w:eastAsiaTheme="majorEastAsia"/>
                <w:vanish w:val="false"/>
              </w:rPr>
              <w:t>7.1.2.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Nivel de investigación</w:t>
            </w:r>
            <w:r>
              <w:rPr>
                <w:webHidden/>
              </w:rPr>
              <w:fldChar w:fldCharType="begin"/>
            </w:r>
            <w:r>
              <w:rPr>
                <w:webHidden/>
              </w:rPr>
              <w:instrText xml:space="preserve">PAGEREF _Toc89109947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48">
            <w:r>
              <w:rPr>
                <w:webHidden/>
                <w:rStyle w:val="IndexLink"/>
                <w:rFonts w:eastAsia="" w:eastAsiaTheme="majorEastAsia"/>
                <w:vanish w:val="false"/>
              </w:rPr>
              <w:t>7.2.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Población y muestra</w:t>
            </w:r>
            <w:r>
              <w:rPr>
                <w:webHidden/>
              </w:rPr>
              <w:fldChar w:fldCharType="begin"/>
            </w:r>
            <w:r>
              <w:rPr>
                <w:webHidden/>
              </w:rPr>
              <w:instrText xml:space="preserve">PAGEREF _Toc89109948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49">
            <w:r>
              <w:rPr>
                <w:webHidden/>
                <w:rStyle w:val="IndexLink"/>
                <w:rFonts w:eastAsia="" w:eastAsiaTheme="majorEastAsia"/>
                <w:vanish w:val="false"/>
              </w:rPr>
              <w:t>7.2.1.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Población</w:t>
            </w:r>
            <w:r>
              <w:rPr>
                <w:webHidden/>
              </w:rPr>
              <w:fldChar w:fldCharType="begin"/>
            </w:r>
            <w:r>
              <w:rPr>
                <w:webHidden/>
              </w:rPr>
              <w:instrText xml:space="preserve">PAGEREF _Toc89109949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50">
            <w:r>
              <w:rPr>
                <w:webHidden/>
                <w:rStyle w:val="IndexLink"/>
                <w:rFonts w:eastAsia="" w:eastAsiaTheme="majorEastAsia"/>
                <w:vanish w:val="false"/>
              </w:rPr>
              <w:t>7.2.2.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Muestra</w:t>
            </w:r>
            <w:r>
              <w:rPr>
                <w:webHidden/>
              </w:rPr>
              <w:fldChar w:fldCharType="begin"/>
            </w:r>
            <w:r>
              <w:rPr>
                <w:webHidden/>
              </w:rPr>
              <w:instrText xml:space="preserve">PAGEREF _Toc89109950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51">
            <w:r>
              <w:rPr>
                <w:webHidden/>
                <w:rStyle w:val="IndexLink"/>
                <w:rFonts w:eastAsia="" w:eastAsiaTheme="majorEastAsia"/>
                <w:vanish w:val="false"/>
              </w:rPr>
              <w:t>7.3.</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Fuentes de información</w:t>
            </w:r>
            <w:r>
              <w:rPr>
                <w:webHidden/>
              </w:rPr>
              <w:fldChar w:fldCharType="begin"/>
            </w:r>
            <w:r>
              <w:rPr>
                <w:webHidden/>
              </w:rPr>
              <w:instrText xml:space="preserve">PAGEREF _Toc89109951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52">
            <w:r>
              <w:rPr>
                <w:webHidden/>
                <w:rStyle w:val="IndexLink"/>
                <w:rFonts w:eastAsia="" w:eastAsiaTheme="majorEastAsia"/>
                <w:vanish w:val="false"/>
              </w:rPr>
              <w:t>7.4.</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Diseño de investigación</w:t>
            </w:r>
            <w:r>
              <w:rPr>
                <w:webHidden/>
              </w:rPr>
              <w:fldChar w:fldCharType="begin"/>
            </w:r>
            <w:r>
              <w:rPr>
                <w:webHidden/>
              </w:rPr>
              <w:instrText xml:space="preserve">PAGEREF _Toc89109952 \h</w:instrText>
            </w:r>
            <w:r>
              <w:rPr>
                <w:webHidden/>
              </w:rPr>
              <w:fldChar w:fldCharType="separate"/>
            </w:r>
            <w:r>
              <w:rPr>
                <w:rStyle w:val="IndexLink"/>
                <w:vanish w:val="false"/>
              </w:rPr>
              <w:tab/>
              <w:t>28</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53">
            <w:r>
              <w:rPr>
                <w:webHidden/>
                <w:rStyle w:val="IndexLink"/>
                <w:rFonts w:eastAsia="" w:eastAsiaTheme="majorEastAsia"/>
                <w:vanish w:val="false"/>
              </w:rPr>
              <w:t>7.5.</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Técnicas e instrumentos</w:t>
            </w:r>
            <w:r>
              <w:rPr>
                <w:webHidden/>
              </w:rPr>
              <w:fldChar w:fldCharType="begin"/>
            </w:r>
            <w:r>
              <w:rPr>
                <w:webHidden/>
              </w:rPr>
              <w:instrText xml:space="preserve">PAGEREF _Toc89109953 \h</w:instrText>
            </w:r>
            <w:r>
              <w:rPr>
                <w:webHidden/>
              </w:rPr>
              <w:fldChar w:fldCharType="separate"/>
            </w:r>
            <w:r>
              <w:rPr>
                <w:rStyle w:val="IndexLink"/>
                <w:vanish w:val="false"/>
              </w:rPr>
              <w:tab/>
              <w:t>28</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54">
            <w:r>
              <w:rPr>
                <w:webHidden/>
                <w:rStyle w:val="IndexLink"/>
                <w:rFonts w:eastAsia="" w:eastAsiaTheme="majorEastAsia"/>
                <w:vanish w:val="false"/>
              </w:rPr>
              <w:t>7.5.1.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Técnicas</w:t>
            </w:r>
            <w:r>
              <w:rPr>
                <w:webHidden/>
              </w:rPr>
              <w:fldChar w:fldCharType="begin"/>
            </w:r>
            <w:r>
              <w:rPr>
                <w:webHidden/>
              </w:rPr>
              <w:instrText xml:space="preserve">PAGEREF _Toc89109954 \h</w:instrText>
            </w:r>
            <w:r>
              <w:rPr>
                <w:webHidden/>
              </w:rPr>
              <w:fldChar w:fldCharType="separate"/>
            </w:r>
            <w:r>
              <w:rPr>
                <w:rStyle w:val="IndexLink"/>
                <w:vanish w:val="false"/>
              </w:rPr>
              <w:tab/>
              <w:t>28</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55">
            <w:r>
              <w:rPr>
                <w:webHidden/>
                <w:rStyle w:val="IndexLink"/>
                <w:rFonts w:eastAsia="" w:eastAsiaTheme="majorEastAsia"/>
                <w:vanish w:val="false"/>
              </w:rPr>
              <w:t>7.5.2.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Instrumentos</w:t>
            </w:r>
            <w:r>
              <w:rPr>
                <w:webHidden/>
              </w:rPr>
              <w:fldChar w:fldCharType="begin"/>
            </w:r>
            <w:r>
              <w:rPr>
                <w:webHidden/>
              </w:rPr>
              <w:instrText xml:space="preserve">PAGEREF _Toc89109955 \h</w:instrText>
            </w:r>
            <w:r>
              <w:rPr>
                <w:webHidden/>
              </w:rPr>
              <w:fldChar w:fldCharType="separate"/>
            </w:r>
            <w:r>
              <w:rPr>
                <w:rStyle w:val="IndexLink"/>
                <w:vanish w:val="false"/>
              </w:rPr>
              <w:tab/>
              <w:t>28</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56">
            <w:r>
              <w:rPr>
                <w:webHidden/>
                <w:rStyle w:val="IndexLink"/>
                <w:rFonts w:eastAsia="" w:eastAsiaTheme="majorEastAsia"/>
                <w:vanish w:val="false"/>
              </w:rPr>
              <w:t>VIII.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REFERENCIAS BIBLIOGRÁFICAS</w:t>
            </w:r>
            <w:r>
              <w:rPr>
                <w:webHidden/>
              </w:rPr>
              <w:fldChar w:fldCharType="begin"/>
            </w:r>
            <w:r>
              <w:rPr>
                <w:webHidden/>
              </w:rPr>
              <w:instrText xml:space="preserve">PAGEREF _Toc89109956 \h</w:instrText>
            </w:r>
            <w:r>
              <w:rPr>
                <w:webHidden/>
              </w:rPr>
              <w:fldChar w:fldCharType="separate"/>
            </w:r>
            <w:r>
              <w:rPr>
                <w:rStyle w:val="IndexLink"/>
                <w:vanish w:val="false"/>
              </w:rPr>
              <w:tab/>
              <w:t>29</w:t>
            </w:r>
            <w:r>
              <w:rPr>
                <w:webHidden/>
              </w:rPr>
              <w:fldChar w:fldCharType="end"/>
            </w:r>
          </w:hyperlink>
          <w:r>
            <w:rPr>
              <w:rStyle w:val="IndexLink"/>
              <w:vanish w:val="false"/>
            </w:rPr>
            <w:fldChar w:fldCharType="end"/>
          </w:r>
        </w:p>
      </w:sdtContent>
    </w:sdt>
    <w:p>
      <w:pPr>
        <w:pStyle w:val="Normal"/>
        <w:jc w:val="both"/>
        <w:rPr/>
      </w:pPr>
      <w:r>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keepNext w:val="true"/>
        <w:keepLines/>
        <w:spacing w:lineRule="auto" w:line="259" w:before="240" w:after="0"/>
        <w:ind w:left="360" w:hanging="360"/>
        <w:jc w:val="center"/>
        <w:rPr>
          <w:rFonts w:eastAsia="Calibri"/>
          <w:sz w:val="32"/>
          <w:szCs w:val="32"/>
        </w:rPr>
      </w:pPr>
      <w:r>
        <w:rPr>
          <w:rFonts w:eastAsia="Calibri"/>
          <w:sz w:val="32"/>
          <w:szCs w:val="32"/>
        </w:rPr>
        <w:t>Índice de tablas</w:t>
      </w:r>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r>
        <w:fldChar w:fldCharType="begin"/>
      </w:r>
      <w:r>
        <w:rPr>
          <w:rStyle w:val="IndexLink"/>
          <w:b/>
          <w:bCs/>
        </w:rPr>
        <w:instrText xml:space="preserve"> TOC \c "Tabla" </w:instrText>
      </w:r>
      <w:r>
        <w:rPr>
          <w:rStyle w:val="IndexLink"/>
          <w:b/>
          <w:bCs/>
        </w:rPr>
        <w:fldChar w:fldCharType="separate"/>
      </w:r>
      <w:hyperlink w:anchor="_Toc89105894">
        <w:r>
          <w:rPr>
            <w:rStyle w:val="IndexLink"/>
            <w:b/>
            <w:bCs/>
          </w:rPr>
          <w:t>Tabla 1</w:t>
        </w:r>
        <w:r>
          <w:rPr>
            <w:webHidden/>
          </w:rPr>
          <w:fldChar w:fldCharType="begin"/>
        </w:r>
        <w:r>
          <w:rPr>
            <w:webHidden/>
          </w:rPr>
          <w:instrText xml:space="preserve">PAGEREF _Toc89105894 \h</w:instrText>
        </w:r>
        <w:r>
          <w:rPr>
            <w:webHidden/>
          </w:rPr>
          <w:fldChar w:fldCharType="separate"/>
        </w:r>
        <w:r>
          <w:rPr>
            <w:rStyle w:val="IndexLink"/>
            <w:vanish w:val="false"/>
          </w:rPr>
          <w:tab/>
          <w:t>26</w:t>
        </w:r>
        <w:r>
          <w:rPr>
            <w:webHidden/>
          </w:rPr>
          <w:fldChar w:fldCharType="end"/>
        </w:r>
      </w:hyperlink>
      <w:r>
        <w:rPr>
          <w:rStyle w:val="IndexLink"/>
          <w:vanish w:val="false"/>
        </w:rPr>
        <w:fldChar w:fldCharType="end"/>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ind w:firstLine="720"/>
        <w:jc w:val="both"/>
        <w:rPr>
          <w:color w:val="000000"/>
        </w:rPr>
      </w:pPr>
      <w:r>
        <w:rPr>
          <w:color w:val="000000"/>
        </w:rPr>
      </w:r>
    </w:p>
    <w:p>
      <w:pPr>
        <w:pStyle w:val="Normal"/>
        <w:keepNext w:val="true"/>
        <w:keepLines/>
        <w:spacing w:lineRule="auto" w:line="259" w:before="240" w:after="0"/>
        <w:ind w:left="360" w:hanging="360"/>
        <w:jc w:val="center"/>
        <w:rPr>
          <w:rFonts w:eastAsia="Calibri"/>
          <w:sz w:val="32"/>
          <w:szCs w:val="32"/>
        </w:rPr>
      </w:pPr>
      <w:r>
        <w:rPr>
          <w:rFonts w:eastAsia="Calibri"/>
          <w:sz w:val="32"/>
          <w:szCs w:val="32"/>
        </w:rPr>
        <w:t>Índice de figuras</w:t>
      </w:r>
    </w:p>
    <w:p>
      <w:pPr>
        <w:pStyle w:val="Normal"/>
        <w:jc w:val="both"/>
        <w:rPr/>
      </w:pPr>
      <w:r>
        <w:rPr/>
      </w:r>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r>
        <w:fldChar w:fldCharType="begin"/>
      </w:r>
      <w:r>
        <w:rPr>
          <w:rStyle w:val="IndexLink"/>
          <w:b/>
          <w:bCs/>
        </w:rPr>
        <w:instrText xml:space="preserve"> TOC \c "Figura" </w:instrText>
      </w:r>
      <w:r>
        <w:rPr>
          <w:rStyle w:val="IndexLink"/>
          <w:b/>
          <w:bCs/>
        </w:rPr>
        <w:fldChar w:fldCharType="separate"/>
      </w:r>
      <w:hyperlink w:anchor="_Toc89109883">
        <w:r>
          <w:rPr>
            <w:rStyle w:val="IndexLink"/>
            <w:b/>
            <w:bCs/>
          </w:rPr>
          <w:t>Figura 1</w:t>
        </w:r>
        <w:r>
          <w:rPr>
            <w:webHidden/>
          </w:rPr>
          <w:fldChar w:fldCharType="begin"/>
        </w:r>
        <w:r>
          <w:rPr>
            <w:webHidden/>
          </w:rPr>
          <w:instrText xml:space="preserve">PAGEREF _Toc89109883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884">
        <w:r>
          <w:rPr>
            <w:rStyle w:val="IndexLink"/>
            <w:b/>
            <w:bCs/>
          </w:rPr>
          <w:t>Figura 2</w:t>
        </w:r>
        <w:r>
          <w:rPr>
            <w:webHidden/>
          </w:rPr>
          <w:fldChar w:fldCharType="begin"/>
        </w:r>
        <w:r>
          <w:rPr>
            <w:webHidden/>
          </w:rPr>
          <w:instrText xml:space="preserve">PAGEREF _Toc89109884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885">
        <w:r>
          <w:rPr>
            <w:rStyle w:val="IndexLink"/>
            <w:b/>
            <w:bCs/>
          </w:rPr>
          <w:t>Figura 3</w:t>
        </w:r>
        <w:r>
          <w:rPr>
            <w:webHidden/>
          </w:rPr>
          <w:fldChar w:fldCharType="begin"/>
        </w:r>
        <w:r>
          <w:rPr>
            <w:webHidden/>
          </w:rPr>
          <w:instrText xml:space="preserve">PAGEREF _Toc89109885 \h</w:instrText>
        </w:r>
        <w:r>
          <w:rPr>
            <w:webHidden/>
          </w:rPr>
          <w:fldChar w:fldCharType="separate"/>
        </w:r>
        <w:r>
          <w:rPr>
            <w:rStyle w:val="IndexLink"/>
            <w:vanish w:val="false"/>
          </w:rPr>
          <w:tab/>
          <w:t>11</w:t>
        </w:r>
        <w:r>
          <w:rPr>
            <w:webHidden/>
          </w:rPr>
          <w:fldChar w:fldCharType="end"/>
        </w:r>
      </w:hyperlink>
      <w:r>
        <w:rPr>
          <w:rStyle w:val="IndexLink"/>
          <w:vanish w:val="false"/>
        </w:rPr>
        <w:fldChar w:fldCharType="end"/>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Heading1"/>
        <w:rPr/>
      </w:pPr>
      <w:bookmarkStart w:id="1" w:name="_Toc89109896"/>
      <w:r>
        <w:rPr/>
        <w:t>PLANTEAMIENTO DEL PROBLEMA</w:t>
      </w:r>
      <w:bookmarkEnd w:id="1"/>
    </w:p>
    <w:p>
      <w:pPr>
        <w:pStyle w:val="Heading2"/>
        <w:numPr>
          <w:ilvl w:val="0"/>
          <w:numId w:val="7"/>
        </w:numPr>
        <w:rPr/>
      </w:pPr>
      <w:r>
        <w:rPr/>
        <w:t xml:space="preserve"> </w:t>
      </w:r>
      <w:bookmarkStart w:id="2" w:name="_Toc89109897"/>
      <w:r>
        <w:rPr/>
        <w:t>Enunciado del problema</w:t>
      </w:r>
      <w:bookmarkEnd w:id="2"/>
    </w:p>
    <w:p>
      <w:pPr>
        <w:pStyle w:val="Normal"/>
        <w:ind w:firstLine="720"/>
        <w:jc w:val="both"/>
        <w:rPr>
          <w:color w:val="000000"/>
        </w:rPr>
      </w:pPr>
      <w:r>
        <w:rPr>
          <w:color w:val="000000"/>
        </w:rPr>
        <w:t xml:space="preserve">La Organización para la Cooperación y el Desarrollo Económicos </w:t>
      </w:r>
      <w:r>
        <w:rPr>
          <w:color w:val="000000"/>
          <w:lang w:val="es-MX"/>
        </w:rPr>
        <w:t>(2018)</w:t>
      </w:r>
      <w:r>
        <w:rPr>
          <w:color w:val="000000"/>
        </w:rPr>
        <w:t>, afirma que “la desigualdad económica es el distinto reparto de los ingresos, los activos o el bienestar entre el conjunto de habitantes”.</w:t>
      </w:r>
    </w:p>
    <w:p>
      <w:pPr>
        <w:pStyle w:val="Normal"/>
        <w:ind w:firstLine="720"/>
        <w:jc w:val="both"/>
        <w:rPr>
          <w:color w:val="000000"/>
        </w:rPr>
      </w:pPr>
      <w:r>
        <w:rPr>
          <w:color w:val="000000"/>
        </w:rPr>
        <w:t xml:space="preserve">Latinoamérica es la región más desigual de la región en términos socioeconómicos; según </w:t>
      </w:r>
      <w:r>
        <w:rPr>
          <w:color w:val="000000"/>
          <w:lang w:val="es-MX"/>
        </w:rPr>
        <w:t>Lustig (2011),</w:t>
      </w:r>
      <w:r>
        <w:rPr>
          <w:color w:val="000000"/>
        </w:rPr>
        <w:t xml:space="preserve"> “la región latinoamericana es 19% más desigual que el África subsahariana, 37 más desigual que el este asiático y 65% más desigual que los países desarrollados”.  En efecto América Latina es, hoy, la región sin guerras más desigual del planeta: más que India, más que algunos países de África Subsahariana.</w:t>
      </w:r>
    </w:p>
    <w:p>
      <w:pPr>
        <w:pStyle w:val="Normal"/>
        <w:ind w:firstLine="720"/>
        <w:jc w:val="both"/>
        <w:rPr>
          <w:color w:val="000000"/>
        </w:rPr>
      </w:pPr>
      <w:r>
        <w:rPr>
          <w:color w:val="000000"/>
        </w:rPr>
        <w:t>La desigualdad socio económica impide luchar contra la pobreza, ampara a los grupos vulnerables de vivir en la pobreza sin acceso a un trabajo decente, servicios básicos, exposición a una nutrición malsana o falta de vivienda digna. Se excluye el estatus social y los individuos y familias continúan existiendo.</w:t>
      </w:r>
    </w:p>
    <w:sdt>
      <w:sdtPr>
        <w:id w:val="737009742"/>
        <w:placeholder>
          <w:docPart w:val="DefaultPlaceholder_-1854013440"/>
        </w:placeholder>
      </w:sdtPr>
      <w:sdtContent>
        <w:p>
          <w:pPr>
            <w:pStyle w:val="Normal"/>
            <w:ind w:firstLine="720"/>
            <w:jc w:val="both"/>
            <w:rPr>
              <w:color w:val="000000"/>
            </w:rPr>
          </w:pPr>
          <w:r>
            <w:rPr>
              <w:color w:val="000000"/>
            </w:rPr>
            <w:t>En este sentido es evidente la importancia de entender la pobreza. (Ravallion et al., 1991)</w:t>
          </w:r>
          <w:r>
            <w:rPr>
              <w:color w:val="000000"/>
              <w:lang w:val="es-MX"/>
            </w:rPr>
            <w:t xml:space="preserve">, </w:t>
          </w:r>
          <w:r>
            <w:rPr>
              <w:color w:val="000000"/>
            </w:rPr>
            <w:t xml:space="preserve">afirman que la pobreza alude a niveles de vida.  "Esto es: ¿cuántas personas no pueden satisfacer ciertas necesidades predeterminadas de consumo y acceso amplio a bienes públicos (servicios de salud, educación, vivienda)?" </w:t>
          </w:r>
        </w:p>
        <w:p>
          <w:pPr>
            <w:pStyle w:val="Normal"/>
            <w:ind w:firstLine="720"/>
            <w:jc w:val="both"/>
            <w:rPr>
              <w:color w:val="000000"/>
            </w:rPr>
          </w:pPr>
          <w:r>
            <w:rPr>
              <w:color w:val="000000"/>
            </w:rPr>
            <w:t xml:space="preserve">Según el Instituto Nacional de Estadística e Informática (2000) “La pobreza es una condición en la cual una o más personas tienen un nivel de bienestar inferior al mínimo socialmente aceptado.” </w:t>
          </w:r>
        </w:p>
        <w:p>
          <w:pPr>
            <w:pStyle w:val="Normal"/>
            <w:ind w:firstLine="720"/>
            <w:jc w:val="both"/>
            <w:rPr>
              <w:color w:val="000000"/>
            </w:rPr>
          </w:pPr>
          <w:r>
            <w:rPr>
              <w:color w:val="000000"/>
            </w:rPr>
            <w:t>Las estadísticas indican que desde el año 2000 se ha conseguido reducir la tasa de incidencia de la pobreza en el Perú.</w:t>
          </w:r>
        </w:p>
        <w:p>
          <w:pPr>
            <w:pStyle w:val="Normal"/>
            <w:ind w:firstLine="720"/>
            <w:jc w:val="both"/>
            <w:rPr>
              <w:color w:val="000000"/>
            </w:rPr>
          </w:pPr>
          <w:r>
            <w:rPr>
              <w:color w:val="000000"/>
            </w:rPr>
            <w:t>El siguiente cuadro del Banco Mundial se presenta la tasa de incidencia de la pobreza, en relación a la base de la línea de pobreza nacional (% de la población) para el periodo 2004 – 2019</w:t>
          </w:r>
        </w:p>
        <w:p>
          <w:pPr>
            <w:pStyle w:val="TITULOTablasyFiguras"/>
            <w:rPr>
              <w:b/>
              <w:b/>
              <w:bCs/>
              <w:i w:val="false"/>
              <w:i w:val="false"/>
              <w:iCs w:val="false"/>
              <w:color w:val="auto"/>
            </w:rPr>
          </w:pPr>
          <w:bookmarkStart w:id="3" w:name="_Toc89109883"/>
          <w:r>
            <w:rPr>
              <w:b/>
              <w:bCs/>
              <w:i w:val="false"/>
              <w:iCs w:val="false"/>
              <w:color w:val="auto"/>
            </w:rPr>
            <w:t xml:space="preserve">Figura </w:t>
          </w:r>
          <w:bookmarkEnd w:id="3"/>
          <w:r>
            <w:rPr>
              <w:b/>
              <w:bCs/>
              <w:i w:val="false"/>
              <w:iCs w:val="false"/>
              <w:color w:val="auto"/>
            </w:rPr>
            <w:fldChar w:fldCharType="begin"/>
          </w:r>
          <w:r>
            <w:rPr>
              <w:i w:val="false"/>
              <w:b/>
              <w:iCs w:val="false"/>
              <w:bCs/>
              <w:color w:val="auto"/>
            </w:rPr>
            <w:instrText xml:space="preserve"> SEQ Figura \* ARABIC </w:instrText>
          </w:r>
          <w:r>
            <w:rPr>
              <w:i w:val="false"/>
              <w:b/>
              <w:iCs w:val="false"/>
              <w:bCs/>
              <w:color w:val="auto"/>
            </w:rPr>
            <w:fldChar w:fldCharType="separate"/>
          </w:r>
          <w:r>
            <w:rPr>
              <w:i w:val="false"/>
              <w:b/>
              <w:iCs w:val="false"/>
              <w:bCs/>
              <w:color w:val="auto"/>
            </w:rPr>
            <w:t>1</w:t>
          </w:r>
          <w:r>
            <w:rPr>
              <w:i w:val="false"/>
              <w:b/>
              <w:iCs w:val="false"/>
              <w:bCs/>
              <w:color w:val="auto"/>
            </w:rPr>
            <w:fldChar w:fldCharType="end"/>
          </w:r>
          <w:r>
            <w:rPr>
              <w:b/>
              <w:bCs/>
              <w:i w:val="false"/>
              <w:iCs w:val="false"/>
              <w:color w:val="auto"/>
            </w:rPr>
            <w:t xml:space="preserve"> </w:t>
          </w:r>
        </w:p>
        <w:p>
          <w:pPr>
            <w:pStyle w:val="TITULOTablasyFiguras"/>
            <w:rPr>
              <w:b/>
              <w:b/>
              <w:bCs/>
              <w:i w:val="false"/>
              <w:i w:val="false"/>
              <w:iCs w:val="false"/>
              <w:color w:val="auto"/>
            </w:rPr>
          </w:pPr>
          <w:r>
            <w:rPr>
              <w:color w:val="auto"/>
            </w:rPr>
            <w:t>Tasa de incidencia de la pobreza, sobre la base de la línea de pobreza nacional (% de la población) – Perú.</w:t>
          </w:r>
        </w:p>
        <w:p>
          <w:pPr>
            <w:pStyle w:val="TITULOTablasyFiguras"/>
            <w:rPr>
              <w:color w:val="auto"/>
            </w:rPr>
          </w:pPr>
          <w:r>
            <w:rPr/>
            <w:drawing>
              <wp:inline distT="0" distB="0" distL="0" distR="0">
                <wp:extent cx="5400040" cy="287972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NotasAPA"/>
            <w:rPr/>
          </w:pPr>
          <w:r>
            <w:rPr/>
            <w:t xml:space="preserve">Nota: Elaboración propia </w:t>
          </w:r>
        </w:p>
        <w:p>
          <w:pPr>
            <w:pStyle w:val="NotasAPA"/>
            <w:rPr/>
          </w:pPr>
          <w:r>
            <w:rPr/>
            <w:t>Fuente: Banco mundial</w:t>
          </w:r>
        </w:p>
        <w:p>
          <w:pPr>
            <w:pStyle w:val="Normal"/>
            <w:ind w:firstLine="720"/>
            <w:jc w:val="both"/>
            <w:rPr>
              <w:color w:val="000000"/>
            </w:rPr>
          </w:pPr>
          <w:r>
            <w:rPr>
              <w:color w:val="000000"/>
            </w:rPr>
            <w:t xml:space="preserve">Donde precisa que la tasa de incidencia de la pobreza entre 2004 y 2019 se redujo en 38.5%. señala también que el principal periodo de reducción fue entre 2004 y 2011. </w:t>
          </w:r>
        </w:p>
        <w:p>
          <w:pPr>
            <w:pStyle w:val="Normal"/>
            <w:ind w:firstLine="720"/>
            <w:jc w:val="both"/>
            <w:rPr>
              <w:color w:val="000000"/>
            </w:rPr>
          </w:pPr>
          <w:r>
            <w:rPr>
              <w:color w:val="000000"/>
            </w:rPr>
            <w:t xml:space="preserve">Los años 2002 a 2016 la tasa de pobreza bajo de 54,30% a 20,7% y la extrema pobreza de 24.2% a 3.8%, ya que, en los gobiernos de Alejandro Toledo, Alan García y Ollanta Humana la tasa de pobreza se redujo en 5,2%, 21,4%, 7,03% y la extrema pobreza en 10,4%, 7,5%; 2,54%, respectivamente, llegando para el año 2018 con 20,50% de pobreza y 2,8% de extrema pobreza, con predisposición a seguir descendiendo. </w:t>
          </w:r>
        </w:p>
        <w:p>
          <w:pPr>
            <w:pStyle w:val="Normal"/>
            <w:ind w:firstLine="720"/>
            <w:jc w:val="both"/>
            <w:rPr>
              <w:color w:val="000000"/>
            </w:rPr>
          </w:pPr>
          <w:r>
            <w:rPr>
              <w:color w:val="000000"/>
            </w:rPr>
            <w:t>La tasa de pobreza pasó de 54% en 1990 a 20,50% para 2018 y la extrema pobreza de 24.2% a 2.8% en el mismo periodo de años, reduciéndose significativamente la pobreza y extrema pobreza en 33,5% y 21.4% respectivamente; esto como consecuencia del crecimiento económico sostenido, lo cual implicó un aumento del gasto social, aumento de la inversión pública y una mejora en la calidad y focalización de los programas sociales.</w:t>
          </w:r>
        </w:p>
        <w:p>
          <w:pPr>
            <w:pStyle w:val="Normal"/>
            <w:ind w:firstLine="720"/>
            <w:jc w:val="both"/>
            <w:rPr>
              <w:color w:val="000000"/>
            </w:rPr>
          </w:pPr>
          <w:r>
            <w:rPr>
              <w:color w:val="000000"/>
            </w:rPr>
            <w:t>En los periodos 2001 a 2010, la pobreza decreció en 23,5 puntos porcentuales, al pasar de 54,8% a 31,3% en el 2010.</w:t>
          </w:r>
        </w:p>
        <w:p>
          <w:pPr>
            <w:pStyle w:val="TITULOTablasyFiguras"/>
            <w:rPr>
              <w:b/>
              <w:b/>
              <w:bCs/>
              <w:i w:val="false"/>
              <w:i w:val="false"/>
              <w:iCs w:val="false"/>
              <w:color w:val="auto"/>
            </w:rPr>
          </w:pPr>
          <w:bookmarkStart w:id="4" w:name="_Toc89109884"/>
          <w:r>
            <w:rPr>
              <w:b/>
              <w:bCs/>
              <w:i w:val="false"/>
              <w:iCs w:val="false"/>
              <w:color w:val="auto"/>
            </w:rPr>
            <w:t xml:space="preserve">Figura </w:t>
          </w:r>
          <w:bookmarkEnd w:id="4"/>
          <w:r>
            <w:rPr>
              <w:b/>
              <w:bCs/>
              <w:i w:val="false"/>
              <w:iCs w:val="false"/>
              <w:color w:val="auto"/>
            </w:rPr>
            <w:fldChar w:fldCharType="begin"/>
          </w:r>
          <w:r>
            <w:rPr>
              <w:i w:val="false"/>
              <w:b/>
              <w:iCs w:val="false"/>
              <w:bCs/>
              <w:color w:val="auto"/>
            </w:rPr>
            <w:instrText xml:space="preserve"> SEQ Figura \* ARABIC </w:instrText>
          </w:r>
          <w:r>
            <w:rPr>
              <w:i w:val="false"/>
              <w:b/>
              <w:iCs w:val="false"/>
              <w:bCs/>
              <w:color w:val="auto"/>
            </w:rPr>
            <w:fldChar w:fldCharType="separate"/>
          </w:r>
          <w:r>
            <w:rPr>
              <w:i w:val="false"/>
              <w:b/>
              <w:iCs w:val="false"/>
              <w:bCs/>
              <w:color w:val="auto"/>
            </w:rPr>
            <w:t>2</w:t>
          </w:r>
          <w:r>
            <w:rPr>
              <w:i w:val="false"/>
              <w:b/>
              <w:iCs w:val="false"/>
              <w:bCs/>
              <w:color w:val="auto"/>
            </w:rPr>
            <w:fldChar w:fldCharType="end"/>
          </w:r>
          <w:r>
            <w:rPr>
              <w:b/>
              <w:bCs/>
              <w:i w:val="false"/>
              <w:iCs w:val="false"/>
              <w:color w:val="auto"/>
            </w:rPr>
            <w:t xml:space="preserve"> </w:t>
          </w:r>
        </w:p>
        <w:p>
          <w:pPr>
            <w:pStyle w:val="TITULOTablasyFiguras"/>
            <w:rPr>
              <w:b/>
              <w:b/>
              <w:bCs/>
              <w:i w:val="false"/>
              <w:i w:val="false"/>
              <w:iCs w:val="false"/>
              <w:color w:val="auto"/>
            </w:rPr>
          </w:pPr>
          <w:r>
            <w:rPr>
              <w:color w:val="auto"/>
            </w:rPr>
            <w:t xml:space="preserve">Evolución de la tasa de pobreza, 2001-2010 (% de la población total) </w:t>
          </w:r>
        </w:p>
        <w:p>
          <w:pPr>
            <w:pStyle w:val="TITULOTablasyFiguras"/>
            <w:rPr>
              <w:color w:val="auto"/>
            </w:rPr>
          </w:pPr>
          <w:r>
            <w:rPr/>
            <w:drawing>
              <wp:inline distT="0" distB="0" distL="0" distR="0">
                <wp:extent cx="5400040" cy="287972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pPr>
            <w:pStyle w:val="NotasAPA"/>
            <w:rPr/>
          </w:pPr>
          <w:r>
            <w:rPr/>
            <w:t>Nota: Elaboración propia</w:t>
          </w:r>
        </w:p>
        <w:p>
          <w:pPr>
            <w:pStyle w:val="NotasAPA"/>
            <w:rPr/>
          </w:pPr>
          <w:r>
            <w:rPr/>
            <w:t>Fuente: Banco mundial</w:t>
          </w:r>
        </w:p>
        <w:p>
          <w:pPr>
            <w:pStyle w:val="NotasAPA"/>
            <w:rPr/>
          </w:pPr>
          <w:r>
            <w:rPr/>
          </w:r>
        </w:p>
        <w:p>
          <w:pPr>
            <w:pStyle w:val="Normal"/>
            <w:ind w:firstLine="720"/>
            <w:jc w:val="both"/>
            <w:rPr>
              <w:color w:val="000000"/>
            </w:rPr>
          </w:pPr>
          <w:r>
            <w:rPr>
              <w:color w:val="000000"/>
            </w:rPr>
            <w:t>Mientras que en año 2017, 6 millones 906 mil de personas (21,7%), se encontraban en situación de pobreza, lo que significa que estas personas tenían un nivel de gasto por debajo del costo de la canasta básica de consumo. Comparando este resultado con los niveles del año 2016, se puede observar que la tasa de pobreza ha aumentado en 1,0%, equivalente a 375.000 pobres, más que en 2016.</w:t>
          </w:r>
        </w:p>
        <w:p>
          <w:pPr>
            <w:pStyle w:val="TITULOTablasyFiguras"/>
            <w:rPr>
              <w:b/>
              <w:b/>
              <w:bCs/>
              <w:i w:val="false"/>
              <w:i w:val="false"/>
              <w:iCs w:val="false"/>
              <w:color w:val="auto"/>
            </w:rPr>
          </w:pPr>
          <w:bookmarkStart w:id="5" w:name="_Toc89109885"/>
          <w:r>
            <w:rPr>
              <w:b/>
              <w:bCs/>
              <w:i w:val="false"/>
              <w:iCs w:val="false"/>
              <w:color w:val="auto"/>
            </w:rPr>
            <w:t xml:space="preserve">Figura </w:t>
          </w:r>
          <w:bookmarkEnd w:id="5"/>
          <w:r>
            <w:rPr>
              <w:b/>
              <w:bCs/>
              <w:i w:val="false"/>
              <w:iCs w:val="false"/>
              <w:color w:val="auto"/>
            </w:rPr>
            <w:fldChar w:fldCharType="begin"/>
          </w:r>
          <w:r>
            <w:rPr>
              <w:i w:val="false"/>
              <w:b/>
              <w:iCs w:val="false"/>
              <w:bCs/>
              <w:color w:val="auto"/>
            </w:rPr>
            <w:instrText xml:space="preserve"> SEQ Figura \* ARABIC </w:instrText>
          </w:r>
          <w:r>
            <w:rPr>
              <w:i w:val="false"/>
              <w:b/>
              <w:iCs w:val="false"/>
              <w:bCs/>
              <w:color w:val="auto"/>
            </w:rPr>
            <w:fldChar w:fldCharType="separate"/>
          </w:r>
          <w:r>
            <w:rPr>
              <w:i w:val="false"/>
              <w:b/>
              <w:iCs w:val="false"/>
              <w:bCs/>
              <w:color w:val="auto"/>
            </w:rPr>
            <w:t>3</w:t>
          </w:r>
          <w:r>
            <w:rPr>
              <w:i w:val="false"/>
              <w:b/>
              <w:iCs w:val="false"/>
              <w:bCs/>
              <w:color w:val="auto"/>
            </w:rPr>
            <w:fldChar w:fldCharType="end"/>
          </w:r>
          <w:r>
            <w:rPr>
              <w:b/>
              <w:bCs/>
              <w:i w:val="false"/>
              <w:iCs w:val="false"/>
              <w:color w:val="auto"/>
            </w:rPr>
            <w:t xml:space="preserve"> </w:t>
          </w:r>
        </w:p>
        <w:p>
          <w:pPr>
            <w:pStyle w:val="TITULOTablasyFiguras"/>
            <w:rPr>
              <w:i w:val="false"/>
              <w:i w:val="false"/>
            </w:rPr>
          </w:pPr>
          <w:r>
            <w:rPr>
              <w:color w:val="auto"/>
            </w:rPr>
            <w:t>Evolución de</w:t>
          </w:r>
          <w:r>
            <w:rPr>
              <w:i w:val="false"/>
            </w:rPr>
            <w:t xml:space="preserve"> la tasa de pobreza, 2001-2010 (% de la población total)</w:t>
          </w:r>
        </w:p>
        <w:p>
          <w:pPr>
            <w:pStyle w:val="Normal"/>
            <w:keepNext w:val="true"/>
            <w:ind w:firstLine="720"/>
            <w:jc w:val="both"/>
            <w:rPr/>
          </w:pPr>
          <w:r>
            <w:rPr/>
            <w:drawing>
              <wp:inline distT="0" distB="0" distL="0" distR="0">
                <wp:extent cx="5400040" cy="287972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NotasAPA"/>
            <w:rPr/>
          </w:pPr>
          <w:r>
            <w:rPr/>
            <w:t>Nota: Elaboración propia</w:t>
          </w:r>
        </w:p>
        <w:p>
          <w:pPr>
            <w:pStyle w:val="NotasAPA"/>
            <w:rPr/>
          </w:pPr>
          <w:r>
            <w:rPr/>
            <w:t>Fuente: INEI</w:t>
          </w:r>
        </w:p>
        <w:p>
          <w:pPr>
            <w:pStyle w:val="Normal"/>
            <w:ind w:firstLine="720"/>
            <w:jc w:val="both"/>
            <w:rPr>
              <w:color w:val="000000"/>
            </w:rPr>
          </w:pPr>
          <w:r>
            <w:rPr>
              <w:color w:val="000000"/>
            </w:rPr>
            <w:t>En 2019, el índice de pobreza monetaria afectó al 20,2% de la población del país, manteniendo casi el mismo nivel que en 2018; Así lo publicó el INEI, de acuerdo con los resultados de la Encuesta Nacional de Hogares (ENAHO) 2019. También señaló que la población en pobreza es considerada la población promedio. el gasto está por debajo del valor de la línea de pobreza (PL), el equivalente monetario de una canasta de productos básicos y alimenticios.</w:t>
          </w:r>
        </w:p>
        <w:p>
          <w:pPr>
            <w:pStyle w:val="Normal"/>
            <w:ind w:firstLine="720"/>
            <w:jc w:val="both"/>
            <w:rPr>
              <w:color w:val="000000"/>
            </w:rPr>
          </w:pPr>
          <w:r>
            <w:rPr>
              <w:color w:val="000000"/>
            </w:rPr>
            <w:t xml:space="preserve">Cuando se habla de pobreza también se hace referencia a la desigualdad social; un grupo social que es excluido ya que no cuenta con el mismo acceso a los recursos que otros grupos con poder si tienen, estas diferencias están marcadas con claridad entre las zonas urbanas y rurales. </w:t>
          </w:r>
        </w:p>
        <w:p>
          <w:pPr>
            <w:pStyle w:val="Normal"/>
            <w:ind w:firstLine="720"/>
            <w:jc w:val="both"/>
            <w:rPr>
              <w:color w:val="000000"/>
            </w:rPr>
          </w:pPr>
          <w:r>
            <w:rPr>
              <w:color w:val="000000"/>
            </w:rPr>
            <w:t>La aplicación errada de políticas públicas ha pronunciado aún más las diferencias, ya que no se ha permitido una integración de la multiculturalidad con la que cuenta el Perú, y muy por el contrario ha ocasionado un marcado distanciamiento entre ellos.</w:t>
          </w:r>
        </w:p>
        <w:p>
          <w:pPr>
            <w:pStyle w:val="Normal"/>
            <w:ind w:firstLine="720"/>
            <w:jc w:val="both"/>
            <w:rPr>
              <w:color w:val="000000"/>
            </w:rPr>
          </w:pPr>
          <w:r>
            <w:rPr>
              <w:color w:val="000000"/>
            </w:rPr>
            <w:t>En un contexto de crecimiento económico sostenido, es necesario mejorar la formulación y aplicación de las políticas del país, en objetivos puntuales de desarrollo y asistencia social con el firme objetivo de combatir la pobreza a largo plazo mejorar los estándares de vida de su población en conjunto.</w:t>
          </w:r>
        </w:p>
        <w:p>
          <w:pPr>
            <w:pStyle w:val="Heading2"/>
            <w:numPr>
              <w:ilvl w:val="0"/>
              <w:numId w:val="7"/>
            </w:numPr>
            <w:rPr/>
          </w:pPr>
          <w:r>
            <w:rPr/>
            <w:t xml:space="preserve"> </w:t>
          </w:r>
          <w:bookmarkStart w:id="6" w:name="_Toc89109898"/>
          <w:r>
            <w:rPr/>
            <w:t>Formulación del problema</w:t>
          </w:r>
          <w:bookmarkEnd w:id="6"/>
        </w:p>
        <w:p>
          <w:pPr>
            <w:pStyle w:val="Heading3"/>
            <w:numPr>
              <w:ilvl w:val="2"/>
              <w:numId w:val="2"/>
            </w:numPr>
            <w:rPr/>
          </w:pPr>
          <w:bookmarkStart w:id="7" w:name="_Toc89109899"/>
          <w:r>
            <w:rPr/>
            <w:t>Problema general</w:t>
          </w:r>
          <w:bookmarkEnd w:id="7"/>
        </w:p>
        <w:p>
          <w:pPr>
            <w:pStyle w:val="APAPrrafo"/>
            <w:rPr/>
          </w:pPr>
          <w:r>
            <w:rPr/>
            <w:t>¿Cómo la desigualdad socioeconómica determina el grado de pobreza en el departamento de Ayacucho, periodo 2000-2019?</w:t>
          </w:r>
        </w:p>
        <w:p>
          <w:pPr>
            <w:pStyle w:val="Heading3"/>
            <w:numPr>
              <w:ilvl w:val="2"/>
              <w:numId w:val="2"/>
            </w:numPr>
            <w:rPr/>
          </w:pPr>
          <w:bookmarkStart w:id="8" w:name="_Toc89109900"/>
          <w:r>
            <w:rPr/>
            <w:t>Problemas específicos</w:t>
          </w:r>
          <w:bookmarkEnd w:id="8"/>
          <w:r>
            <w:rPr/>
            <w:t xml:space="preserve"> </w:t>
          </w:r>
        </w:p>
        <w:p>
          <w:pPr>
            <w:pStyle w:val="Normal"/>
            <w:numPr>
              <w:ilvl w:val="0"/>
              <w:numId w:val="3"/>
            </w:numPr>
            <w:jc w:val="both"/>
            <w:rPr/>
          </w:pPr>
          <w:r>
            <w:rPr>
              <w:color w:val="000000"/>
            </w:rPr>
            <w:t>¿Cuál es la influencia del empleo en el IDH en el departamento de Ayacucho, periodo 2000-2019?</w:t>
          </w:r>
        </w:p>
        <w:p>
          <w:pPr>
            <w:pStyle w:val="Normal"/>
            <w:numPr>
              <w:ilvl w:val="0"/>
              <w:numId w:val="3"/>
            </w:numPr>
            <w:jc w:val="both"/>
            <w:rPr/>
          </w:pPr>
          <w:r>
            <w:rPr>
              <w:color w:val="000000"/>
            </w:rPr>
            <w:t>¿Cuál es la incidencia del índice de Theilen en la determinación de grado de pobreza en el departamento de Ayacucho, periodo 2000-2019?</w:t>
          </w:r>
        </w:p>
        <w:p>
          <w:pPr>
            <w:pStyle w:val="Normal"/>
            <w:numPr>
              <w:ilvl w:val="0"/>
              <w:numId w:val="3"/>
            </w:numPr>
            <w:jc w:val="both"/>
            <w:rPr/>
          </w:pPr>
          <w:r>
            <w:rPr>
              <w:color w:val="000000"/>
            </w:rPr>
            <w:t>¿Como el desempleo influye en el índice de Gini</w:t>
          </w:r>
          <w:r>
            <w:rPr>
              <w:b/>
              <w:bCs/>
              <w:color w:val="000000"/>
            </w:rPr>
            <w:t xml:space="preserve"> </w:t>
          </w:r>
          <w:r>
            <w:rPr>
              <w:color w:val="000000"/>
            </w:rPr>
            <w:t xml:space="preserve">en el departamento de Ayacucho, periodo 2000-2019? </w:t>
          </w:r>
        </w:p>
        <w:p>
          <w:pPr>
            <w:pStyle w:val="Heading1"/>
            <w:rPr/>
          </w:pPr>
          <w:bookmarkStart w:id="9" w:name="_Toc89109901"/>
          <w:r>
            <w:rPr/>
            <w:t>OBJETIVOS</w:t>
          </w:r>
          <w:bookmarkEnd w:id="9"/>
        </w:p>
        <w:p>
          <w:pPr>
            <w:pStyle w:val="Heading2"/>
            <w:ind w:left="720" w:hanging="0"/>
            <w:rPr/>
          </w:pPr>
          <w:bookmarkStart w:id="10" w:name="_Toc89109902"/>
          <w:r>
            <w:rPr/>
            <w:t>2.1. Objetivo general</w:t>
          </w:r>
          <w:bookmarkEnd w:id="10"/>
        </w:p>
        <w:p>
          <w:pPr>
            <w:pStyle w:val="Normal"/>
            <w:ind w:firstLine="720"/>
            <w:jc w:val="both"/>
            <w:rPr>
              <w:color w:val="000000"/>
            </w:rPr>
          </w:pPr>
          <w:r>
            <w:rPr>
              <w:color w:val="000000"/>
            </w:rPr>
            <w:t xml:space="preserve">Establecer cómo la desigualdad socioeconómica </w:t>
          </w:r>
          <w:r>
            <w:rPr/>
            <w:t xml:space="preserve">incide </w:t>
          </w:r>
          <w:r>
            <w:rPr>
              <w:color w:val="000000"/>
            </w:rPr>
            <w:t>en la pobreza en el departamento de Ayacucho, periodo 2000-2019.</w:t>
          </w:r>
        </w:p>
        <w:p>
          <w:pPr>
            <w:pStyle w:val="Heading2"/>
            <w:numPr>
              <w:ilvl w:val="1"/>
              <w:numId w:val="5"/>
            </w:numPr>
            <w:rPr/>
          </w:pPr>
          <w:r>
            <w:rPr/>
            <w:t xml:space="preserve"> </w:t>
          </w:r>
          <w:bookmarkStart w:id="11" w:name="_Toc89109903"/>
          <w:r>
            <w:rPr/>
            <w:t>Objetivos específicos</w:t>
          </w:r>
          <w:bookmarkEnd w:id="11"/>
        </w:p>
        <w:p>
          <w:pPr>
            <w:pStyle w:val="Normal"/>
            <w:numPr>
              <w:ilvl w:val="0"/>
              <w:numId w:val="4"/>
            </w:numPr>
            <w:jc w:val="both"/>
            <w:rPr/>
          </w:pPr>
          <w:r>
            <w:rPr>
              <w:color w:val="000000"/>
            </w:rPr>
            <w:t>Analizar cómo el empleo influye en el Índice de Desarrollo Humano en las zonas rurales de Ayacucho.</w:t>
          </w:r>
        </w:p>
        <w:p>
          <w:pPr>
            <w:pStyle w:val="Normal"/>
            <w:numPr>
              <w:ilvl w:val="0"/>
              <w:numId w:val="4"/>
            </w:numPr>
            <w:jc w:val="both"/>
            <w:rPr/>
          </w:pPr>
          <w:r>
            <w:rPr>
              <w:color w:val="000000"/>
            </w:rPr>
            <w:t xml:space="preserve">Determinar cuánto el Índice de Theilen influye en el Grado de pobreza </w:t>
          </w:r>
        </w:p>
        <w:p>
          <w:pPr>
            <w:pStyle w:val="Normal"/>
            <w:numPr>
              <w:ilvl w:val="0"/>
              <w:numId w:val="4"/>
            </w:numPr>
            <w:jc w:val="both"/>
            <w:rPr/>
          </w:pPr>
          <w:r>
            <w:rPr>
              <w:color w:val="000000"/>
            </w:rPr>
            <w:t>Identificar de qué manera el desempleo determina el índice de Gini en el departamento de Ayacucho.</w:t>
          </w:r>
        </w:p>
        <w:p>
          <w:pPr>
            <w:pStyle w:val="Heading1"/>
            <w:rPr/>
          </w:pPr>
          <w:bookmarkStart w:id="12" w:name="_Toc89109904"/>
          <w:r>
            <w:rPr/>
            <w:t>JUSTIFICACIÓN</w:t>
          </w:r>
          <w:bookmarkEnd w:id="12"/>
        </w:p>
        <w:p>
          <w:pPr>
            <w:pStyle w:val="Heading2"/>
            <w:rPr/>
          </w:pPr>
          <w:r>
            <w:rPr/>
            <w:t xml:space="preserve"> </w:t>
          </w:r>
          <w:bookmarkStart w:id="13" w:name="_Toc89109905"/>
          <w:r>
            <w:rPr/>
            <w:t>Justificación teórica</w:t>
          </w:r>
          <w:bookmarkEnd w:id="13"/>
        </w:p>
        <w:p>
          <w:pPr>
            <w:pStyle w:val="Normal"/>
            <w:ind w:firstLine="720"/>
            <w:jc w:val="both"/>
            <w:rPr>
              <w:color w:val="000000"/>
            </w:rPr>
          </w:pPr>
          <w:r>
            <w:rPr>
              <w:color w:val="000000"/>
            </w:rPr>
            <w:t>La pobreza es un problema mundial que se ha venido combatiendo a lo largo de los años, cada país en forma individual ha implementado medidas y políticas con el único fin de reducir su nivel de pobreza o extrema pobreza. En caso particular de Perú, a pesar de los índices favorables en la reducción de la pobreza, en determinadas zonas se observa un margen significativo en la desigualdad socioeconómica el cual es paralelo al índice del nivel pobreza.</w:t>
          </w:r>
        </w:p>
        <w:p>
          <w:pPr>
            <w:pStyle w:val="Normal"/>
            <w:ind w:firstLine="720"/>
            <w:jc w:val="both"/>
            <w:rPr>
              <w:color w:val="000000"/>
            </w:rPr>
          </w:pPr>
          <w:r>
            <w:rPr>
              <w:color w:val="000000"/>
            </w:rPr>
            <w:t>Es importante analizar el comportamiento de los índices de pobreza contrastado con indicadores de la desigualdad socioeconómica; para así poder establecer efectividad o importancia a lo largo del tiempo. Crear conocimiento dentro de la relación establecida entre estos indicadores, de manera que se contraste con la teoría económica ya conocida o se generen nuevos aportes.</w:t>
          </w:r>
        </w:p>
        <w:p>
          <w:pPr>
            <w:pStyle w:val="Heading2"/>
            <w:rPr/>
          </w:pPr>
          <w:r>
            <w:rPr/>
            <w:t xml:space="preserve"> </w:t>
          </w:r>
          <w:bookmarkStart w:id="14" w:name="_Toc89109906"/>
          <w:r>
            <w:rPr/>
            <w:t>Justificación práctica</w:t>
          </w:r>
          <w:bookmarkEnd w:id="14"/>
        </w:p>
        <w:p>
          <w:pPr>
            <w:pStyle w:val="Normal"/>
            <w:ind w:firstLine="720"/>
            <w:jc w:val="both"/>
            <w:rPr>
              <w:color w:val="000000"/>
            </w:rPr>
          </w:pPr>
          <w:r>
            <w:rPr>
              <w:color w:val="000000"/>
            </w:rPr>
            <w:t xml:space="preserve">Este trabajo tiene una justificación practica porque con él podrá ser posible su aplicación a la realidad para poder hacer frente a la desigualdad socioeconómica que predomina en distintas regiones en particular y sobre todo hacer frente a la pobreza que tanto sufrimiento ocasiona a una gran parte de la población peruana. </w:t>
          </w:r>
        </w:p>
        <w:p>
          <w:pPr>
            <w:pStyle w:val="Normal"/>
            <w:ind w:firstLine="720"/>
            <w:jc w:val="both"/>
            <w:rPr>
              <w:color w:val="000000"/>
            </w:rPr>
          </w:pPr>
          <w:r>
            <w:rPr>
              <w:color w:val="000000"/>
            </w:rPr>
            <w:t>Los resultados de la presente investigación podrán aportar a ver mejor el panorama del país y con él se podrán diseñar estrategias de políticas públicas con los que en un mediano plazo podamos obtener resultados más eficaces en la reducción de la pobreza y la desigualdad socioeconómica en el Perú; además del gran aporte que significara para la toma de decisiones a nivel de gobierno.</w:t>
          </w:r>
        </w:p>
        <w:p>
          <w:pPr>
            <w:pStyle w:val="Heading2"/>
            <w:rPr/>
          </w:pPr>
          <w:r>
            <w:rPr/>
            <w:t xml:space="preserve"> </w:t>
          </w:r>
          <w:bookmarkStart w:id="15" w:name="_Toc89109907"/>
          <w:r>
            <w:rPr/>
            <w:t>Justificación metodológica</w:t>
          </w:r>
          <w:bookmarkEnd w:id="15"/>
        </w:p>
        <w:p>
          <w:pPr>
            <w:pStyle w:val="Normal"/>
            <w:ind w:firstLine="720"/>
            <w:jc w:val="both"/>
            <w:rPr>
              <w:color w:val="000000"/>
            </w:rPr>
          </w:pPr>
          <w:r>
            <w:rPr>
              <w:color w:val="000000"/>
            </w:rPr>
            <w:t>Para realizar la investigación sobre la influencia de la desigualdad socioeconómica en la pobreza se empleará el método hipotético deductiva, es decir, iremos de los general a lo particular; primero se hará una visión general de la desigualdad socioeconómica y de la pobreza de la región Latinoamérica para posteriormente, estudiar el caso particular de Perú.</w:t>
          </w:r>
        </w:p>
        <w:p>
          <w:pPr>
            <w:pStyle w:val="Heading1"/>
            <w:rPr/>
          </w:pPr>
          <w:bookmarkStart w:id="16" w:name="_Toc89109908"/>
          <w:r>
            <w:rPr/>
            <w:t>MARCO TEÓRICO</w:t>
          </w:r>
          <w:bookmarkEnd w:id="16"/>
        </w:p>
        <w:p>
          <w:pPr>
            <w:pStyle w:val="Heading2"/>
            <w:ind w:left="720" w:hanging="0"/>
            <w:rPr/>
          </w:pPr>
          <w:bookmarkStart w:id="17" w:name="_Toc89109909"/>
          <w:r>
            <w:rPr/>
            <w:t>4.1.  Marco histórico</w:t>
          </w:r>
          <w:bookmarkEnd w:id="17"/>
        </w:p>
        <w:p>
          <w:pPr>
            <w:pStyle w:val="Heading3"/>
            <w:numPr>
              <w:ilvl w:val="0"/>
              <w:numId w:val="0"/>
            </w:numPr>
            <w:ind w:left="720" w:hanging="0"/>
            <w:rPr/>
          </w:pPr>
          <w:bookmarkStart w:id="18" w:name="_Toc89109910"/>
          <w:r>
            <w:rPr/>
            <w:t>4.1.1. Enfoque Subjetivo</w:t>
          </w:r>
          <w:bookmarkEnd w:id="18"/>
        </w:p>
        <w:p>
          <w:pPr>
            <w:pStyle w:val="APAPrrafo"/>
            <w:rPr/>
          </w:pPr>
          <w:r>
            <w:rPr>
              <w:lang w:val="es-MX"/>
            </w:rPr>
            <w:t>De La Piedra (1984),</w:t>
          </w:r>
          <w:r>
            <w:rPr/>
            <w:t xml:space="preserve"> afirma que la pobreza subjetiva “significa considerar que cualquier individuo o familia puede opinar sobre qué tan bien se están satisfaciendo sus necesidades básicas, en otras palabras, sobre el grado al cual ella misma piensa que sus medios les sirven para alcanzar sus fines”. Por tanto, de acuerdo a este juicio se le considera pobre o no pobre.</w:t>
          </w:r>
        </w:p>
        <w:p>
          <w:pPr>
            <w:pStyle w:val="Heading3"/>
            <w:numPr>
              <w:ilvl w:val="0"/>
              <w:numId w:val="0"/>
            </w:numPr>
            <w:ind w:left="720" w:hanging="0"/>
            <w:rPr/>
          </w:pPr>
          <w:bookmarkStart w:id="19" w:name="_Toc89109911"/>
          <w:r>
            <w:rPr/>
            <w:t>4.1.2. Enfoque Relativo</w:t>
          </w:r>
          <w:bookmarkEnd w:id="19"/>
        </w:p>
        <w:p>
          <w:pPr>
            <w:pStyle w:val="APAPrrafo"/>
            <w:rPr/>
          </w:pPr>
          <w:r>
            <w:rPr/>
            <w:t xml:space="preserve">Según </w:t>
          </w:r>
          <w:r>
            <w:rPr>
              <w:lang w:val="es-MX"/>
            </w:rPr>
            <w:t xml:space="preserve">Townsend (1962), </w:t>
          </w:r>
          <w:r>
            <w:rPr/>
            <w:t xml:space="preserve">en su enfoque de la privación relativa, </w:t>
          </w:r>
          <w:r>
            <w:rPr>
              <w:lang w:val="es-MX"/>
            </w:rPr>
            <w:t>“</w:t>
          </w:r>
          <w:r>
            <w:rPr/>
            <w:t xml:space="preserve">se concibe un umbral del ingreso, de acuerdo con el tamaño y el tipo de familia, por debajo del cual el abandono o la exclusión de la membresía activa de la sociedad se acentúa en forma desproporcionada”. </w:t>
          </w:r>
        </w:p>
        <w:p>
          <w:pPr>
            <w:pStyle w:val="APAPrrafo"/>
            <w:rPr/>
          </w:pPr>
          <w:r>
            <w:rPr/>
            <w:t xml:space="preserve">Para </w:t>
          </w:r>
          <w:r>
            <w:rPr>
              <w:lang w:val="es-MX"/>
            </w:rPr>
            <w:t>Murillo Alfaro (1993), “en el enfoque de pobreza relativa, la felicidad de un individuo o de una familia no depende de su nivel absoluto de consumo o gasto, sino de su nivel de logro en las relaciones con otros miembros de la sociedad”. El punto de partida es buscar un punto de referencia que pueda ser una media o un grupo social específico. Así, la pobreza se define como un estado de necesidades básicas insatisfactorias en relación con la sociedad.</w:t>
          </w:r>
        </w:p>
        <w:p>
          <w:pPr>
            <w:pStyle w:val="Heading3"/>
            <w:numPr>
              <w:ilvl w:val="0"/>
              <w:numId w:val="0"/>
            </w:numPr>
            <w:ind w:left="720" w:hanging="0"/>
            <w:rPr/>
          </w:pPr>
          <w:bookmarkStart w:id="20" w:name="_Toc89109912"/>
          <w:r>
            <w:rPr/>
            <w:t>4.1.3. Enfoque absoluto</w:t>
          </w:r>
          <w:bookmarkEnd w:id="20"/>
          <w:r>
            <w:rPr/>
            <w:t xml:space="preserve"> </w:t>
          </w:r>
        </w:p>
        <w:p>
          <w:pPr>
            <w:pStyle w:val="APAPrrafo"/>
            <w:rPr/>
          </w:pPr>
          <w:r>
            <w:rPr>
              <w:lang w:val="es-MX"/>
            </w:rPr>
            <w:t>Sen (1981), enfatiza que “existe</w:t>
          </w:r>
          <w:r>
            <w:rPr/>
            <w:t xml:space="preserve"> un núcleo innegable de privación absoluta en la idea de pobreza, que conduce a manifestaciones visibles de muerte por hambre, desnutrición y penuria en un diagnóstico de la pobreza, sin tener que indagar primero en un panorama relativo”. Por lo cual, la idea de pobreza relativa integra y no reemplaza el enfoque de pobreza autoritaria.</w:t>
          </w:r>
        </w:p>
        <w:p>
          <w:pPr>
            <w:pStyle w:val="Heading2"/>
            <w:ind w:left="360" w:hanging="0"/>
            <w:rPr/>
          </w:pPr>
          <w:bookmarkStart w:id="21" w:name="_Toc89109913"/>
          <w:r>
            <w:rPr/>
            <w:t>4.2.  Marco referencial</w:t>
          </w:r>
          <w:bookmarkEnd w:id="21"/>
        </w:p>
        <w:p>
          <w:pPr>
            <w:pStyle w:val="APAPrrafo"/>
            <w:rPr/>
          </w:pPr>
          <w:r>
            <w:rPr/>
            <w:t xml:space="preserve">La desigualad socioeconómica es un tema de poca frecuencia y permanente interés. Según Cotler (2011), en los años de 1960 la forma de pensar sobre la desigualdad socioeconómica estaba influenciado por la sociología funcionalista - estructuralista, así como el Marxismo. </w:t>
          </w:r>
        </w:p>
        <w:p>
          <w:pPr>
            <w:pStyle w:val="APAPrrafo"/>
            <w:rPr/>
          </w:pPr>
          <w:r>
            <w:rPr/>
            <w:t>Así, se puede decir que, en las ciencias sociales peruanas, dos enfoques que pretenden ser "gran teoría" han sido muy influyentes desde la década de 1960: el funcionalismo estructural y el marxismo.</w:t>
          </w:r>
        </w:p>
        <w:p>
          <w:pPr>
            <w:pStyle w:val="APAPrrafo"/>
            <w:rPr/>
          </w:pPr>
          <w:r>
            <w:rPr/>
            <w:t xml:space="preserve">Según </w:t>
          </w:r>
          <w:r>
            <w:rPr>
              <w:lang w:val="es-MX"/>
            </w:rPr>
            <w:t xml:space="preserve">Jiménez (2016), </w:t>
          </w:r>
          <w:r>
            <w:rPr/>
            <w:t>la desigualdad es un problema porque afecta a la calidad de vida de las personas y restringe las capacidades y libertades individuales.</w:t>
          </w:r>
        </w:p>
        <w:p>
          <w:pPr>
            <w:pStyle w:val="APAPrrafo"/>
            <w:rPr/>
          </w:pPr>
          <w:r>
            <w:rPr/>
            <w:t xml:space="preserve">Por tanto, la desigualdad se considera como una externalidad negativa donde las personas o familias no están dispuestos a tolerar altos niveles de desigualdad. </w:t>
          </w:r>
          <w:r>
            <w:rPr>
              <w:lang w:val="es-MX"/>
            </w:rPr>
            <w:t>Figueroa, (2001).</w:t>
          </w:r>
        </w:p>
        <w:p>
          <w:pPr>
            <w:pStyle w:val="APAPrrafo"/>
            <w:rPr/>
          </w:pPr>
          <w:r>
            <w:rPr/>
            <w:t>En cuanto a la pobreza, en términos monetarios, alude a la falta de ingresos para poder cubrir el costo de una canasta básica de consumo; por otro lado, la carencia de ingresos suficientes "está asociada a la carencia del capital humano necesario para acceder a ciertos empleos", o a la falta de "capital financiero, tierra y conocimientos gerenciales y tecnológicos para desarrollar una actividad empresarial", CEPAL</w:t>
          </w:r>
          <w:r>
            <w:rPr>
              <w:lang w:val="es-MX"/>
            </w:rPr>
            <w:t xml:space="preserve"> (2000)</w:t>
          </w:r>
          <w:r>
            <w:rPr/>
            <w:t>.</w:t>
          </w:r>
        </w:p>
        <w:p>
          <w:pPr>
            <w:pStyle w:val="APAPrrafo"/>
            <w:rPr/>
          </w:pPr>
          <w:r>
            <w:rPr/>
            <w:t>Si hacemos referencia a un enfoque más complejo, analizamos al premio Noble Amartya Sen, quien menciona: "la pobreza debe concebirse como la privación de capacidades básicas y no meramente como la falta de ingresos, que es el criterio habitual con el que se identifica la pobreza" (Sen, 2000).  Además, el autor afirma que "cuanto mayor sea la cobertura de la educación básica y de la asistencia sanitaria, más probable es que incluso las personas potencialmente pobres tengan más oportunidades de vencer la miseria" (Sen, 2000).</w:t>
          </w:r>
        </w:p>
        <w:p>
          <w:pPr>
            <w:pStyle w:val="EstiloAPA"/>
            <w:rPr/>
          </w:pPr>
          <w:r>
            <w:rPr/>
            <w:t xml:space="preserve">Otro enfoque para considerar es el de la ya conocida </w:t>
          </w:r>
          <w:r>
            <w:rPr>
              <w:b/>
              <w:bCs/>
            </w:rPr>
            <w:t>pobreza humana</w:t>
          </w:r>
          <w:r>
            <w:rPr/>
            <w:t>; este enfoque propuesto por el Programa de las Naciones Unidad para el Desarrollo (PNUD) afirma que "el concepto de pobreza humana considera que la falta de ingreso suficiente es un factor importante de privación humana, pero no el único"; por lo tanto, se debe tener en cuenta que no todo empobrecimiento puede relacionarse únicamente con el ingreso. "Si el ingreso no es la suma total de la vida humana, la falta de ingreso no puede ser la suma total de la privación humana" PNUD (2000).</w:t>
          </w:r>
        </w:p>
        <w:p>
          <w:pPr>
            <w:pStyle w:val="EstiloAPA"/>
            <w:rPr/>
          </w:pPr>
          <w:r>
            <w:rPr/>
            <w:t>Para Mendoza y García (2006), la pobreza puede tener cambios más significativos manteniéndose un crecimiento económico, pero también es imprescindible el accionar del Estado en la promoción de equidad de oportunidades de desarrollo de la persona (inversión en capital humano) el cual, en un largo plazo, mediante el incremento de la productividad, favorecerá también al crecimiento económico el cual se hará sostenible de forma automática.</w:t>
          </w:r>
        </w:p>
        <w:p>
          <w:pPr>
            <w:pStyle w:val="EstiloAPA"/>
            <w:rPr/>
          </w:pPr>
          <w:r>
            <w:rPr/>
            <w:t>Boragina (2006), en su artículo, afirma que existen tres falacias económicas las cuales en la economía moderna quedan desfasadas absolutamente, él afirma que: la riqueza es dinámica, la producción y distribución son un único fenómeno y que el valor es el que genera trabajo; de esta manera, señala que al aferrarnos a las teorías de la economía antigua estamos perpetuando la pobreza en el mundo.</w:t>
          </w:r>
        </w:p>
        <w:p>
          <w:pPr>
            <w:pStyle w:val="Heading2"/>
            <w:ind w:left="360" w:hanging="0"/>
            <w:rPr/>
          </w:pPr>
          <w:bookmarkStart w:id="22" w:name="_Toc89109914"/>
          <w:r>
            <w:rPr/>
            <w:t>4.3.  Sistema teórico</w:t>
          </w:r>
          <w:bookmarkEnd w:id="22"/>
        </w:p>
        <w:p>
          <w:pPr>
            <w:pStyle w:val="Heading3"/>
            <w:numPr>
              <w:ilvl w:val="0"/>
              <w:numId w:val="0"/>
            </w:numPr>
            <w:ind w:left="720" w:hanging="0"/>
            <w:rPr>
              <w:b w:val="false"/>
              <w:b w:val="false"/>
              <w:i w:val="false"/>
              <w:i w:val="false"/>
            </w:rPr>
          </w:pPr>
          <w:bookmarkStart w:id="23" w:name="_Toc89109915"/>
          <w:r>
            <w:rPr/>
            <w:t>4.3.1. Desigualdad Socioeconómica y la Pobreza</w:t>
          </w:r>
          <w:bookmarkEnd w:id="23"/>
        </w:p>
        <w:p>
          <w:pPr>
            <w:pStyle w:val="Heading4"/>
            <w:numPr>
              <w:ilvl w:val="0"/>
              <w:numId w:val="0"/>
            </w:numPr>
            <w:ind w:left="1080" w:hanging="0"/>
            <w:rPr/>
          </w:pPr>
          <w:bookmarkStart w:id="24" w:name="_Toc89109916"/>
          <w:r>
            <w:rPr/>
            <w:t>4.3.1.1.  Desigualdad socioeconómica</w:t>
          </w:r>
          <w:bookmarkStart w:id="25" w:name="_Toc89109917"/>
          <w:bookmarkEnd w:id="24"/>
        </w:p>
        <w:p>
          <w:pPr>
            <w:pStyle w:val="Normal"/>
            <w:rPr/>
          </w:pPr>
          <w:r>
            <w:rPr/>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p>
        <w:p>
          <w:pPr>
            <w:pStyle w:val="Heading4"/>
            <w:numPr>
              <w:ilvl w:val="0"/>
              <w:numId w:val="0"/>
            </w:numPr>
            <w:ind w:left="1080" w:hanging="0"/>
            <w:rPr/>
          </w:pPr>
          <w:r>
            <w:rPr/>
            <w:t>4.3.1.2.  La Pobreza</w:t>
          </w:r>
          <w:bookmarkEnd w:id="25"/>
        </w:p>
        <w:p>
          <w:pPr>
            <w:pStyle w:val="Normal"/>
            <w:jc w:val="both"/>
            <w:rPr>
              <w:rFonts w:eastAsia="Courier"/>
              <w:shd w:fill="FFFFFF" w:val="clear"/>
              <w:lang w:eastAsia="en-US"/>
            </w:rPr>
          </w:pPr>
          <w:r>
            <w:rPr>
              <w:rFonts w:eastAsia="Courier"/>
              <w:shd w:fill="FFFFFF" w:val="clear"/>
              <w:lang w:val="es-MX" w:eastAsia="en-US"/>
            </w:rPr>
            <w:t>Las Naciones Unidas (2021),</w:t>
          </w:r>
          <w:r>
            <w:rPr>
              <w:rFonts w:eastAsia="Courier"/>
              <w:shd w:fill="FFFFFF" w:val="clear"/>
              <w:lang w:eastAsia="en-US"/>
            </w:rPr>
            <w:t xml:space="preserve"> afirma que “la pobreza va más allá de la falta de ingresos y recursos para garantizar medios de vida sostenibles. Es una cuestión de derechos humanos”. Entre las diferentes manifestaciones de la pobreza se encuentran: el hambre, la desnutrición, la falta de una vivienda digna y el acceso limitado a otros servicios básicos como la salud o la educación.</w:t>
          </w:r>
        </w:p>
        <w:p>
          <w:pPr>
            <w:pStyle w:val="Normal"/>
            <w:jc w:val="both"/>
            <w:rPr>
              <w:rFonts w:eastAsia="Courier"/>
            </w:rPr>
          </w:pPr>
          <w:r>
            <w:rPr>
              <w:lang w:val="es-MX"/>
            </w:rPr>
            <w:t>Para el BID</w:t>
          </w:r>
          <w:r>
            <w:rPr/>
            <w:t xml:space="preserve"> “la pobreza es la privación de bienestar, entendiendo el bienestar un concepto bastante complejo y amplio, y su nivel más básico abarca aspectos como la alimentación, vestido, salud, y vivienda”</w:t>
          </w:r>
        </w:p>
        <w:p>
          <w:pPr>
            <w:pStyle w:val="Normal"/>
            <w:jc w:val="both"/>
            <w:rPr/>
          </w:pPr>
          <w:r>
            <w:rPr/>
            <w:t xml:space="preserve">Mientras para el </w:t>
          </w:r>
          <w:r>
            <w:rPr>
              <w:lang w:val="es-MX"/>
            </w:rPr>
            <w:t>Banco Mundial (2018),</w:t>
          </w:r>
          <w:r>
            <w:rPr/>
            <w:t xml:space="preserve"> “la pobreza no solo implica falta de ingresos y consumo: también se manifiesta por bajos niveles de educación, resultados insatisfactorios en salud y nutrición, falta de acceso a servicios básicos.” </w:t>
          </w:r>
        </w:p>
        <w:p>
          <w:pPr>
            <w:pStyle w:val="Normal"/>
            <w:jc w:val="both"/>
            <w:rPr>
              <w:rFonts w:eastAsia="Courier"/>
              <w:shd w:fill="FFFFFF" w:val="clear"/>
              <w:lang w:eastAsia="en-US"/>
            </w:rPr>
          </w:pPr>
          <w:r>
            <w:rPr>
              <w:rFonts w:eastAsia="Courier"/>
              <w:shd w:fill="FFFFFF" w:val="clear"/>
              <w:lang w:eastAsia="en-US"/>
            </w:rPr>
            <w:t>Según INEI</w:t>
          </w:r>
          <w:r>
            <w:rPr>
              <w:rFonts w:eastAsia="Courier"/>
              <w:shd w:fill="FFFFFF" w:val="clear"/>
              <w:lang w:val="es-MX" w:eastAsia="en-US"/>
            </w:rPr>
            <w:t>, (2007)</w:t>
          </w:r>
          <w:r>
            <w:rPr>
              <w:rFonts w:eastAsia="Courier"/>
              <w:shd w:fill="FFFFFF" w:val="clear"/>
              <w:lang w:eastAsia="en-US"/>
            </w:rPr>
            <w:t xml:space="preserve"> “la pobreza se define como un grupo de personas que no alcanzan un nivel mínimo de satisfacción para una serie de necesidades básicas relacionadas con la salud, la nutrición, la educación, la vivienda y otros.”</w:t>
          </w:r>
        </w:p>
        <w:p>
          <w:pPr>
            <w:pStyle w:val="Heading4"/>
            <w:numPr>
              <w:ilvl w:val="0"/>
              <w:numId w:val="0"/>
            </w:numPr>
            <w:ind w:left="1080" w:hanging="0"/>
            <w:rPr>
              <w:shd w:fill="FFFFFF" w:val="clear"/>
              <w:lang w:eastAsia="en-US"/>
            </w:rPr>
          </w:pPr>
          <w:bookmarkStart w:id="26" w:name="_Toc89109918"/>
          <w:r>
            <w:rPr>
              <w:shd w:fill="FFFFFF" w:val="clear"/>
              <w:lang w:eastAsia="en-US"/>
            </w:rPr>
            <w:t>4.3.1.3.  Medición de la pobreza</w:t>
          </w:r>
          <w:bookmarkEnd w:id="26"/>
        </w:p>
        <w:p>
          <w:pPr>
            <w:pStyle w:val="ListParagraph"/>
            <w:numPr>
              <w:ilvl w:val="0"/>
              <w:numId w:val="8"/>
            </w:numPr>
            <w:rPr>
              <w:rFonts w:eastAsia="Courier"/>
              <w:b/>
              <w:b/>
              <w:bCs/>
            </w:rPr>
          </w:pPr>
          <w:r>
            <w:rPr>
              <w:b/>
              <w:bCs/>
            </w:rPr>
            <w:t>Línea</w:t>
          </w:r>
          <w:r>
            <w:rPr>
              <w:rFonts w:eastAsia="Courier"/>
              <w:b/>
              <w:bCs/>
            </w:rPr>
            <w:t xml:space="preserve"> de pobreza</w:t>
          </w:r>
        </w:p>
        <w:p>
          <w:pPr>
            <w:pStyle w:val="Normal"/>
            <w:jc w:val="both"/>
            <w:rPr>
              <w:rFonts w:eastAsia="Courier"/>
              <w:shd w:fill="FFFFFF" w:val="clear"/>
              <w:lang w:eastAsia="en-US"/>
            </w:rPr>
          </w:pPr>
          <w:r>
            <w:rPr>
              <w:rFonts w:eastAsia="Courier"/>
              <w:shd w:fill="FFFFFF" w:val="clear"/>
              <w:lang w:eastAsia="en-US"/>
            </w:rPr>
            <w:t xml:space="preserve">El método de la línea de pobreza del INEI </w:t>
          </w:r>
          <w:r>
            <w:rPr>
              <w:rFonts w:eastAsia="Courier"/>
              <w:shd w:fill="FFFFFF" w:val="clear"/>
              <w:lang w:val="es-MX" w:eastAsia="en-US"/>
            </w:rPr>
            <w:t>(2007),</w:t>
          </w:r>
          <w:r>
            <w:rPr>
              <w:rFonts w:eastAsia="Courier"/>
              <w:shd w:fill="FFFFFF" w:val="clear"/>
              <w:lang w:eastAsia="en-US"/>
            </w:rPr>
            <w:t xml:space="preserve"> usa una canasta de bienes y servicios (la canasta estándar de necesidades), cuyo valor per cápita (la línea de pobreza) es equivalente al mínimo necesario para la subsistencia. </w:t>
          </w:r>
        </w:p>
        <w:p>
          <w:pPr>
            <w:pStyle w:val="Normal"/>
            <w:jc w:val="both"/>
            <w:rPr>
              <w:rFonts w:eastAsia="Courier"/>
              <w:shd w:fill="FFFFFF" w:val="clear"/>
              <w:lang w:eastAsia="en-US"/>
            </w:rPr>
          </w:pPr>
          <w:r>
            <w:rPr>
              <w:rFonts w:eastAsia="Courier"/>
              <w:shd w:fill="FFFFFF" w:val="clear"/>
              <w:lang w:eastAsia="en-US"/>
            </w:rPr>
            <w:t xml:space="preserve">Para la </w:t>
          </w:r>
          <w:r>
            <w:rPr>
              <w:rFonts w:eastAsia="Courier"/>
              <w:shd w:fill="FFFFFF" w:val="clear"/>
              <w:lang w:val="es-MX" w:eastAsia="en-US"/>
            </w:rPr>
            <w:t>Dirección Provincial de Estadística de la provincia de Buenos Aires (2010), “</w:t>
          </w:r>
          <w:r>
            <w:rPr>
              <w:rFonts w:eastAsia="Courier"/>
              <w:shd w:fill="FFFFFF" w:val="clear"/>
              <w:lang w:eastAsia="en-US"/>
            </w:rPr>
            <w:t>el método más utilizado en el mundo, a pesar de sus limitaciones, es el Método de la Línea de Pobreza (PL), que utiliza el ingreso o el gasto de consumo como medida de bienestar”, estableciendo así, un valor per cápita de una canasta mínima de consumo necesaria para la supervivencia, es decir, una canasta de factores esenciales de satisfacción, que distingue grados de pobreza.</w:t>
          </w:r>
        </w:p>
        <w:p>
          <w:pPr>
            <w:pStyle w:val="ListParagraph"/>
            <w:numPr>
              <w:ilvl w:val="0"/>
              <w:numId w:val="8"/>
            </w:numPr>
            <w:jc w:val="both"/>
            <w:rPr>
              <w:rFonts w:eastAsia="Courier"/>
              <w:b/>
              <w:b/>
              <w:bCs/>
            </w:rPr>
          </w:pPr>
          <w:r>
            <w:rPr>
              <w:b/>
              <w:bCs/>
            </w:rPr>
            <w:t>Necesidades Básicas Insatisfechas (NBI)</w:t>
          </w:r>
        </w:p>
        <w:p>
          <w:pPr>
            <w:pStyle w:val="Normal"/>
            <w:jc w:val="both"/>
            <w:rPr/>
          </w:pPr>
          <w:r>
            <w:rPr/>
            <w:t xml:space="preserve">Este método, </w:t>
          </w:r>
          <w:r>
            <w:rPr>
              <w:lang w:val="es-MX"/>
            </w:rPr>
            <w:t>INEI (2007),</w:t>
          </w:r>
          <w:r>
            <w:rPr/>
            <w:t xml:space="preserve"> define la pobreza como un grupo de personas que no cumplen con el nivel mínimo de satisfacción para un rango de necesidades básicas relacionadas con la educación, vivienda, salud, nutrición, etc. Es decir, parte de un concepto multidimensional de pobreza considerando distintos aspectos del desarrollo social.</w:t>
          </w:r>
        </w:p>
        <w:p>
          <w:pPr>
            <w:pStyle w:val="Normal"/>
            <w:jc w:val="both"/>
            <w:rPr/>
          </w:pPr>
          <w:r>
            <w:rPr>
              <w:lang w:val="es-MX"/>
            </w:rPr>
            <w:t>Según el DPE (2010),</w:t>
          </w:r>
          <w:r>
            <w:rPr/>
            <w:t xml:space="preserve"> “la medida de las necesidades básicas insatisfechas (NBI) tiene en cuenta un conjunto de indicadores relacionados con las necesidades estructurales básicas (vivienda, educación, salud, infraestructura pública, etc.) que se necesitan para evaluar el nivel de felicidad de un individuo.”</w:t>
          </w:r>
        </w:p>
        <w:p>
          <w:pPr>
            <w:pStyle w:val="ListParagraph"/>
            <w:numPr>
              <w:ilvl w:val="0"/>
              <w:numId w:val="8"/>
            </w:numPr>
            <w:jc w:val="both"/>
            <w:rPr>
              <w:rFonts w:eastAsia="Courier"/>
              <w:b/>
              <w:b/>
              <w:bCs/>
            </w:rPr>
          </w:pPr>
          <w:r>
            <w:rPr>
              <w:b/>
              <w:bCs/>
            </w:rPr>
            <w:t>Método integrado</w:t>
          </w:r>
        </w:p>
        <w:p>
          <w:pPr>
            <w:pStyle w:val="Normal"/>
            <w:rPr/>
          </w:pPr>
          <w:r>
            <w:rPr/>
            <w:t xml:space="preserve">La Medida Integrada de Pobreza del INEI (2007), no es más que una combinación de los dos métodos y se utiliza esencialmente con la finalidad de identificar a los distintos segmentos de los pobres, entendiendo que se debe poner énfasis en las políticas de reducción de la pobreza. </w:t>
          </w:r>
        </w:p>
        <w:p>
          <w:pPr>
            <w:pStyle w:val="Normal"/>
            <w:rPr/>
          </w:pPr>
          <w:r>
            <w:rPr>
              <w:lang w:val="es-MX"/>
            </w:rPr>
            <w:t>DPE (2010),</w:t>
          </w:r>
          <w:r>
            <w:rPr/>
            <w:t xml:space="preserve"> El tercer método, denominado medida de pobreza integrada, combina métodos de línea de pobreza y necesidades básicas insatisfechas. Con este método, la población se fragmenta en cuatro grupos específicos:</w:t>
          </w:r>
        </w:p>
        <w:p>
          <w:pPr>
            <w:pStyle w:val="ListParagraph"/>
            <w:numPr>
              <w:ilvl w:val="0"/>
              <w:numId w:val="21"/>
            </w:numPr>
            <w:ind w:left="1276" w:hanging="360"/>
            <w:jc w:val="both"/>
            <w:rPr/>
          </w:pPr>
          <w:r>
            <w:rPr/>
            <w:t xml:space="preserve">Los crónicamente pobres son el grupo más vulnerable porque tienen al menos una NBI e ingresos o gastos por debajo de la línea de pobreza. </w:t>
          </w:r>
        </w:p>
        <w:p>
          <w:pPr>
            <w:pStyle w:val="ListParagraph"/>
            <w:numPr>
              <w:ilvl w:val="0"/>
              <w:numId w:val="21"/>
            </w:numPr>
            <w:ind w:left="1276" w:hanging="360"/>
            <w:jc w:val="both"/>
            <w:rPr/>
          </w:pPr>
          <w:r>
            <w:rPr/>
            <w:t xml:space="preserve">Los pobres recientes, son aquellas personas cuyas necesidades básicas están satisfechas pero sus ingresos están por debajo de la línea de pobreza. </w:t>
          </w:r>
        </w:p>
        <w:p>
          <w:pPr>
            <w:pStyle w:val="ListParagraph"/>
            <w:numPr>
              <w:ilvl w:val="0"/>
              <w:numId w:val="21"/>
            </w:numPr>
            <w:ind w:left="1276" w:hanging="360"/>
            <w:jc w:val="both"/>
            <w:rPr/>
          </w:pPr>
          <w:r>
            <w:rPr/>
            <w:t xml:space="preserve">Pobres por inercia, son los que tienen como mínimo una necesidad básica insatisfecha, pero sus ingresos o gastos están por encima de la línea de pobreza. </w:t>
          </w:r>
        </w:p>
        <w:p>
          <w:pPr>
            <w:pStyle w:val="ListParagraph"/>
            <w:numPr>
              <w:ilvl w:val="0"/>
              <w:numId w:val="21"/>
            </w:numPr>
            <w:ind w:left="1276" w:hanging="360"/>
            <w:jc w:val="both"/>
            <w:rPr/>
          </w:pPr>
          <w:r>
            <w:rPr/>
            <w:t>Inclusión social, son aquellos que no tienen necesidades básicas insatisfechas y su gasto está por encima de la línea de pobreza.</w:t>
          </w:r>
        </w:p>
        <w:p>
          <w:pPr>
            <w:pStyle w:val="Heading3"/>
            <w:numPr>
              <w:ilvl w:val="0"/>
              <w:numId w:val="0"/>
            </w:numPr>
            <w:ind w:left="720" w:hanging="0"/>
            <w:jc w:val="both"/>
            <w:rPr/>
          </w:pPr>
          <w:bookmarkStart w:id="27" w:name="_Toc89109919"/>
          <w:r>
            <w:rPr/>
            <w:t>4.3.2. Empleo e Índice de Desarrollo Humano (IDH)</w:t>
          </w:r>
          <w:bookmarkEnd w:id="27"/>
        </w:p>
        <w:p>
          <w:pPr>
            <w:pStyle w:val="Normal"/>
            <w:ind w:firstLine="720"/>
            <w:jc w:val="both"/>
            <w:rPr/>
          </w:pPr>
          <w:r>
            <w:rPr/>
            <w:t>El concepto de pleno empleo de la Organización Internacional del Trabajo (OIT) es el escenario de empleo para todos los que quieren trabajar y lo buscan.</w:t>
          </w:r>
        </w:p>
        <w:p>
          <w:pPr>
            <w:pStyle w:val="Normal"/>
            <w:ind w:firstLine="720"/>
            <w:jc w:val="both"/>
            <w:rPr/>
          </w:pPr>
          <w:r>
            <w:rPr/>
            <w:t>Existen dos tipos de empleo; formal e informal (Serie de Estudios Económicos, 2015). En el empleo formal se encuentran las personas cuyo trabajo y derechos laborales son reconocidos; mientras que el empleo informal es lo contrario, puesto que aunque los trabajadores perciben un pago en remuneracion a su trabajo, estos no reciben el mismo reconocimiento ni los derechos laborales.</w:t>
          </w:r>
        </w:p>
        <w:p>
          <w:pPr>
            <w:pStyle w:val="Normal"/>
            <w:ind w:firstLine="720"/>
            <w:jc w:val="both"/>
            <w:rPr/>
          </w:pPr>
          <w:r>
            <w:rPr/>
            <w:t>Para Ricardo (1959), el principal determinante del empleo era la acumulación del capital, el cual significa el uso excedente para contratar trabajadores asalariados.</w:t>
          </w:r>
        </w:p>
        <w:p>
          <w:pPr>
            <w:pStyle w:val="Normal"/>
            <w:ind w:firstLine="720"/>
            <w:jc w:val="both"/>
            <w:rPr/>
          </w:pPr>
          <w:r>
            <w:rPr/>
            <w:t xml:space="preserve">El Programa de las Naciones Unidas (2021), ha venido publicando desde hace tres décadas, el Informe sobre Desarrollo Humano, el centra su análisis en el comportamiento del desarrollo a nivel mundial. El IDH es un indicador más confiable que el crecimiento del PBI, pues este último basa su razón solo en el comportamiento del nivel de ingreso, mientras que el IDH considera también otras dimensiones más complejas como nivel de ingreso per cápita, esperanza de vida y el acceso a la educación. </w:t>
          </w:r>
        </w:p>
        <w:p>
          <w:pPr>
            <w:pStyle w:val="Normal"/>
            <w:ind w:firstLine="720"/>
            <w:jc w:val="both"/>
            <w:rPr/>
          </w:pPr>
          <w:r>
            <w:rPr/>
            <w:t xml:space="preserve">El PDNU (2021), para una interpretación efectiva del IDH, considera cuatro categorías: </w:t>
          </w:r>
        </w:p>
        <w:p>
          <w:pPr>
            <w:pStyle w:val="ListParagraph"/>
            <w:numPr>
              <w:ilvl w:val="0"/>
              <w:numId w:val="14"/>
            </w:numPr>
            <w:jc w:val="both"/>
            <w:rPr/>
          </w:pPr>
          <w:r>
            <w:rPr/>
            <w:t>Desarrollo humano muy elevado (mayores a 0.8)</w:t>
          </w:r>
        </w:p>
        <w:p>
          <w:pPr>
            <w:pStyle w:val="ListParagraph"/>
            <w:numPr>
              <w:ilvl w:val="0"/>
              <w:numId w:val="14"/>
            </w:numPr>
            <w:jc w:val="both"/>
            <w:rPr/>
          </w:pPr>
          <w:r>
            <w:rPr/>
            <w:t>Desarrollo humano elevado (entre 0.7 y 0.7999)</w:t>
          </w:r>
        </w:p>
        <w:p>
          <w:pPr>
            <w:pStyle w:val="ListParagraph"/>
            <w:numPr>
              <w:ilvl w:val="0"/>
              <w:numId w:val="14"/>
            </w:numPr>
            <w:jc w:val="both"/>
            <w:rPr/>
          </w:pPr>
          <w:r>
            <w:rPr/>
            <w:t>Desarrollo humano medio (entre 0.55 y 0.6999)</w:t>
          </w:r>
        </w:p>
        <w:p>
          <w:pPr>
            <w:pStyle w:val="ListParagraph"/>
            <w:numPr>
              <w:ilvl w:val="0"/>
              <w:numId w:val="14"/>
            </w:numPr>
            <w:jc w:val="both"/>
            <w:rPr/>
          </w:pPr>
          <w:r>
            <w:rPr/>
            <w:t>Desarrollo humano bajo (menores a 0.55)</w:t>
          </w:r>
        </w:p>
        <w:p>
          <w:pPr>
            <w:pStyle w:val="Heading3"/>
            <w:numPr>
              <w:ilvl w:val="0"/>
              <w:numId w:val="0"/>
            </w:numPr>
            <w:ind w:left="720" w:hanging="0"/>
            <w:rPr/>
          </w:pPr>
          <w:bookmarkStart w:id="28" w:name="_Toc89109920"/>
          <w:r>
            <w:rPr/>
            <w:t>4.3.3. Índice de Theilen y grado de pobreza</w:t>
          </w:r>
          <w:bookmarkEnd w:id="28"/>
        </w:p>
        <w:p>
          <w:pPr>
            <w:pStyle w:val="Heading4"/>
            <w:numPr>
              <w:ilvl w:val="0"/>
              <w:numId w:val="0"/>
            </w:numPr>
            <w:ind w:left="1080" w:hanging="0"/>
            <w:rPr/>
          </w:pPr>
          <w:bookmarkStart w:id="29" w:name="_Toc89109921"/>
          <w:r>
            <w:rPr/>
            <w:t>4.3.3.1.  Índice de Theilen</w:t>
          </w:r>
          <w:bookmarkEnd w:id="29"/>
        </w:p>
        <w:p>
          <w:pPr>
            <w:pStyle w:val="Normal"/>
            <w:jc w:val="both"/>
            <w:rPr/>
          </w:pPr>
          <w:r>
            <w:rPr>
              <w:lang w:val="es-MX"/>
            </w:rPr>
            <w:t>Wikipedia, (2021)</w:t>
          </w:r>
          <w:r>
            <w:rPr/>
            <w:t xml:space="preserve"> “El índice de Theilen es una estadística que se utiliza principalmente para medir la desigualdad y otros fenómenos económicos, aunque también se ha utilizado para medir la segregación racial.” </w:t>
          </w:r>
        </w:p>
        <w:p>
          <w:pPr>
            <w:pStyle w:val="Normal"/>
            <w:jc w:val="both"/>
            <w:rPr/>
          </w:pPr>
          <w:r>
            <w:rPr/>
            <w:t xml:space="preserve">Según </w:t>
          </w:r>
          <w:r>
            <w:rPr>
              <w:lang w:val="es-MX"/>
            </w:rPr>
            <w:t>Castañeda (2013),</w:t>
          </w:r>
          <w:r>
            <w:rPr/>
            <w:t xml:space="preserve"> Esta medida es una aplicación prestada directamente de la física y la teoría de la información, que está bien aceptado entre los investigadores de la desigualdad y durante mucho tiempo ha sido una medida alternativa del coeficiente de Gini.</w:t>
          </w:r>
        </w:p>
        <w:p>
          <w:pPr>
            <w:pStyle w:val="Heading4"/>
            <w:numPr>
              <w:ilvl w:val="0"/>
              <w:numId w:val="0"/>
            </w:numPr>
            <w:ind w:left="1080" w:hanging="0"/>
            <w:rPr/>
          </w:pPr>
          <w:bookmarkStart w:id="30" w:name="_Toc89109922"/>
          <w:r>
            <w:rPr/>
            <w:t>4.3.3.2.  Grado de pobreza</w:t>
          </w:r>
          <w:bookmarkEnd w:id="30"/>
        </w:p>
        <w:p>
          <w:pPr>
            <w:pStyle w:val="ListParagraph"/>
            <w:numPr>
              <w:ilvl w:val="0"/>
              <w:numId w:val="9"/>
            </w:numPr>
            <w:jc w:val="both"/>
            <w:rPr/>
          </w:pPr>
          <w:r>
            <w:rPr/>
            <w:t>Extremo pobre</w:t>
          </w:r>
        </w:p>
        <w:p>
          <w:pPr>
            <w:pStyle w:val="ListParagraph"/>
            <w:jc w:val="both"/>
            <w:rPr/>
          </w:pPr>
          <w:r>
            <w:rPr/>
            <w:t>Para Damm</w:t>
          </w:r>
          <w:r>
            <w:rPr>
              <w:lang w:val="es-MX"/>
            </w:rPr>
            <w:t xml:space="preserve"> Arnal (2017),</w:t>
          </w:r>
          <w:r>
            <w:rPr/>
            <w:t xml:space="preserve"> “comprende a las personas cuyos hogares tienen ingresos o consumos per cápita inferiores al valor de una canasta mínima de alimentos.”</w:t>
          </w:r>
        </w:p>
        <w:p>
          <w:pPr>
            <w:pStyle w:val="ListParagraph"/>
            <w:numPr>
              <w:ilvl w:val="0"/>
              <w:numId w:val="9"/>
            </w:numPr>
            <w:jc w:val="both"/>
            <w:rPr/>
          </w:pPr>
          <w:r>
            <w:rPr/>
            <w:t>Pobre</w:t>
          </w:r>
        </w:p>
        <w:p>
          <w:pPr>
            <w:pStyle w:val="ListParagraph"/>
            <w:jc w:val="both"/>
            <w:rPr>
              <w:lang w:val="es-MX"/>
            </w:rPr>
          </w:pPr>
          <w:r>
            <w:rPr>
              <w:lang w:val="es-MX"/>
            </w:rPr>
            <w:t>Damm Arnal (2017),</w:t>
          </w:r>
          <w:r>
            <w:rPr/>
            <w:t xml:space="preserve"> define a pobre a “la</w:t>
          </w:r>
          <w:r>
            <w:rPr>
              <w:lang w:val="es-MX"/>
            </w:rPr>
            <w:t xml:space="preserve"> persona que se encuentra en situación de pobreza si padece al menos una privación social, sus ingresos no son suficientes para adquirir los bienes y servicios que constituyen las canastas básicas alimentarias y no alimentarias.”</w:t>
          </w:r>
        </w:p>
        <w:p>
          <w:pPr>
            <w:pStyle w:val="ListParagraph"/>
            <w:numPr>
              <w:ilvl w:val="0"/>
              <w:numId w:val="9"/>
            </w:numPr>
            <w:jc w:val="both"/>
            <w:rPr/>
          </w:pPr>
          <w:r>
            <w:rPr/>
            <w:t>No pobre</w:t>
          </w:r>
        </w:p>
        <w:p>
          <w:pPr>
            <w:pStyle w:val="ListParagraph"/>
            <w:jc w:val="both"/>
            <w:rPr/>
          </w:pPr>
          <w:r>
            <w:rPr/>
            <w:t>Se considera no pobres a aquellas personas cuyo ingreso o consumo es suficiente para mantener un nivel de vida elevado o de calidad.</w:t>
          </w:r>
        </w:p>
        <w:p>
          <w:pPr>
            <w:pStyle w:val="Heading3"/>
            <w:numPr>
              <w:ilvl w:val="0"/>
              <w:numId w:val="0"/>
            </w:numPr>
            <w:ind w:left="720" w:hanging="0"/>
            <w:rPr/>
          </w:pPr>
          <w:bookmarkStart w:id="31" w:name="_Toc89109923"/>
          <w:r>
            <w:rPr/>
            <w:t>4.3.4. Desempleo e Índice de Gini</w:t>
          </w:r>
          <w:bookmarkEnd w:id="31"/>
        </w:p>
        <w:p>
          <w:pPr>
            <w:pStyle w:val="Heading4"/>
            <w:numPr>
              <w:ilvl w:val="0"/>
              <w:numId w:val="0"/>
            </w:numPr>
            <w:ind w:left="1080" w:hanging="0"/>
            <w:rPr/>
          </w:pPr>
          <w:bookmarkStart w:id="32" w:name="_Toc89109924"/>
          <w:r>
            <w:rPr/>
            <w:t>4.3.4.1.  Desempleo</w:t>
          </w:r>
          <w:bookmarkEnd w:id="32"/>
        </w:p>
        <w:p>
          <w:pPr>
            <w:pStyle w:val="Normal"/>
            <w:jc w:val="both"/>
            <w:rPr/>
          </w:pPr>
          <w:r>
            <w:rPr/>
            <w:t xml:space="preserve">Según </w:t>
          </w:r>
          <w:r>
            <w:rPr>
              <w:lang w:val="es-MX"/>
            </w:rPr>
            <w:t xml:space="preserve">De Gregorio (2007), </w:t>
          </w:r>
          <w:r>
            <w:rPr/>
            <w:t>El desempleo es un indicador importante para medir el desempeño de una economía en términos de actividad, además que siempre es aquella fracción de los que quieren trabajar, pero no consiguen hacerlo.</w:t>
          </w:r>
        </w:p>
        <w:p>
          <w:pPr>
            <w:pStyle w:val="Normal"/>
            <w:jc w:val="both"/>
            <w:rPr/>
          </w:pPr>
          <w:r>
            <w:rPr/>
            <w:t xml:space="preserve">Para. </w:t>
          </w:r>
          <w:r>
            <w:rPr>
              <w:lang w:val="es-MX"/>
            </w:rPr>
            <w:t>Pissarides (1990),</w:t>
          </w:r>
          <w:r>
            <w:rPr/>
            <w:t xml:space="preserve"> “existe desempleo a causa de fricciones en el mercado laboral en el proceso de búsqueda de empleo por parte de los trabajadores y de contratación por parte de las firmas.”</w:t>
          </w:r>
        </w:p>
        <w:p>
          <w:pPr>
            <w:pStyle w:val="Normal"/>
            <w:rPr/>
          </w:pPr>
          <w:r>
            <w:rPr>
              <w:lang w:val="es-MX"/>
            </w:rPr>
            <w:t xml:space="preserve">Modigliani, Fitoussi, Moro, Snower, &amp; Solow (1999), afirman </w:t>
          </w:r>
          <w:r>
            <w:rPr/>
            <w:t>que el desempleo afecta principal y directamente a los trabajadores poco calificados, ya que a medida que disminuye la disponibilidad de empleo, los trabajadores más calificados desplazan a los trabajadores poco calificados; mientras que, si aumenta el empleo ocurre todo lo contario, es decir, los trabajadores calificados obtienen mejores trabajos.</w:t>
          </w:r>
        </w:p>
        <w:p>
          <w:pPr>
            <w:pStyle w:val="Heading4"/>
            <w:numPr>
              <w:ilvl w:val="0"/>
              <w:numId w:val="0"/>
            </w:numPr>
            <w:ind w:left="1080" w:hanging="0"/>
            <w:rPr/>
          </w:pPr>
          <w:bookmarkStart w:id="33" w:name="_Toc89109925"/>
          <w:r>
            <w:rPr/>
            <w:t>4.3.4.2.  Clases de desempleo</w:t>
          </w:r>
          <w:bookmarkEnd w:id="33"/>
        </w:p>
        <w:p>
          <w:pPr>
            <w:pStyle w:val="Normal"/>
            <w:jc w:val="both"/>
            <w:rPr/>
          </w:pPr>
          <w:r>
            <w:rPr>
              <w:b/>
              <w:bCs/>
            </w:rPr>
            <w:t xml:space="preserve">Desempleo friccional: </w:t>
          </w:r>
          <w:r>
            <w:rPr/>
            <w:t>Es cuando se tiene libertad para escoger los empleos siempre existen personas que se traslada de un trabajo a otro.</w:t>
          </w:r>
        </w:p>
        <w:p>
          <w:pPr>
            <w:pStyle w:val="Normal"/>
            <w:jc w:val="both"/>
            <w:rPr/>
          </w:pPr>
          <w:r>
            <w:rPr>
              <w:b/>
              <w:bCs/>
            </w:rPr>
            <w:t xml:space="preserve">Desempleo estructural: </w:t>
          </w:r>
          <w:r>
            <w:rPr/>
            <w:t>Ocurre cuando con el tiempo se presenta cambios en la estructura de la demanda del consumidor y del avance tecnológico los mismos que alteran la estructura de la demanda global de trabajo.</w:t>
          </w:r>
        </w:p>
        <w:p>
          <w:pPr>
            <w:pStyle w:val="Normal"/>
            <w:jc w:val="both"/>
            <w:rPr/>
          </w:pPr>
          <w:r>
            <w:rPr>
              <w:b/>
              <w:bCs/>
            </w:rPr>
            <w:t>Desempleo cíclico:</w:t>
          </w:r>
          <w:r>
            <w:rPr/>
            <w:t xml:space="preserve"> Este tipo de desempleo es causado por la fase recesiva del ciclo económico cuando quiebran las empresas con escasa solvencia económico y dejan sin trabajo a muchas personas.</w:t>
          </w:r>
        </w:p>
        <w:p>
          <w:pPr>
            <w:pStyle w:val="Heading4"/>
            <w:numPr>
              <w:ilvl w:val="0"/>
              <w:numId w:val="0"/>
            </w:numPr>
            <w:ind w:left="1800" w:hanging="0"/>
            <w:rPr/>
          </w:pPr>
          <w:bookmarkStart w:id="34" w:name="_Toc89109926"/>
          <w:r>
            <w:rPr/>
            <w:t>4.3.4.3.  Índice de Gini</w:t>
          </w:r>
          <w:bookmarkEnd w:id="34"/>
        </w:p>
        <w:p>
          <w:pPr>
            <w:pStyle w:val="Normal"/>
            <w:jc w:val="both"/>
            <w:rPr/>
          </w:pPr>
          <w:r>
            <w:rPr/>
            <w:t xml:space="preserve">Para </w:t>
          </w:r>
          <w:r>
            <w:rPr>
              <w:lang w:val="es-MX"/>
            </w:rPr>
            <w:t>Montero Castellanos (2021), “</w:t>
          </w:r>
          <w:r>
            <w:rPr/>
            <w:t>el coeficiente de Gini es una de las métricas utilizada para orientarnos respecto a la </w:t>
          </w:r>
          <w:hyperlink r:id="rId6">
            <w:r>
              <w:rPr/>
              <w:t>desigualdad económica</w:t>
            </w:r>
          </w:hyperlink>
          <w:r>
            <w:rPr/>
            <w:t>. Cuanto mayor es el índice de Gini, mayor es la desigualdad de los ingresos en la población.” </w:t>
          </w:r>
        </w:p>
        <w:p>
          <w:pPr>
            <w:pStyle w:val="Heading2"/>
            <w:ind w:left="360" w:hanging="0"/>
            <w:rPr/>
          </w:pPr>
          <w:bookmarkStart w:id="35" w:name="_Toc89109927"/>
          <w:r>
            <w:rPr/>
            <w:t>4.4.  Marco conceptual</w:t>
          </w:r>
          <w:bookmarkEnd w:id="35"/>
        </w:p>
        <w:p>
          <w:pPr>
            <w:pStyle w:val="Heading3"/>
            <w:numPr>
              <w:ilvl w:val="0"/>
              <w:numId w:val="0"/>
            </w:numPr>
            <w:ind w:left="720" w:hanging="0"/>
            <w:rPr/>
          </w:pPr>
          <w:bookmarkStart w:id="36" w:name="_Toc89109928"/>
          <w:r>
            <w:rPr/>
            <w:t>4.4.1. Desigualdad socioeconómica</w:t>
          </w:r>
          <w:bookmarkEnd w:id="36"/>
        </w:p>
        <w:p>
          <w:pPr>
            <w:pStyle w:val="APAPrrafo"/>
            <w:rPr>
              <w:lang w:eastAsia="en-US"/>
            </w:rPr>
          </w:pPr>
          <w:r>
            <w:rPr>
              <w:lang w:eastAsia="en-US"/>
            </w:rPr>
            <w:t>La desigualdad socioeconómica es un problema actual, el cual se origina como resultado a un desarrollo desigual, creando a su vez un concepto falso de superioridad.</w:t>
          </w:r>
        </w:p>
        <w:p>
          <w:pPr>
            <w:pStyle w:val="Heading3"/>
            <w:numPr>
              <w:ilvl w:val="0"/>
              <w:numId w:val="0"/>
            </w:numPr>
            <w:ind w:left="720" w:hanging="0"/>
            <w:rPr/>
          </w:pPr>
          <w:bookmarkStart w:id="37" w:name="_Toc89109929"/>
          <w:r>
            <w:rPr/>
            <w:t>4.4.2. La Pobreza</w:t>
          </w:r>
          <w:bookmarkEnd w:id="37"/>
        </w:p>
        <w:p>
          <w:pPr>
            <w:pStyle w:val="APAPrrafo"/>
            <w:rPr>
              <w:lang w:eastAsia="en-US"/>
            </w:rPr>
          </w:pPr>
          <w:r>
            <w:rPr>
              <w:lang w:eastAsia="en-US"/>
            </w:rPr>
            <w:t xml:space="preserve">Según el método de </w:t>
          </w:r>
          <w:r>
            <w:rPr>
              <w:lang w:val="es-MX" w:eastAsia="en-US"/>
            </w:rPr>
            <w:t>INEI (2007),</w:t>
          </w:r>
          <w:r>
            <w:rPr>
              <w:lang w:eastAsia="en-US"/>
            </w:rPr>
            <w:t xml:space="preserve"> se define a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pPr>
            <w:pStyle w:val="Heading3"/>
            <w:numPr>
              <w:ilvl w:val="0"/>
              <w:numId w:val="0"/>
            </w:numPr>
            <w:ind w:left="720" w:hanging="0"/>
            <w:rPr/>
          </w:pPr>
          <w:bookmarkStart w:id="38" w:name="_Toc89109930"/>
          <w:r>
            <w:rPr/>
            <w:t>4.4.3. Empleo</w:t>
          </w:r>
          <w:bookmarkEnd w:id="38"/>
          <w:r>
            <w:rPr/>
            <w:t xml:space="preserve"> </w:t>
          </w:r>
        </w:p>
        <w:p>
          <w:pPr>
            <w:pStyle w:val="APAPrrafo"/>
            <w:rPr/>
          </w:pPr>
          <w:r>
            <w:rPr/>
            <w:t>El empleo se define como aquel escenario donde existe trabajo para todas las personas que quieran trabajar o estén buscándolo. Existen dos tipos de empleo: formal (reconocido y con todos los derechos laborales) e informal (no está reconocido y no goza de los derechos laborales).</w:t>
          </w:r>
        </w:p>
        <w:p>
          <w:pPr>
            <w:pStyle w:val="Heading3"/>
            <w:numPr>
              <w:ilvl w:val="0"/>
              <w:numId w:val="0"/>
            </w:numPr>
            <w:ind w:left="720" w:hanging="0"/>
            <w:rPr/>
          </w:pPr>
          <w:bookmarkStart w:id="39" w:name="_Toc89109931"/>
          <w:r>
            <w:rPr/>
            <w:t>4.4.4. Índice de Desarrollo Humano (IDH)</w:t>
          </w:r>
          <w:bookmarkEnd w:id="39"/>
        </w:p>
        <w:p>
          <w:pPr>
            <w:pStyle w:val="Normal"/>
            <w:ind w:firstLine="720"/>
            <w:jc w:val="both"/>
            <w:rPr/>
          </w:pPr>
          <w:r>
            <w:rPr/>
            <w:t xml:space="preserve">Es aquel indicador que basa su estudio en dimensiones más complejas, lo cual permite obtener un resultado más confiable; mide el nivel de desarrollo de cada país, y sus principales variables son: el nivel de ingreso per cápita, esperanza de vida y el acceso a la educación. Es aquel indicador que basa su estudio en dimensiones más complejas, lo cual permite obtener un resultado más confiable; mide el nivel de desarrollo de cada país, y sus principales niveles variables son: el nivel de ingreso per cápita, esperanza de vida y el acceso a la educación. </w:t>
          </w:r>
        </w:p>
        <w:p>
          <w:pPr>
            <w:pStyle w:val="Heading3"/>
            <w:numPr>
              <w:ilvl w:val="0"/>
              <w:numId w:val="0"/>
            </w:numPr>
            <w:ind w:left="720" w:hanging="0"/>
            <w:rPr/>
          </w:pPr>
          <w:bookmarkStart w:id="40" w:name="_Toc89109932"/>
          <w:r>
            <w:rPr/>
            <w:t>4.4.5. Índice de Theilen</w:t>
          </w:r>
          <w:bookmarkEnd w:id="40"/>
        </w:p>
        <w:p>
          <w:pPr>
            <w:pStyle w:val="APAPrrafo"/>
            <w:rPr/>
          </w:pPr>
          <w:r>
            <w:rPr/>
            <w:t>El índice de Theilen es una estadística que se utiliza principalmente para medir la desigualdad y otros fenómenos económicos.</w:t>
          </w:r>
        </w:p>
        <w:p>
          <w:pPr>
            <w:pStyle w:val="APAPrrafo"/>
            <w:rPr/>
          </w:pPr>
          <w:r>
            <w:rPr/>
            <w:t xml:space="preserve">Cuando el índice de Theilen es cercano a cero la sociedad es igual mientras el índice se va al infinito la es sociedad es desigual. </w:t>
          </w:r>
        </w:p>
        <w:p>
          <w:pPr>
            <w:pStyle w:val="Heading3"/>
            <w:numPr>
              <w:ilvl w:val="0"/>
              <w:numId w:val="0"/>
            </w:numPr>
            <w:ind w:left="720" w:hanging="0"/>
            <w:rPr/>
          </w:pPr>
          <w:bookmarkStart w:id="41" w:name="_Toc89109933"/>
          <w:r>
            <w:rPr/>
            <w:t>4.4.6. Grado de pobreza</w:t>
          </w:r>
          <w:bookmarkEnd w:id="41"/>
        </w:p>
        <w:p>
          <w:pPr>
            <w:pStyle w:val="ListParagraph"/>
            <w:numPr>
              <w:ilvl w:val="0"/>
              <w:numId w:val="15"/>
            </w:numPr>
            <w:jc w:val="both"/>
            <w:rPr/>
          </w:pPr>
          <w:r>
            <w:rPr/>
            <w:t>Extremo pobre</w:t>
          </w:r>
        </w:p>
        <w:p>
          <w:pPr>
            <w:pStyle w:val="ListParagraph"/>
            <w:jc w:val="both"/>
            <w:rPr/>
          </w:pPr>
          <w:r>
            <w:rPr/>
            <w:t>Para Damm</w:t>
          </w:r>
          <w:r>
            <w:rPr>
              <w:lang w:val="es-MX"/>
            </w:rPr>
            <w:t xml:space="preserve"> Arnal (2017),</w:t>
          </w:r>
          <w:r>
            <w:rPr/>
            <w:t xml:space="preserve"> incluye a las personas cuyos hogares tienen un ingreso per cápita o un nivel de consumo por debajo del valor de una canasta mínima de alimentos.</w:t>
          </w:r>
        </w:p>
        <w:p>
          <w:pPr>
            <w:pStyle w:val="ListParagraph"/>
            <w:numPr>
              <w:ilvl w:val="0"/>
              <w:numId w:val="15"/>
            </w:numPr>
            <w:jc w:val="both"/>
            <w:rPr/>
          </w:pPr>
          <w:r>
            <w:rPr/>
            <w:t>Pobre</w:t>
          </w:r>
        </w:p>
        <w:p>
          <w:pPr>
            <w:pStyle w:val="ListParagraph"/>
            <w:jc w:val="both"/>
            <w:rPr/>
          </w:pPr>
          <w:r>
            <w:rPr/>
            <w:t xml:space="preserve">Según </w:t>
          </w:r>
          <w:r>
            <w:rPr>
              <w:lang w:val="es-MX"/>
            </w:rPr>
            <w:t>Damm Arnal (2017),</w:t>
          </w:r>
          <w:r>
            <w:rPr/>
            <w:t xml:space="preserve"> </w:t>
          </w:r>
          <w:r>
            <w:rPr>
              <w:lang w:val="es-MX"/>
            </w:rPr>
            <w:t>una persona se encuentra en situación de pobreza si tiene al menos una carencia social (de las seis enumeradas en el primer párrafo) y su ingreso es insuficiente para adquirir los bienes y servicios que componen la canasta básica alimentaria y no alimentaria.</w:t>
          </w:r>
        </w:p>
        <w:p>
          <w:pPr>
            <w:pStyle w:val="Heading3"/>
            <w:numPr>
              <w:ilvl w:val="0"/>
              <w:numId w:val="0"/>
            </w:numPr>
            <w:ind w:left="720" w:hanging="0"/>
            <w:rPr/>
          </w:pPr>
          <w:bookmarkStart w:id="42" w:name="_Toc89109934"/>
          <w:r>
            <w:rPr/>
            <w:t>4.4.7. Desempleo</w:t>
          </w:r>
          <w:bookmarkEnd w:id="42"/>
        </w:p>
        <w:p>
          <w:pPr>
            <w:pStyle w:val="Normal"/>
            <w:rPr/>
          </w:pPr>
          <w:r>
            <w:rPr>
              <w:lang w:val="es-MX"/>
            </w:rPr>
            <w:t xml:space="preserve">Modigliani, Fitoussi, Moro, Snower, &amp; Solow (1999), afirman </w:t>
          </w:r>
          <w:r>
            <w:rPr/>
            <w:t>que el desempleo afecta principal y directamente a los trabajadores poco calificados, ya que a medida que disminuye la disponibilidad de empleo, los trabajadores más calificados desplazan a los trabajadores poco calificados; mientras que, si aumenta el empleo ocurre todo lo contario, es decir, los trabajadores calificados obtienen mejores trabajos.</w:t>
          </w:r>
        </w:p>
        <w:p>
          <w:pPr>
            <w:pStyle w:val="Heading3"/>
            <w:numPr>
              <w:ilvl w:val="0"/>
              <w:numId w:val="0"/>
            </w:numPr>
            <w:ind w:left="720" w:hanging="0"/>
            <w:rPr/>
          </w:pPr>
          <w:bookmarkStart w:id="43" w:name="_Toc89109935"/>
          <w:r>
            <w:rPr/>
            <w:t>4.4.8. Índice de Gini</w:t>
          </w:r>
          <w:bookmarkEnd w:id="43"/>
        </w:p>
        <w:p>
          <w:pPr>
            <w:pStyle w:val="APAPrrafo"/>
            <w:rPr/>
          </w:pPr>
          <w:r>
            <w:rPr/>
            <w:t>El coeficiente Gini es un indicador que nos permite medir la desigualdad de los ingresos de la población.</w:t>
          </w:r>
        </w:p>
        <w:p>
          <w:pPr>
            <w:pStyle w:val="Heading1"/>
            <w:rPr/>
          </w:pPr>
          <w:bookmarkStart w:id="44" w:name="_Toc89109936"/>
          <w:r>
            <w:rPr/>
            <w:t>HIPÓTESIS</w:t>
          </w:r>
          <w:bookmarkEnd w:id="44"/>
        </w:p>
        <w:p>
          <w:pPr>
            <w:pStyle w:val="Heading2"/>
            <w:numPr>
              <w:ilvl w:val="1"/>
              <w:numId w:val="10"/>
            </w:numPr>
            <w:rPr/>
          </w:pPr>
          <w:bookmarkStart w:id="45" w:name="_Toc89109937"/>
          <w:r>
            <w:rPr/>
            <w:t>Hipótesis general</w:t>
          </w:r>
          <w:bookmarkEnd w:id="45"/>
        </w:p>
        <w:p>
          <w:pPr>
            <w:pStyle w:val="APAPrrafo"/>
            <w:rPr/>
          </w:pPr>
          <w:r>
            <w:rPr/>
            <w:t>La desigualdad socioeconómica determina negativamente el grado de pobreza en el departamento de Ayacucho, periodo 2000-2019.</w:t>
          </w:r>
        </w:p>
        <w:p>
          <w:pPr>
            <w:pStyle w:val="Heading2"/>
            <w:numPr>
              <w:ilvl w:val="1"/>
              <w:numId w:val="10"/>
            </w:numPr>
            <w:rPr/>
          </w:pPr>
          <w:bookmarkStart w:id="46" w:name="_Toc89109938"/>
          <w:r>
            <w:rPr/>
            <w:t>Hipótesis especifica</w:t>
          </w:r>
          <w:bookmarkEnd w:id="46"/>
        </w:p>
        <w:p>
          <w:pPr>
            <w:pStyle w:val="ListParagraph"/>
            <w:numPr>
              <w:ilvl w:val="0"/>
              <w:numId w:val="11"/>
            </w:numPr>
            <w:jc w:val="both"/>
            <w:rPr/>
          </w:pPr>
          <w:r>
            <w:rPr>
              <w:color w:val="000000"/>
            </w:rPr>
            <w:t xml:space="preserve"> </w:t>
          </w:r>
          <w:r>
            <w:rPr>
              <w:color w:val="000000"/>
            </w:rPr>
            <w:t>El empleo afecta inversamente al IDH en el departamento de Ayacucho, periodo 2000-2019.</w:t>
          </w:r>
        </w:p>
        <w:p>
          <w:pPr>
            <w:pStyle w:val="ListParagraph"/>
            <w:numPr>
              <w:ilvl w:val="0"/>
              <w:numId w:val="11"/>
            </w:numPr>
            <w:jc w:val="both"/>
            <w:rPr/>
          </w:pPr>
          <w:r>
            <w:rPr>
              <w:color w:val="000000"/>
            </w:rPr>
            <w:t xml:space="preserve"> </w:t>
          </w:r>
          <w:r>
            <w:rPr>
              <w:color w:val="000000"/>
            </w:rPr>
            <w:t>El índice de Theilen se relaciona directamente al grado de pobreza en el departamento de Ayacucho, periodo 2000-2019.</w:t>
          </w:r>
        </w:p>
        <w:p>
          <w:pPr>
            <w:pStyle w:val="ListParagraph"/>
            <w:numPr>
              <w:ilvl w:val="0"/>
              <w:numId w:val="11"/>
            </w:numPr>
            <w:jc w:val="both"/>
            <w:rPr/>
          </w:pPr>
          <w:r>
            <w:rPr>
              <w:color w:val="000000"/>
            </w:rPr>
            <w:t>El desempleo influye directamente en el índice de Gini</w:t>
          </w:r>
          <w:r>
            <w:rPr>
              <w:b/>
              <w:bCs/>
              <w:color w:val="000000"/>
            </w:rPr>
            <w:t xml:space="preserve"> </w:t>
          </w:r>
          <w:r>
            <w:rPr>
              <w:color w:val="000000"/>
            </w:rPr>
            <w:t>en el departamento de Ayacucho, periodo 2000-2019.</w:t>
          </w:r>
        </w:p>
        <w:p>
          <w:pPr>
            <w:pStyle w:val="Heading1"/>
            <w:rPr/>
          </w:pPr>
          <w:bookmarkStart w:id="47" w:name="_Toc89109939"/>
          <w:r>
            <w:rPr/>
            <w:t>VARIABLES E INDICADORES</w:t>
          </w:r>
          <w:bookmarkEnd w:id="47"/>
        </w:p>
        <w:p>
          <w:pPr>
            <w:pStyle w:val="Heading2"/>
            <w:ind w:left="720" w:hanging="0"/>
            <w:rPr/>
          </w:pPr>
          <w:bookmarkStart w:id="48" w:name="_Toc89109940"/>
          <w:r>
            <w:rPr/>
            <w:t xml:space="preserve">6.1. </w:t>
          </w:r>
          <w:r>
            <w:rPr>
              <w:rStyle w:val="Heading2Char"/>
              <w:b/>
            </w:rPr>
            <w:t>Desigualdad socioeconómica y dimensiones</w:t>
          </w:r>
          <w:bookmarkEnd w:id="48"/>
          <w:r>
            <w:rPr/>
            <w:t xml:space="preserve"> </w:t>
          </w:r>
        </w:p>
        <w:p>
          <w:pPr>
            <w:pStyle w:val="Heading3"/>
            <w:numPr>
              <w:ilvl w:val="0"/>
              <w:numId w:val="0"/>
            </w:numPr>
            <w:ind w:left="1440" w:hanging="720"/>
            <w:rPr/>
          </w:pPr>
          <w:bookmarkStart w:id="49" w:name="_Toc89109941"/>
          <w:r>
            <w:rPr/>
            <w:t xml:space="preserve">6.1.1. </w:t>
          </w:r>
          <w:r>
            <w:rPr>
              <w:rStyle w:val="Heading3Char"/>
              <w:b/>
              <w:i/>
            </w:rPr>
            <w:t>Variable causa</w:t>
          </w:r>
          <w:bookmarkEnd w:id="49"/>
        </w:p>
        <w:p>
          <w:pPr>
            <w:pStyle w:val="Normal"/>
            <w:rPr/>
          </w:pPr>
          <w:r>
            <w:rPr/>
            <w:t>X= Desigualdad socioeconómica</w:t>
          </w:r>
        </w:p>
        <w:p>
          <w:pPr>
            <w:pStyle w:val="Normal"/>
            <w:rPr>
              <w:b/>
              <w:b/>
              <w:bCs/>
            </w:rPr>
          </w:pPr>
          <w:r>
            <w:rPr>
              <w:b/>
              <w:bCs/>
            </w:rPr>
            <w:t>Indicadores:</w:t>
          </w:r>
        </w:p>
        <w:p>
          <w:pPr>
            <w:pStyle w:val="Normal"/>
            <w:rPr/>
          </w:pPr>
          <w:r>
            <w:rPr/>
            <w:t>Empleo</w:t>
          </w:r>
        </w:p>
        <w:p>
          <w:pPr>
            <w:pStyle w:val="Normal"/>
            <w:rPr/>
          </w:pPr>
          <w:r>
            <w:rPr/>
            <w:t>Índice de Theilen</w:t>
          </w:r>
        </w:p>
        <w:p>
          <w:pPr>
            <w:pStyle w:val="Normal"/>
            <w:rPr/>
          </w:pPr>
          <w:r>
            <w:rPr/>
            <w:t>Desempleo</w:t>
          </w:r>
        </w:p>
        <w:p>
          <w:pPr>
            <w:pStyle w:val="Heading3"/>
            <w:numPr>
              <w:ilvl w:val="0"/>
              <w:numId w:val="0"/>
            </w:numPr>
            <w:ind w:left="1440" w:hanging="720"/>
            <w:rPr/>
          </w:pPr>
          <w:bookmarkStart w:id="50" w:name="_Toc89109942"/>
          <w:r>
            <w:rPr/>
            <w:t>6.1.2. Variable efecto</w:t>
          </w:r>
          <w:bookmarkEnd w:id="50"/>
        </w:p>
        <w:p>
          <w:pPr>
            <w:pStyle w:val="Normal"/>
            <w:rPr/>
          </w:pPr>
          <w:r>
            <w:rPr/>
            <w:t>Y=Pobreza</w:t>
          </w:r>
        </w:p>
        <w:p>
          <w:pPr>
            <w:pStyle w:val="Normal"/>
            <w:rPr>
              <w:b/>
              <w:b/>
              <w:bCs/>
            </w:rPr>
          </w:pPr>
          <w:r>
            <w:rPr>
              <w:b/>
              <w:bCs/>
            </w:rPr>
            <w:t>Indicadores:</w:t>
          </w:r>
        </w:p>
        <w:p>
          <w:pPr>
            <w:pStyle w:val="Normal"/>
            <w:rPr/>
          </w:pPr>
          <w:r>
            <w:rPr/>
            <w:t>Índice de Desarrollo Humano</w:t>
          </w:r>
        </w:p>
        <w:p>
          <w:pPr>
            <w:pStyle w:val="Normal"/>
            <w:rPr/>
          </w:pPr>
          <w:r>
            <w:rPr/>
            <w:t>Grado de pobreza</w:t>
          </w:r>
        </w:p>
        <w:p>
          <w:pPr>
            <w:pStyle w:val="Normal"/>
            <w:rPr/>
          </w:pPr>
          <w:r>
            <w:rPr/>
            <w:t>Índice de Gini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701" w:right="1440" w:gutter="0" w:header="0" w:top="1440" w:footer="0" w:bottom="1440"/>
              <w:pgNumType w:start="1" w:fmt="decimal"/>
              <w:formProt w:val="false"/>
              <w:textDirection w:val="lrTb"/>
              <w:docGrid w:type="default" w:linePitch="100" w:charSpace="0"/>
            </w:sectPr>
            <w:pStyle w:val="Normal"/>
            <w:rPr/>
          </w:pPr>
          <w:r>
            <w:rPr/>
          </w:r>
        </w:p>
      </w:sdtContent>
    </w:sdt>
    <w:p>
      <w:pPr>
        <w:pStyle w:val="Heading2"/>
        <w:ind w:left="720" w:hanging="0"/>
        <w:rPr/>
      </w:pPr>
      <w:bookmarkStart w:id="51" w:name="_Toc89109943"/>
      <w:r>
        <w:rPr/>
        <w:t>6.2. Operacionales de variables y dimensiones</w:t>
      </w:r>
      <w:bookmarkEnd w:id="51"/>
      <w:r>
        <w:rPr/>
        <w:t xml:space="preserve"> </w:t>
      </w:r>
    </w:p>
    <w:p>
      <w:pPr>
        <w:pStyle w:val="TITULOTablasyFiguras"/>
        <w:rPr>
          <w:b/>
          <w:b/>
          <w:bCs/>
          <w:i w:val="false"/>
          <w:i w:val="false"/>
          <w:iCs w:val="false"/>
          <w:color w:val="auto"/>
        </w:rPr>
      </w:pPr>
      <w:bookmarkStart w:id="52" w:name="_Toc89105894"/>
      <w:r>
        <w:rPr>
          <w:b/>
          <w:bCs/>
          <w:i w:val="false"/>
          <w:iCs w:val="false"/>
          <w:color w:val="auto"/>
        </w:rPr>
        <w:t xml:space="preserve">Tabla </w:t>
      </w:r>
      <w:bookmarkEnd w:id="52"/>
      <w:r>
        <w:rPr>
          <w:b/>
          <w:bCs/>
          <w:i w:val="false"/>
          <w:iCs w:val="false"/>
          <w:color w:val="auto"/>
        </w:rPr>
        <w:fldChar w:fldCharType="begin"/>
      </w:r>
      <w:r>
        <w:rPr>
          <w:i w:val="false"/>
          <w:b/>
          <w:iCs w:val="false"/>
          <w:bCs/>
          <w:color w:val="auto"/>
        </w:rPr>
        <w:instrText xml:space="preserve"> SEQ Tabla \* ARABIC </w:instrText>
      </w:r>
      <w:r>
        <w:rPr>
          <w:i w:val="false"/>
          <w:b/>
          <w:iCs w:val="false"/>
          <w:bCs/>
          <w:color w:val="auto"/>
        </w:rPr>
        <w:fldChar w:fldCharType="separate"/>
      </w:r>
      <w:r>
        <w:rPr>
          <w:i w:val="false"/>
          <w:b/>
          <w:iCs w:val="false"/>
          <w:bCs/>
          <w:color w:val="auto"/>
        </w:rPr>
        <w:t>1</w:t>
      </w:r>
      <w:r>
        <w:rPr>
          <w:i w:val="false"/>
          <w:b/>
          <w:iCs w:val="false"/>
          <w:bCs/>
          <w:color w:val="auto"/>
        </w:rPr>
        <w:fldChar w:fldCharType="end"/>
      </w:r>
      <w:r>
        <w:rPr>
          <w:b/>
          <w:bCs/>
          <w:i w:val="false"/>
          <w:iCs w:val="false"/>
          <w:color w:val="auto"/>
        </w:rPr>
        <w:t xml:space="preserve"> </w:t>
      </w:r>
    </w:p>
    <w:p>
      <w:pPr>
        <w:pStyle w:val="TITULOTablasyFiguras"/>
        <w:rPr>
          <w:color w:val="auto"/>
        </w:rPr>
      </w:pPr>
      <w:r>
        <w:rPr>
          <w:color w:val="auto"/>
        </w:rPr>
        <w:t>Matriz de consistencia</w:t>
      </w:r>
    </w:p>
    <w:tbl>
      <w:tblPr>
        <w:tblStyle w:val="TableGrid"/>
        <w:tblW w:w="5000" w:type="pct"/>
        <w:jc w:val="left"/>
        <w:tblInd w:w="719" w:type="dxa"/>
        <w:tblLayout w:type="fixed"/>
        <w:tblCellMar>
          <w:top w:w="0" w:type="dxa"/>
          <w:left w:w="108" w:type="dxa"/>
          <w:bottom w:w="0" w:type="dxa"/>
          <w:right w:w="108" w:type="dxa"/>
        </w:tblCellMar>
        <w:tblLook w:val="04a0" w:noHBand="0" w:noVBand="1" w:firstColumn="1" w:lastRow="0" w:lastColumn="0" w:firstRow="1"/>
      </w:tblPr>
      <w:tblGrid>
        <w:gridCol w:w="1778"/>
        <w:gridCol w:w="3662"/>
        <w:gridCol w:w="1375"/>
        <w:gridCol w:w="2360"/>
        <w:gridCol w:w="2172"/>
        <w:gridCol w:w="1612"/>
      </w:tblGrid>
      <w:tr>
        <w:trPr/>
        <w:tc>
          <w:tcPr>
            <w:tcW w:w="1778"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Variable</w:t>
            </w:r>
          </w:p>
        </w:tc>
        <w:tc>
          <w:tcPr>
            <w:tcW w:w="3662"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Definición conceptual</w:t>
            </w:r>
          </w:p>
        </w:tc>
        <w:tc>
          <w:tcPr>
            <w:tcW w:w="1375"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Definición operacional</w:t>
            </w:r>
          </w:p>
        </w:tc>
        <w:tc>
          <w:tcPr>
            <w:tcW w:w="2360"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Indicadores</w:t>
            </w:r>
          </w:p>
        </w:tc>
        <w:tc>
          <w:tcPr>
            <w:tcW w:w="2172"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Unidad de medida</w:t>
            </w:r>
          </w:p>
        </w:tc>
        <w:tc>
          <w:tcPr>
            <w:tcW w:w="1612"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Valor final</w:t>
            </w:r>
          </w:p>
        </w:tc>
      </w:tr>
      <w:tr>
        <w:trPr/>
        <w:tc>
          <w:tcPr>
            <w:tcW w:w="1778"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X = Desigualdad socioeconómica</w:t>
            </w:r>
          </w:p>
        </w:tc>
        <w:tc>
          <w:tcPr>
            <w:tcW w:w="3662" w:type="dxa"/>
            <w:tcBorders/>
          </w:tcPr>
          <w:p>
            <w:pPr>
              <w:pStyle w:val="Normal"/>
              <w:widowControl w:val="false"/>
              <w:suppressAutoHyphens w:val="true"/>
              <w:spacing w:lineRule="auto" w:line="240" w:before="0" w:after="0"/>
              <w:jc w:val="both"/>
              <w:rPr>
                <w:rFonts w:eastAsia="Courier"/>
                <w:sz w:val="16"/>
                <w:szCs w:val="16"/>
                <w:shd w:fill="FFFFFF" w:val="clear"/>
                <w:lang w:eastAsia="en-US"/>
              </w:rPr>
            </w:pPr>
            <w:bookmarkStart w:id="53" w:name="_Hlk91542114"/>
            <w:r>
              <w:rPr>
                <w:rFonts w:eastAsia="Courier" w:cs="Times New Roman"/>
                <w:kern w:val="0"/>
                <w:sz w:val="16"/>
                <w:szCs w:val="16"/>
                <w:shd w:fill="FFFFFF" w:val="clear"/>
                <w:lang w:val="es-PE" w:eastAsia="en-US" w:bidi="ar-SA"/>
              </w:rPr>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bookmarkEnd w:id="53"/>
            <w:r>
              <w:rPr>
                <w:rFonts w:eastAsia="Courier" w:cs="Times New Roman"/>
                <w:kern w:val="0"/>
                <w:sz w:val="16"/>
                <w:szCs w:val="16"/>
                <w:shd w:fill="FFFFFF" w:val="clear"/>
                <w:lang w:val="es-PE" w:eastAsia="en-US" w:bidi="ar-SA"/>
              </w:rPr>
              <w:t>.</w:t>
            </w:r>
          </w:p>
        </w:tc>
        <w:tc>
          <w:tcPr>
            <w:tcW w:w="1375" w:type="dxa"/>
            <w:tcBorders/>
          </w:tcPr>
          <w:p>
            <w:pPr>
              <w:pStyle w:val="Normal"/>
              <w:widowControl w:val="false"/>
              <w:suppressAutoHyphens w:val="true"/>
              <w:spacing w:lineRule="auto" w:line="240" w:before="0" w:after="0"/>
              <w:jc w:val="left"/>
              <w:rPr>
                <w:sz w:val="16"/>
                <w:szCs w:val="16"/>
              </w:rPr>
            </w:pPr>
            <w:r>
              <w:rPr>
                <w:sz w:val="16"/>
                <w:szCs w:val="16"/>
              </w:rPr>
            </w:r>
          </w:p>
        </w:tc>
        <w:tc>
          <w:tcPr>
            <w:tcW w:w="2360" w:type="dxa"/>
            <w:tcBorders/>
          </w:tcPr>
          <w:p>
            <w:pPr>
              <w:pStyle w:val="ListParagraph"/>
              <w:widowControl w:val="false"/>
              <w:numPr>
                <w:ilvl w:val="0"/>
                <w:numId w:val="12"/>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Empleo</w:t>
            </w:r>
          </w:p>
          <w:p>
            <w:pPr>
              <w:pStyle w:val="ListParagraph"/>
              <w:widowControl w:val="false"/>
              <w:numPr>
                <w:ilvl w:val="0"/>
                <w:numId w:val="12"/>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Índice de Theilen</w:t>
            </w:r>
          </w:p>
          <w:p>
            <w:pPr>
              <w:pStyle w:val="ListParagraph"/>
              <w:widowControl w:val="false"/>
              <w:numPr>
                <w:ilvl w:val="0"/>
                <w:numId w:val="12"/>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Desempleo</w:t>
            </w:r>
          </w:p>
        </w:tc>
        <w:tc>
          <w:tcPr>
            <w:tcW w:w="2172" w:type="dxa"/>
            <w:tcBorders/>
          </w:tcPr>
          <w:p>
            <w:pPr>
              <w:pStyle w:val="ListParagraph"/>
              <w:widowControl w:val="false"/>
              <w:numPr>
                <w:ilvl w:val="0"/>
                <w:numId w:val="12"/>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p>
            <w:pPr>
              <w:pStyle w:val="ListParagraph"/>
              <w:widowControl w:val="false"/>
              <w:numPr>
                <w:ilvl w:val="0"/>
                <w:numId w:val="12"/>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p>
            <w:pPr>
              <w:pStyle w:val="ListParagraph"/>
              <w:widowControl w:val="false"/>
              <w:numPr>
                <w:ilvl w:val="0"/>
                <w:numId w:val="12"/>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tc>
        <w:tc>
          <w:tcPr>
            <w:tcW w:w="1612" w:type="dxa"/>
            <w:vMerge w:val="restart"/>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R-Squard</w:t>
            </w:r>
          </w:p>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Coeficiente de determinación</w:t>
            </w:r>
          </w:p>
        </w:tc>
      </w:tr>
      <w:tr>
        <w:trPr/>
        <w:tc>
          <w:tcPr>
            <w:tcW w:w="1778" w:type="dxa"/>
            <w:tcBorders/>
          </w:tcPr>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Y=Pobreza</w:t>
            </w:r>
          </w:p>
        </w:tc>
        <w:tc>
          <w:tcPr>
            <w:tcW w:w="3662" w:type="dxa"/>
            <w:tcBorders/>
          </w:tcPr>
          <w:p>
            <w:pPr>
              <w:pStyle w:val="Normal"/>
              <w:widowControl w:val="false"/>
              <w:suppressAutoHyphens w:val="true"/>
              <w:spacing w:lineRule="auto" w:line="240" w:before="0" w:after="0"/>
              <w:jc w:val="both"/>
              <w:rPr>
                <w:rFonts w:eastAsia="Courier"/>
                <w:sz w:val="16"/>
                <w:szCs w:val="16"/>
                <w:shd w:fill="FFFFFF" w:val="clear"/>
                <w:lang w:eastAsia="en-US"/>
              </w:rPr>
            </w:pPr>
            <w:r>
              <w:rPr>
                <w:rFonts w:eastAsia="Courier" w:cs="Times New Roman"/>
                <w:kern w:val="0"/>
                <w:sz w:val="16"/>
                <w:szCs w:val="16"/>
                <w:shd w:fill="FFFFFF" w:val="clear"/>
                <w:lang w:val="es-PE" w:eastAsia="en-US" w:bidi="ar-SA"/>
              </w:rPr>
              <w:t xml:space="preserve">Según el método de </w:t>
            </w:r>
            <w:r>
              <w:rPr>
                <w:rFonts w:eastAsia="Courier" w:cs="Times New Roman"/>
                <w:kern w:val="0"/>
                <w:sz w:val="16"/>
                <w:szCs w:val="16"/>
                <w:shd w:fill="FFFFFF" w:val="clear"/>
                <w:lang w:val="es-MX" w:eastAsia="en-US" w:bidi="ar-SA"/>
              </w:rPr>
              <w:t>INEI (2007), se</w:t>
            </w:r>
            <w:r>
              <w:rPr>
                <w:rFonts w:eastAsia="Courier" w:cs="Times New Roman"/>
                <w:kern w:val="0"/>
                <w:sz w:val="16"/>
                <w:szCs w:val="16"/>
                <w:shd w:fill="FFFFFF" w:val="clear"/>
                <w:lang w:val="es-PE" w:eastAsia="en-US" w:bidi="ar-SA"/>
              </w:rPr>
              <w:t xml:space="preserve"> define a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pPr>
              <w:pStyle w:val="Normal"/>
              <w:widowControl w:val="false"/>
              <w:suppressAutoHyphens w:val="true"/>
              <w:spacing w:lineRule="auto" w:line="240" w:before="0" w:after="0"/>
              <w:jc w:val="left"/>
              <w:rPr>
                <w:sz w:val="16"/>
                <w:szCs w:val="16"/>
              </w:rPr>
            </w:pPr>
            <w:r>
              <w:rPr>
                <w:sz w:val="16"/>
                <w:szCs w:val="16"/>
              </w:rPr>
            </w:r>
          </w:p>
        </w:tc>
        <w:tc>
          <w:tcPr>
            <w:tcW w:w="1375" w:type="dxa"/>
            <w:tcBorders/>
          </w:tcPr>
          <w:p>
            <w:pPr>
              <w:pStyle w:val="Normal"/>
              <w:widowControl w:val="false"/>
              <w:suppressAutoHyphens w:val="true"/>
              <w:spacing w:lineRule="auto" w:line="240" w:before="0" w:after="0"/>
              <w:jc w:val="left"/>
              <w:rPr>
                <w:sz w:val="16"/>
                <w:szCs w:val="16"/>
              </w:rPr>
            </w:pPr>
            <w:r>
              <w:rPr>
                <w:sz w:val="16"/>
                <w:szCs w:val="16"/>
              </w:rPr>
            </w:r>
          </w:p>
        </w:tc>
        <w:tc>
          <w:tcPr>
            <w:tcW w:w="2360" w:type="dxa"/>
            <w:tcBorders/>
          </w:tcPr>
          <w:p>
            <w:pPr>
              <w:pStyle w:val="ListParagraph"/>
              <w:widowControl w:val="false"/>
              <w:numPr>
                <w:ilvl w:val="0"/>
                <w:numId w:val="13"/>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Índice de Desarrollo Humano</w:t>
            </w:r>
          </w:p>
          <w:p>
            <w:pPr>
              <w:pStyle w:val="ListParagraph"/>
              <w:widowControl w:val="false"/>
              <w:numPr>
                <w:ilvl w:val="0"/>
                <w:numId w:val="13"/>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Grado de pobreza</w:t>
            </w:r>
          </w:p>
          <w:p>
            <w:pPr>
              <w:pStyle w:val="ListParagraph"/>
              <w:widowControl w:val="false"/>
              <w:numPr>
                <w:ilvl w:val="0"/>
                <w:numId w:val="13"/>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Índice de Gini</w:t>
            </w:r>
          </w:p>
        </w:tc>
        <w:tc>
          <w:tcPr>
            <w:tcW w:w="2172" w:type="dxa"/>
            <w:tcBorders/>
          </w:tcPr>
          <w:p>
            <w:pPr>
              <w:pStyle w:val="ListParagraph"/>
              <w:widowControl w:val="false"/>
              <w:numPr>
                <w:ilvl w:val="0"/>
                <w:numId w:val="13"/>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Número</w:t>
            </w:r>
          </w:p>
          <w:p>
            <w:pPr>
              <w:pStyle w:val="ListParagraph"/>
              <w:widowControl w:val="false"/>
              <w:numPr>
                <w:ilvl w:val="0"/>
                <w:numId w:val="13"/>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Nivel de ingresos</w:t>
            </w:r>
          </w:p>
          <w:p>
            <w:pPr>
              <w:pStyle w:val="ListParagraph"/>
              <w:widowControl w:val="false"/>
              <w:numPr>
                <w:ilvl w:val="0"/>
                <w:numId w:val="13"/>
              </w:numPr>
              <w:suppressAutoHyphens w:val="true"/>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tc>
        <w:tc>
          <w:tcPr>
            <w:tcW w:w="1612" w:type="dxa"/>
            <w:vMerge w:val="continue"/>
            <w:tcBorders/>
          </w:tcPr>
          <w:p>
            <w:pPr>
              <w:pStyle w:val="Normal"/>
              <w:widowControl w:val="false"/>
              <w:suppressAutoHyphens w:val="true"/>
              <w:spacing w:lineRule="auto" w:line="240" w:before="0" w:after="0"/>
              <w:jc w:val="left"/>
              <w:rPr>
                <w:sz w:val="16"/>
                <w:szCs w:val="16"/>
              </w:rPr>
            </w:pPr>
            <w:r>
              <w:rPr>
                <w:sz w:val="16"/>
                <w:szCs w:val="16"/>
              </w:rPr>
            </w:r>
          </w:p>
        </w:tc>
      </w:tr>
    </w:tbl>
    <w:p>
      <w:pPr>
        <w:pStyle w:val="NotasAPA"/>
        <w:ind w:left="0" w:hanging="0"/>
        <w:rPr>
          <w:highlight w:val="white"/>
        </w:rPr>
      </w:pPr>
      <w:r>
        <w:rPr>
          <w:highlight w:val="white"/>
        </w:rPr>
        <w:tab/>
        <w:t>Nota: Elaboración propia</w:t>
      </w:r>
    </w:p>
    <w:p>
      <w:pPr>
        <w:pStyle w:val="NotasAPA"/>
        <w:tabs>
          <w:tab w:val="clear" w:pos="720"/>
          <w:tab w:val="left" w:pos="1068" w:leader="none"/>
        </w:tabs>
        <w:ind w:left="0" w:hanging="0"/>
        <w:rPr>
          <w:highlight w:val="white"/>
        </w:rPr>
      </w:pPr>
      <w:r>
        <w:rPr>
          <w:highlight w:val="white"/>
        </w:rPr>
      </w:r>
    </w:p>
    <w:p>
      <w:pPr>
        <w:sectPr>
          <w:type w:val="nextPage"/>
          <w:pgSz w:orient="landscape" w:w="15840" w:h="12240"/>
          <w:pgMar w:left="1440" w:right="1440" w:gutter="0" w:header="0" w:top="1699" w:footer="0" w:bottom="1440"/>
          <w:pgNumType w:start="1" w:fmt="decimal"/>
          <w:formProt w:val="false"/>
          <w:textDirection w:val="lrTb"/>
          <w:docGrid w:type="default" w:linePitch="100" w:charSpace="0"/>
        </w:sectPr>
        <w:pStyle w:val="Normal"/>
        <w:tabs>
          <w:tab w:val="clear" w:pos="720"/>
          <w:tab w:val="left" w:pos="1068" w:leader="none"/>
        </w:tabs>
        <w:rPr>
          <w:highlight w:val="white"/>
        </w:rPr>
      </w:pPr>
      <w:r>
        <w:rPr>
          <w:highlight w:val="white"/>
        </w:rPr>
        <w:tab/>
      </w:r>
    </w:p>
    <w:p>
      <w:pPr>
        <w:pStyle w:val="Heading1"/>
        <w:rPr/>
      </w:pPr>
      <w:bookmarkStart w:id="54" w:name="_Toc89109944"/>
      <w:r>
        <w:rPr/>
        <w:t>METODOLOGÍA</w:t>
      </w:r>
      <w:bookmarkEnd w:id="54"/>
    </w:p>
    <w:p>
      <w:pPr>
        <w:pStyle w:val="Heading2"/>
        <w:numPr>
          <w:ilvl w:val="1"/>
          <w:numId w:val="6"/>
        </w:numPr>
        <w:rPr/>
      </w:pPr>
      <w:r>
        <w:rPr/>
        <w:t xml:space="preserve"> </w:t>
      </w:r>
      <w:bookmarkStart w:id="55" w:name="_Toc89109945"/>
      <w:r>
        <w:rPr/>
        <w:t>Tipo y nivel de investigación</w:t>
      </w:r>
      <w:bookmarkEnd w:id="55"/>
    </w:p>
    <w:p>
      <w:pPr>
        <w:pStyle w:val="Heading3"/>
        <w:numPr>
          <w:ilvl w:val="2"/>
          <w:numId w:val="6"/>
        </w:numPr>
        <w:rPr/>
      </w:pPr>
      <w:bookmarkStart w:id="56" w:name="_Toc89109946"/>
      <w:r>
        <w:rPr/>
        <w:t>Tipo de investigación</w:t>
      </w:r>
      <w:bookmarkEnd w:id="56"/>
    </w:p>
    <w:p>
      <w:pPr>
        <w:pStyle w:val="APAPrrafo"/>
        <w:rPr/>
      </w:pPr>
      <w:r>
        <w:rPr/>
        <w:t>Por el tipo de investigación, la presente investigación reúne las condiciones metodológicas de una investigación longitudinal según el alcance temporal investigación aplicada, en razón que se utilizaron conocimientos de las ciencias económicas a fin de aplicarlas en desigualad socioeconómica y la pobreza en el departamento Ayacucho, periodo 2000-2019.</w:t>
      </w:r>
    </w:p>
    <w:p>
      <w:pPr>
        <w:pStyle w:val="Heading3"/>
        <w:numPr>
          <w:ilvl w:val="2"/>
          <w:numId w:val="6"/>
        </w:numPr>
        <w:rPr/>
      </w:pPr>
      <w:bookmarkStart w:id="57" w:name="_Toc89109947"/>
      <w:r>
        <w:rPr/>
        <w:t>Nivel de investigación</w:t>
      </w:r>
      <w:bookmarkEnd w:id="57"/>
    </w:p>
    <w:p>
      <w:pPr>
        <w:pStyle w:val="APAPrrafo"/>
        <w:rPr/>
      </w:pPr>
      <w:r>
        <w:rPr>
          <w:rFonts w:cs="Times New Roman"/>
        </w:rPr>
        <w:t>Por</w:t>
      </w:r>
      <w:r>
        <w:rPr/>
        <w:t xml:space="preserve"> la naturaleza del estudio</w:t>
      </w:r>
      <w:r>
        <w:rPr>
          <w:rFonts w:cs="Times New Roman"/>
        </w:rPr>
        <w:t>, este estudio agrupa</w:t>
      </w:r>
      <w:r>
        <w:rPr/>
        <w:t xml:space="preserve"> las características de un estudio correlacional, descriptivo y explicativo</w:t>
      </w:r>
      <w:r>
        <w:rPr>
          <w:rFonts w:cs="Times New Roman"/>
        </w:rPr>
        <w:t xml:space="preserve"> según su nivel.</w:t>
      </w:r>
    </w:p>
    <w:p>
      <w:pPr>
        <w:pStyle w:val="Heading2"/>
        <w:numPr>
          <w:ilvl w:val="1"/>
          <w:numId w:val="6"/>
        </w:numPr>
        <w:rPr/>
      </w:pPr>
      <w:r>
        <w:rPr/>
        <w:t xml:space="preserve"> </w:t>
      </w:r>
      <w:bookmarkStart w:id="58" w:name="_Toc89109948"/>
      <w:r>
        <w:rPr/>
        <w:t>Población y muestra</w:t>
      </w:r>
      <w:bookmarkEnd w:id="58"/>
      <w:r>
        <w:rPr/>
        <w:t xml:space="preserve"> </w:t>
      </w:r>
    </w:p>
    <w:p>
      <w:pPr>
        <w:pStyle w:val="Heading3"/>
        <w:numPr>
          <w:ilvl w:val="2"/>
          <w:numId w:val="6"/>
        </w:numPr>
        <w:ind w:left="720" w:hanging="0"/>
        <w:rPr/>
      </w:pPr>
      <w:bookmarkStart w:id="59" w:name="_Toc89109949"/>
      <w:r>
        <w:rPr/>
        <w:t>Población</w:t>
      </w:r>
      <w:bookmarkEnd w:id="59"/>
    </w:p>
    <w:p>
      <w:pPr>
        <w:pStyle w:val="APAPrrafo"/>
        <w:rPr/>
      </w:pPr>
      <w:r>
        <w:rPr/>
        <w:t>Según Córdova (2006), “la población o universo es la totalidad de personas u objetos que tienen una o más características medibles o contables de naturaleza cualitativa o cuantitativa.”</w:t>
      </w:r>
    </w:p>
    <w:p>
      <w:pPr>
        <w:pStyle w:val="APAPrrafo"/>
        <w:rPr/>
      </w:pPr>
      <w:r>
        <w:rPr/>
        <w:t>Para Hilario (2020), la población es un conjunto de elementos que posee características similares.</w:t>
      </w:r>
    </w:p>
    <w:p>
      <w:pPr>
        <w:pStyle w:val="Heading3"/>
        <w:numPr>
          <w:ilvl w:val="2"/>
          <w:numId w:val="6"/>
        </w:numPr>
        <w:ind w:left="720" w:hanging="0"/>
        <w:rPr/>
      </w:pPr>
      <w:bookmarkStart w:id="60" w:name="_Toc89109950"/>
      <w:r>
        <w:rPr/>
        <w:t>Muestra</w:t>
      </w:r>
      <w:bookmarkEnd w:id="60"/>
    </w:p>
    <w:p>
      <w:pPr>
        <w:pStyle w:val="ListParagraph"/>
        <w:ind w:left="1440" w:hanging="0"/>
        <w:rPr/>
      </w:pPr>
      <w:r>
        <w:rPr/>
      </w:r>
    </w:p>
    <w:p>
      <w:pPr>
        <w:pStyle w:val="Heading2"/>
        <w:numPr>
          <w:ilvl w:val="1"/>
          <w:numId w:val="6"/>
        </w:numPr>
        <w:rPr/>
      </w:pPr>
      <w:r>
        <w:rPr/>
        <w:t xml:space="preserve"> </w:t>
      </w:r>
      <w:bookmarkStart w:id="61" w:name="_Toc89109951"/>
      <w:r>
        <w:rPr/>
        <w:t>Fuentes de información</w:t>
      </w:r>
      <w:bookmarkEnd w:id="61"/>
      <w:r>
        <w:rPr/>
        <w:t xml:space="preserve"> </w:t>
      </w:r>
    </w:p>
    <w:p>
      <w:pPr>
        <w:pStyle w:val="APAPrrafo"/>
        <w:rPr/>
      </w:pPr>
      <w:r>
        <w:rPr/>
        <w:t>Los datos usados son de nivel secundario, es decir, son datos ya procesados. Se ha recurrido a la información brindada por las páginas del INEI y BCRP, pues son las instituciones que han venido desarrollando diferentes encuestas y estudios a lo largo de los años y han consignado datos fidedignos los cuales pueden emplearse en todo tipo de investigación que lo requiera.</w:t>
      </w:r>
    </w:p>
    <w:p>
      <w:pPr>
        <w:pStyle w:val="Heading2"/>
        <w:numPr>
          <w:ilvl w:val="1"/>
          <w:numId w:val="6"/>
        </w:numPr>
        <w:rPr/>
      </w:pPr>
      <w:r>
        <w:rPr/>
        <w:t xml:space="preserve"> </w:t>
      </w:r>
      <w:bookmarkStart w:id="62" w:name="_Toc89109952"/>
      <w:r>
        <w:rPr/>
        <w:t>Diseño de investigación</w:t>
      </w:r>
      <w:bookmarkEnd w:id="62"/>
      <w:r>
        <w:rPr/>
        <w:t xml:space="preserve"> </w:t>
      </w:r>
    </w:p>
    <w:p>
      <w:pPr>
        <w:pStyle w:val="Normal"/>
        <w:rPr/>
      </w:pPr>
      <w:r>
        <w:rPr/>
        <w:t>El diseño de esta investigación emplea un tipo de investigación no experimental, el cual a su vez es longitudinal porque nuestra variable se estudia para determinar o evolución en el tiempo.</w:t>
      </w:r>
    </w:p>
    <w:p>
      <w:pPr>
        <w:pStyle w:val="Heading2"/>
        <w:numPr>
          <w:ilvl w:val="1"/>
          <w:numId w:val="6"/>
        </w:numPr>
        <w:rPr/>
      </w:pPr>
      <w:r>
        <w:rPr/>
        <w:t xml:space="preserve"> </w:t>
      </w:r>
      <w:bookmarkStart w:id="63" w:name="_Toc89109953"/>
      <w:r>
        <w:rPr/>
        <w:t>Técnicas e instrumentos</w:t>
      </w:r>
      <w:bookmarkEnd w:id="63"/>
      <w:r>
        <w:rPr/>
        <w:t xml:space="preserve"> </w:t>
      </w:r>
    </w:p>
    <w:p>
      <w:pPr>
        <w:pStyle w:val="Heading3"/>
        <w:numPr>
          <w:ilvl w:val="2"/>
          <w:numId w:val="6"/>
        </w:numPr>
        <w:rPr/>
      </w:pPr>
      <w:bookmarkStart w:id="64" w:name="_Toc89109954"/>
      <w:r>
        <w:rPr/>
        <w:t>Técnicas</w:t>
      </w:r>
      <w:bookmarkEnd w:id="64"/>
    </w:p>
    <w:p>
      <w:pPr>
        <w:pStyle w:val="APAPrrafo"/>
        <w:rPr/>
      </w:pPr>
      <w:r>
        <w:rPr/>
        <w:t>Las principales técnicas que se utilizaran en esta investigación para el análisis de series de tiempo son:</w:t>
      </w:r>
    </w:p>
    <w:p>
      <w:pPr>
        <w:pStyle w:val="APAPrrafo"/>
        <w:numPr>
          <w:ilvl w:val="0"/>
          <w:numId w:val="16"/>
        </w:numPr>
        <w:rPr/>
      </w:pPr>
      <w:r>
        <w:rPr/>
        <w:t xml:space="preserve">Las metodologías econométricas y </w:t>
      </w:r>
    </w:p>
    <w:p>
      <w:pPr>
        <w:pStyle w:val="APAPrrafo"/>
        <w:numPr>
          <w:ilvl w:val="0"/>
          <w:numId w:val="16"/>
        </w:numPr>
        <w:rPr/>
      </w:pPr>
      <w:r>
        <w:rPr/>
        <w:t>estadística inferencial</w:t>
      </w:r>
    </w:p>
    <w:p>
      <w:pPr>
        <w:pStyle w:val="Heading3"/>
        <w:numPr>
          <w:ilvl w:val="2"/>
          <w:numId w:val="6"/>
        </w:numPr>
        <w:ind w:left="1440" w:hanging="589"/>
        <w:rPr/>
      </w:pPr>
      <w:bookmarkStart w:id="65" w:name="_Toc89109955"/>
      <w:r>
        <w:rPr/>
        <w:t>Instrumentos</w:t>
      </w:r>
      <w:bookmarkEnd w:id="65"/>
    </w:p>
    <w:p>
      <w:pPr>
        <w:pStyle w:val="APAPrrafo"/>
        <w:ind w:left="1440" w:hanging="731"/>
        <w:rPr/>
      </w:pPr>
      <w:r>
        <w:rPr/>
        <w:t>Los instrumentos más importantes que se aplicarán en las técnicas son:</w:t>
      </w:r>
    </w:p>
    <w:p>
      <w:pPr>
        <w:pStyle w:val="APAPrrafo"/>
        <w:numPr>
          <w:ilvl w:val="0"/>
          <w:numId w:val="17"/>
        </w:numPr>
        <w:ind w:left="1418" w:hanging="425"/>
        <w:rPr/>
      </w:pPr>
      <w:r>
        <w:rPr/>
        <w:t>Stata</w:t>
      </w:r>
    </w:p>
    <w:p>
      <w:pPr>
        <w:pStyle w:val="APAPrrafo"/>
        <w:numPr>
          <w:ilvl w:val="0"/>
          <w:numId w:val="17"/>
        </w:numPr>
        <w:ind w:left="1418" w:hanging="425"/>
        <w:rPr/>
      </w:pPr>
      <w:r>
        <w:rPr/>
        <w:t>Excel</w:t>
      </w:r>
    </w:p>
    <w:p>
      <w:pPr>
        <w:pStyle w:val="APAPrrafo"/>
        <w:numPr>
          <w:ilvl w:val="0"/>
          <w:numId w:val="17"/>
        </w:numPr>
        <w:ind w:left="1418" w:hanging="425"/>
        <w:rPr/>
      </w:pPr>
      <w:r>
        <w:rPr/>
        <w:t>Eviews</w:t>
      </w:r>
    </w:p>
    <w:p>
      <w:pPr>
        <w:pStyle w:val="APAPrrafo"/>
        <w:rPr/>
      </w:pPr>
      <w:r>
        <w:rPr/>
      </w:r>
    </w:p>
    <w:p>
      <w:pPr>
        <w:pStyle w:val="APAPrrafo"/>
        <w:rPr/>
      </w:pPr>
      <w:r>
        <w:rPr/>
      </w:r>
    </w:p>
    <w:p>
      <w:pPr>
        <w:pStyle w:val="APAPrrafo"/>
        <w:rPr/>
      </w:pPr>
      <w:r>
        <w:rPr/>
      </w:r>
    </w:p>
    <w:p>
      <w:pPr>
        <w:pStyle w:val="APAPrrafo"/>
        <w:rPr/>
      </w:pPr>
      <w:r>
        <w:rPr/>
      </w:r>
    </w:p>
    <w:p>
      <w:pPr>
        <w:pStyle w:val="APAPrrafo"/>
        <w:ind w:left="720" w:hanging="0"/>
        <w:rPr/>
      </w:pPr>
      <w:r>
        <w:rPr/>
      </w:r>
    </w:p>
    <w:sdt>
      <w:sdtPr>
        <w:docPartObj>
          <w:docPartGallery w:val="Bibliographies"/>
          <w:docPartUnique w:val="true"/>
        </w:docPartObj>
        <w:id w:val="1142157091"/>
      </w:sdtPr>
      <w:sdtContent>
        <w:p>
          <w:pPr>
            <w:pStyle w:val="Heading1"/>
            <w:rPr/>
          </w:pPr>
          <w:bookmarkStart w:id="66" w:name="_Toc89109956"/>
          <w:r>
            <w:rPr/>
            <w:t>REFERENCIAS BIBLIOGRÁFICAS</w:t>
          </w:r>
          <w:bookmarkEnd w:id="66"/>
        </w:p>
        <w:p>
          <w:pPr>
            <w:pStyle w:val="Bibliography"/>
            <w:ind w:left="720" w:hanging="720"/>
            <w:rPr/>
          </w:pPr>
          <w:r>
            <w:fldChar w:fldCharType="begin"/>
          </w:r>
          <w:r>
            <w:rPr/>
            <w:instrText xml:space="preserve"> BIBLIOGRAPHY </w:instrText>
          </w:r>
          <w:r>
            <w:rPr/>
            <w:fldChar w:fldCharType="separate"/>
          </w:r>
          <w:r>
            <w:rPr/>
            <w:t xml:space="preserve">Arias, R. (2011). </w:t>
          </w:r>
          <w:r>
            <w:rPr>
              <w:i/>
              <w:iCs/>
            </w:rPr>
            <w:t>Análisis de la desigualdad Socioeconómica en Costa Rica.</w:t>
          </w:r>
          <w:r>
            <w:rPr/>
            <w:t xml:space="preserve"> Costa Rica: Economía Sociedad.</w:t>
          </w:r>
        </w:p>
        <w:p>
          <w:pPr>
            <w:pStyle w:val="Bibliography"/>
            <w:ind w:left="720" w:hanging="720"/>
            <w:rPr/>
          </w:pPr>
          <w:r>
            <w:rPr/>
            <w:t xml:space="preserve">Banco Mundial. (2018). </w:t>
          </w:r>
          <w:r>
            <w:rPr>
              <w:i/>
              <w:iCs/>
            </w:rPr>
            <w:t>La pobreza y la prosperidad compartida 2018: Armando el rompecabezas de la pobreza, panorama general del informe.</w:t>
          </w:r>
          <w:r>
            <w:rPr/>
            <w:t xml:space="preserve"> Washington, DC: Creative Commons de Reconocimiento CC BY 3.0 IGO.</w:t>
          </w:r>
        </w:p>
        <w:p>
          <w:pPr>
            <w:pStyle w:val="Bibliography"/>
            <w:ind w:left="720" w:hanging="720"/>
            <w:rPr/>
          </w:pPr>
          <w:r>
            <w:rPr/>
            <w:t xml:space="preserve">BID. (s.f.). </w:t>
          </w:r>
          <w:r>
            <w:rPr>
              <w:i/>
              <w:iCs/>
            </w:rPr>
            <w:t>Pobreza, desigualdad y movilidad social.</w:t>
          </w:r>
          <w:r>
            <w:rPr/>
            <w:t xml:space="preserve"> </w:t>
          </w:r>
        </w:p>
        <w:p>
          <w:pPr>
            <w:pStyle w:val="Bibliography"/>
            <w:ind w:left="720" w:hanging="720"/>
            <w:rPr/>
          </w:pPr>
          <w:r>
            <w:rPr/>
            <w:t>Casatañeda, D. (1 de diceimbre de 2013). ¿Cómo se mide la desigualdad y por qué es importante saberlo?</w:t>
          </w:r>
        </w:p>
        <w:p>
          <w:pPr>
            <w:pStyle w:val="Bibliography"/>
            <w:ind w:left="720" w:hanging="720"/>
            <w:rPr/>
          </w:pPr>
          <w:r>
            <w:rPr/>
            <w:t xml:space="preserve">CEPAL. (2000). </w:t>
          </w:r>
          <w:r>
            <w:rPr>
              <w:i/>
              <w:iCs/>
            </w:rPr>
            <w:t>La brecha de la equidad.</w:t>
          </w:r>
          <w:r>
            <w:rPr/>
            <w:t xml:space="preserve"> Santiago de Chile.</w:t>
          </w:r>
        </w:p>
        <w:p>
          <w:pPr>
            <w:pStyle w:val="Bibliography"/>
            <w:ind w:left="720" w:hanging="720"/>
            <w:rPr/>
          </w:pPr>
          <w:r>
            <w:rPr/>
            <w:t xml:space="preserve">CEPAL. (2009). </w:t>
          </w:r>
          <w:r>
            <w:rPr>
              <w:i/>
              <w:iCs/>
            </w:rPr>
            <w:t>Transformación productiva con equidad.</w:t>
          </w:r>
          <w:r>
            <w:rPr/>
            <w:t xml:space="preserve"> Santiago de Chile.</w:t>
          </w:r>
        </w:p>
        <w:p>
          <w:pPr>
            <w:pStyle w:val="Bibliography"/>
            <w:ind w:left="720" w:hanging="720"/>
            <w:rPr/>
          </w:pPr>
          <w:r>
            <w:rPr/>
            <w:t xml:space="preserve">Córdova Zamora, M. (2006). </w:t>
          </w:r>
          <w:r>
            <w:rPr>
              <w:i/>
              <w:iCs/>
            </w:rPr>
            <w:t>Estadística inferencial.</w:t>
          </w:r>
          <w:r>
            <w:rPr/>
            <w:t xml:space="preserve"> Lima: MOSHERA S. R. L.</w:t>
          </w:r>
        </w:p>
        <w:p>
          <w:pPr>
            <w:pStyle w:val="Bibliography"/>
            <w:ind w:left="720" w:hanging="720"/>
            <w:rPr/>
          </w:pPr>
          <w:r>
            <w:rPr/>
            <w:t xml:space="preserve">Damm Arnal, A. (2017). Los grados de la pobreza. </w:t>
          </w:r>
          <w:r>
            <w:rPr>
              <w:i/>
              <w:iCs/>
            </w:rPr>
            <w:t>Guillermo Barba</w:t>
          </w:r>
          <w:r>
            <w:rPr/>
            <w:t>.</w:t>
          </w:r>
        </w:p>
        <w:p>
          <w:pPr>
            <w:pStyle w:val="Bibliography"/>
            <w:ind w:left="720" w:hanging="720"/>
            <w:rPr/>
          </w:pPr>
          <w:r>
            <w:rPr/>
            <w:t xml:space="preserve">De Gregorio, J. (2007). </w:t>
          </w:r>
          <w:r>
            <w:rPr>
              <w:i/>
              <w:iCs/>
            </w:rPr>
            <w:t>Macroeconomía: teorías y políticas.</w:t>
          </w:r>
          <w:r>
            <w:rPr/>
            <w:t xml:space="preserve"> Mexico: Prentice-Hall.</w:t>
          </w:r>
        </w:p>
        <w:p>
          <w:pPr>
            <w:pStyle w:val="Bibliography"/>
            <w:ind w:left="720" w:hanging="720"/>
            <w:rPr/>
          </w:pPr>
          <w:r>
            <w:rPr/>
            <w:t xml:space="preserve">De La Piedra, E. (1984). </w:t>
          </w:r>
          <w:r>
            <w:rPr>
              <w:i/>
              <w:iCs/>
            </w:rPr>
            <w:t>La pobreza: diversidad de enfoques para un solo problema.</w:t>
          </w:r>
          <w:r>
            <w:rPr/>
            <w:t xml:space="preserve"> Chile.</w:t>
          </w:r>
        </w:p>
        <w:p>
          <w:pPr>
            <w:pStyle w:val="Bibliography"/>
            <w:ind w:left="720" w:hanging="720"/>
            <w:rPr/>
          </w:pPr>
          <w:r>
            <w:rPr/>
            <w:t xml:space="preserve">Dirección Provincial de Estadística de la provincia de Buenos Aires. (2010). Método de medición de la pobreza conceptos y aplicaciones en América Latina. </w:t>
          </w:r>
          <w:r>
            <w:rPr>
              <w:i/>
              <w:iCs/>
            </w:rPr>
            <w:t>Entre líneas de política económica</w:t>
          </w:r>
          <w:r>
            <w:rPr/>
            <w:t>, 31 - 41.</w:t>
          </w:r>
        </w:p>
        <w:p>
          <w:pPr>
            <w:pStyle w:val="Bibliography"/>
            <w:ind w:left="720" w:hanging="720"/>
            <w:rPr/>
          </w:pPr>
          <w:r>
            <w:rPr/>
            <w:t xml:space="preserve">Etecé, E. (05 de Agosto de 2021). </w:t>
          </w:r>
          <w:r>
            <w:rPr>
              <w:i/>
              <w:iCs/>
            </w:rPr>
            <w:t>Concepto</w:t>
          </w:r>
          <w:r>
            <w:rPr/>
            <w:t>. Obtenido de https://concepto.de/desigualdad-social/</w:t>
          </w:r>
        </w:p>
        <w:p>
          <w:pPr>
            <w:pStyle w:val="Bibliography"/>
            <w:ind w:left="720" w:hanging="720"/>
            <w:rPr/>
          </w:pPr>
          <w:r>
            <w:rPr/>
            <w:t xml:space="preserve">Figueroa, A. (2001). </w:t>
          </w:r>
          <w:r>
            <w:rPr>
              <w:i/>
              <w:iCs/>
            </w:rPr>
            <w:t>Reformas en sociedades desiguales.</w:t>
          </w:r>
          <w:r>
            <w:rPr/>
            <w:t xml:space="preserve"> Lima: Fondo editorial PUCP.</w:t>
          </w:r>
        </w:p>
        <w:p>
          <w:pPr>
            <w:pStyle w:val="Bibliography"/>
            <w:ind w:left="720" w:hanging="720"/>
            <w:rPr/>
          </w:pPr>
          <w:r>
            <w:rPr/>
            <w:t xml:space="preserve">Hilario Valenzuela, P. (2020). </w:t>
          </w:r>
          <w:r>
            <w:rPr>
              <w:i/>
              <w:iCs/>
            </w:rPr>
            <w:t>La lógica en la investigación científica.</w:t>
          </w:r>
          <w:r>
            <w:rPr/>
            <w:t xml:space="preserve"> Ayacucho.</w:t>
          </w:r>
        </w:p>
        <w:p>
          <w:pPr>
            <w:pStyle w:val="Bibliography"/>
            <w:ind w:left="720" w:hanging="720"/>
            <w:rPr/>
          </w:pPr>
          <w:r>
            <w:rPr/>
            <w:t xml:space="preserve">INEI. (2000). Metodología para la Medición de la pobreza en el Perú. </w:t>
          </w:r>
          <w:r>
            <w:rPr>
              <w:i/>
              <w:iCs/>
            </w:rPr>
            <w:t>Colección de Metodologías Estadísticas</w:t>
          </w:r>
          <w:r>
            <w:rPr/>
            <w:t>, 2.</w:t>
          </w:r>
        </w:p>
        <w:p>
          <w:pPr>
            <w:pStyle w:val="Bibliography"/>
            <w:ind w:left="720" w:hanging="720"/>
            <w:rPr/>
          </w:pPr>
          <w:r>
            <w:rPr/>
            <w:t xml:space="preserve">INEI. (2007). </w:t>
          </w:r>
          <w:r>
            <w:rPr>
              <w:i/>
              <w:iCs/>
            </w:rPr>
            <w:t>Aspectos metodológicos de la medición de la pobreza.</w:t>
          </w:r>
          <w:r>
            <w:rPr/>
            <w:t xml:space="preserve"> Lima.</w:t>
          </w:r>
        </w:p>
        <w:p>
          <w:pPr>
            <w:pStyle w:val="Bibliography"/>
            <w:ind w:left="720" w:hanging="720"/>
            <w:rPr/>
          </w:pPr>
          <w:r>
            <w:rPr/>
            <w:t xml:space="preserve">Jimenez, F. (2016). </w:t>
          </w:r>
          <w:r>
            <w:rPr>
              <w:i/>
              <w:iCs/>
            </w:rPr>
            <w:t>Crecimiento económico: enfoques y modelos.</w:t>
          </w:r>
          <w:r>
            <w:rPr/>
            <w:t xml:space="preserve"> Lima: Fondo editorial PUCP.</w:t>
          </w:r>
        </w:p>
        <w:p>
          <w:pPr>
            <w:pStyle w:val="Bibliography"/>
            <w:ind w:left="720" w:hanging="720"/>
            <w:rPr>
              <w:lang w:val="en-US"/>
            </w:rPr>
          </w:pPr>
          <w:r>
            <w:rPr/>
            <w:t xml:space="preserve">Lustig, N. (2011). </w:t>
          </w:r>
          <w:r>
            <w:rPr>
              <w:i/>
              <w:iCs/>
            </w:rPr>
            <w:t>América Latina: ¿Menos desigual?</w:t>
          </w:r>
          <w:r>
            <w:rPr/>
            <w:t xml:space="preserve"> </w:t>
          </w:r>
          <w:r>
            <w:rPr>
              <w:lang w:val="en-US"/>
            </w:rPr>
            <w:t>En Nexos.</w:t>
          </w:r>
        </w:p>
        <w:p>
          <w:pPr>
            <w:pStyle w:val="Bibliography"/>
            <w:ind w:left="720" w:hanging="720"/>
            <w:rPr/>
          </w:pPr>
          <w:r>
            <w:rPr>
              <w:lang w:val="en-US"/>
            </w:rPr>
            <w:t xml:space="preserve">Modigliani, F., Fitoussi, J.-P., Moro, B., Snower, D., &amp; Solow, R. (1999). </w:t>
          </w:r>
          <w:r>
            <w:rPr>
              <w:i/>
              <w:iCs/>
              <w:lang w:val="en-US"/>
            </w:rPr>
            <w:t>An economists manifesto on unemploment in the European Union.</w:t>
          </w:r>
          <w:r>
            <w:rPr>
              <w:lang w:val="en-US"/>
            </w:rPr>
            <w:t xml:space="preserve"> </w:t>
          </w:r>
          <w:r>
            <w:rPr/>
            <w:t>University of Bozen-Bolzano.</w:t>
          </w:r>
        </w:p>
        <w:p>
          <w:pPr>
            <w:pStyle w:val="Bibliography"/>
            <w:ind w:left="720" w:hanging="720"/>
            <w:rPr/>
          </w:pPr>
          <w:r>
            <w:rPr/>
            <w:t xml:space="preserve">Montero Castellanos, Y. (15 de noviembre de 2021). </w:t>
          </w:r>
          <w:r>
            <w:rPr>
              <w:i/>
              <w:iCs/>
            </w:rPr>
            <w:t>Relación entre la curva de Lorenz y el índice de Gini</w:t>
          </w:r>
          <w:r>
            <w:rPr/>
            <w:t>. Obtenido de Economipedia: https://economipedia.com/author/y.montero</w:t>
          </w:r>
        </w:p>
        <w:p>
          <w:pPr>
            <w:pStyle w:val="Bibliography"/>
            <w:ind w:left="720" w:hanging="720"/>
            <w:rPr/>
          </w:pPr>
          <w:r>
            <w:rPr/>
            <w:t xml:space="preserve">Murillo Alfaro, F. (1993). </w:t>
          </w:r>
          <w:r>
            <w:rPr>
              <w:i/>
              <w:iCs/>
            </w:rPr>
            <w:t>Perú: mapa de necesidades básicas insatisfechas de los hogares a nivel distrital.</w:t>
          </w:r>
          <w:r>
            <w:rPr/>
            <w:t xml:space="preserve"> Callao.</w:t>
          </w:r>
        </w:p>
        <w:p>
          <w:pPr>
            <w:pStyle w:val="Bibliography"/>
            <w:ind w:left="720" w:hanging="720"/>
            <w:rPr/>
          </w:pPr>
          <w:r>
            <w:rPr/>
            <w:t xml:space="preserve">OCDE. (2018). </w:t>
          </w:r>
          <w:r>
            <w:rPr>
              <w:i/>
              <w:iCs/>
            </w:rPr>
            <w:t>Desigualdad económica en el mundo.</w:t>
          </w:r>
          <w:r>
            <w:rPr/>
            <w:t xml:space="preserve"> </w:t>
          </w:r>
        </w:p>
        <w:p>
          <w:pPr>
            <w:pStyle w:val="Bibliography"/>
            <w:ind w:left="720" w:hanging="720"/>
            <w:rPr/>
          </w:pPr>
          <w:r>
            <w:rPr/>
            <w:t xml:space="preserve">ONU. (10 de noviembre de 2021). </w:t>
          </w:r>
          <w:r>
            <w:rPr>
              <w:i/>
              <w:iCs/>
            </w:rPr>
            <w:t>Naciones Unidas</w:t>
          </w:r>
          <w:r>
            <w:rPr/>
            <w:t>. Obtenido de https://www.un.org/es/global-issues/ending-poverty</w:t>
          </w:r>
        </w:p>
        <w:p>
          <w:pPr>
            <w:pStyle w:val="Bibliography"/>
            <w:ind w:left="720" w:hanging="720"/>
            <w:rPr/>
          </w:pPr>
          <w:r>
            <w:rPr>
              <w:lang w:val="en-US"/>
            </w:rPr>
            <w:t xml:space="preserve">Pissarides, C. (1990). </w:t>
          </w:r>
          <w:r>
            <w:rPr>
              <w:i/>
              <w:iCs/>
              <w:lang w:val="en-US"/>
            </w:rPr>
            <w:t>Equilibrium unemployment theory.</w:t>
          </w:r>
          <w:r>
            <w:rPr>
              <w:lang w:val="en-US"/>
            </w:rPr>
            <w:t xml:space="preserve"> </w:t>
          </w:r>
          <w:r>
            <w:rPr/>
            <w:t>Oxford: Basil Blackwell.</w:t>
          </w:r>
        </w:p>
        <w:p>
          <w:pPr>
            <w:pStyle w:val="Bibliography"/>
            <w:ind w:left="720" w:hanging="720"/>
            <w:rPr/>
          </w:pPr>
          <w:r>
            <w:rPr/>
            <w:t xml:space="preserve">PNUD. (2000). </w:t>
          </w:r>
          <w:r>
            <w:rPr>
              <w:i/>
              <w:iCs/>
            </w:rPr>
            <w:t>Pobreza Humana.</w:t>
          </w:r>
          <w:r>
            <w:rPr/>
            <w:t xml:space="preserve"> </w:t>
          </w:r>
        </w:p>
        <w:p>
          <w:pPr>
            <w:pStyle w:val="Bibliography"/>
            <w:ind w:left="720" w:hanging="720"/>
            <w:rPr/>
          </w:pPr>
          <w:r>
            <w:rPr/>
            <w:t xml:space="preserve">PNUD. (08 de noviembre de 2021). </w:t>
          </w:r>
          <w:r>
            <w:rPr>
              <w:i/>
              <w:iCs/>
            </w:rPr>
            <w:t>Instituto Peruano de Economía</w:t>
          </w:r>
          <w:r>
            <w:rPr/>
            <w:t>. Obtenido de https://www.ipe.org.pe/portal/indice-de-desarrollo-humano-idh/</w:t>
          </w:r>
        </w:p>
        <w:p>
          <w:pPr>
            <w:pStyle w:val="Bibliography"/>
            <w:ind w:left="720" w:hanging="720"/>
            <w:rPr>
              <w:lang w:val="en-US"/>
            </w:rPr>
          </w:pPr>
          <w:r>
            <w:rPr/>
            <w:t xml:space="preserve">Ravallion, M., G., &amp; Datt y D. Van de Walle. </w:t>
          </w:r>
          <w:r>
            <w:rPr>
              <w:lang w:val="en-US"/>
            </w:rPr>
            <w:t xml:space="preserve">(1991). Quantifying absolute poverty in the developing world. </w:t>
          </w:r>
          <w:r>
            <w:rPr>
              <w:i/>
              <w:iCs/>
              <w:lang w:val="en-US"/>
            </w:rPr>
            <w:t>Review of Income and Wealth</w:t>
          </w:r>
          <w:r>
            <w:rPr>
              <w:lang w:val="en-US"/>
            </w:rPr>
            <w:t>, 37. doi:https://doi.org/10.1111/j.1475-4991.1991.tb00378.x.</w:t>
          </w:r>
        </w:p>
        <w:p>
          <w:pPr>
            <w:pStyle w:val="Bibliography"/>
            <w:ind w:left="720" w:hanging="720"/>
            <w:rPr>
              <w:lang w:val="en-US"/>
            </w:rPr>
          </w:pPr>
          <w:r>
            <w:rPr/>
            <w:t xml:space="preserve">Ricardo, D. (1959). </w:t>
          </w:r>
          <w:r>
            <w:rPr>
              <w:i/>
              <w:iCs/>
            </w:rPr>
            <w:t>Principios de Economía Política y de Tributación.</w:t>
          </w:r>
          <w:r>
            <w:rPr/>
            <w:t xml:space="preserve"> </w:t>
          </w:r>
          <w:r>
            <w:rPr>
              <w:lang w:val="en-US"/>
            </w:rPr>
            <w:t>Madrid: Aguilar.</w:t>
          </w:r>
        </w:p>
        <w:p>
          <w:pPr>
            <w:pStyle w:val="Bibliography"/>
            <w:ind w:left="720" w:hanging="720"/>
            <w:rPr/>
          </w:pPr>
          <w:r>
            <w:rPr>
              <w:lang w:val="en-US"/>
            </w:rPr>
            <w:t xml:space="preserve">Sen, A. (1981). </w:t>
          </w:r>
          <w:r>
            <w:rPr>
              <w:i/>
              <w:iCs/>
              <w:lang w:val="en-US"/>
            </w:rPr>
            <w:t>Poverty and famines. An essay on entitlements and deprivation.</w:t>
          </w:r>
          <w:r>
            <w:rPr>
              <w:lang w:val="en-US"/>
            </w:rPr>
            <w:t xml:space="preserve"> </w:t>
          </w:r>
          <w:r>
            <w:rPr/>
            <w:t>Oxford: OIT-Clarendon Press.</w:t>
          </w:r>
        </w:p>
        <w:p>
          <w:pPr>
            <w:pStyle w:val="Bibliography"/>
            <w:ind w:left="720" w:hanging="720"/>
            <w:rPr/>
          </w:pPr>
          <w:r>
            <w:rPr/>
            <w:t xml:space="preserve">Serie de Estudios Económicos. (2015). Empleo. </w:t>
          </w:r>
          <w:r>
            <w:rPr>
              <w:i/>
              <w:iCs/>
            </w:rPr>
            <w:t>México ¿cómo vamos?</w:t>
          </w:r>
          <w:r>
            <w:rPr/>
            <w:t>, 9.</w:t>
          </w:r>
        </w:p>
        <w:p>
          <w:pPr>
            <w:pStyle w:val="Bibliography"/>
            <w:ind w:left="720" w:hanging="720"/>
            <w:rPr>
              <w:lang w:val="en-US"/>
            </w:rPr>
          </w:pPr>
          <w:r>
            <w:rPr>
              <w:lang w:val="en-US"/>
            </w:rPr>
            <w:t xml:space="preserve">Townsend, P. (1962). </w:t>
          </w:r>
          <w:r>
            <w:rPr>
              <w:i/>
              <w:iCs/>
              <w:lang w:val="en-US"/>
            </w:rPr>
            <w:t>The Meaning of Poverty.</w:t>
          </w:r>
          <w:r>
            <w:rPr>
              <w:lang w:val="en-US"/>
            </w:rPr>
            <w:t xml:space="preserve"> Londres: British Journal of Sociology.</w:t>
          </w:r>
        </w:p>
        <w:p>
          <w:pPr>
            <w:pStyle w:val="Bibliography"/>
            <w:ind w:left="720" w:hanging="720"/>
            <w:rPr/>
          </w:pPr>
          <w:r>
            <w:rPr/>
            <w:t xml:space="preserve">UNSM. (2014). El indice de desarrollo humano. </w:t>
          </w:r>
          <w:r>
            <w:rPr>
              <w:i/>
              <w:iCs/>
            </w:rPr>
            <w:t>Observatorio de economia mundial</w:t>
          </w:r>
          <w:r>
            <w:rPr/>
            <w:t>, 1.</w:t>
          </w:r>
        </w:p>
        <w:p>
          <w:pPr>
            <w:pStyle w:val="Bibliography"/>
            <w:ind w:left="720" w:hanging="720"/>
            <w:rPr>
              <w:lang w:val="en-US"/>
            </w:rPr>
          </w:pPr>
          <w:r>
            <w:rPr/>
            <w:t xml:space="preserve">Weber, M. (1978). </w:t>
          </w:r>
          <w:r>
            <w:rPr>
              <w:i/>
              <w:iCs/>
              <w:lang w:val="en-US"/>
            </w:rPr>
            <w:t>Economy and Society.</w:t>
          </w:r>
          <w:r>
            <w:rPr>
              <w:lang w:val="en-US"/>
            </w:rPr>
            <w:t xml:space="preserve"> Londres: University of California Press.</w:t>
          </w:r>
        </w:p>
        <w:p>
          <w:pPr>
            <w:pStyle w:val="Bibliography"/>
            <w:ind w:left="720" w:hanging="720"/>
            <w:rPr/>
          </w:pPr>
          <w:r>
            <w:rPr/>
            <w:t xml:space="preserve">Wikipedia. (13 de 11 de 2021). </w:t>
          </w:r>
          <w:r>
            <w:rPr>
              <w:i/>
              <w:iCs/>
            </w:rPr>
            <w:t>Índice de Theil - Theil index Índice de Theil</w:t>
          </w:r>
          <w:r>
            <w:rPr/>
            <w:t>. Obtenido de https://es.abcdef.wiki/wiki/Theil_index</w:t>
          </w:r>
        </w:p>
        <w:p>
          <w:pPr>
            <w:pStyle w:val="Normal"/>
            <w:rPr/>
          </w:pPr>
          <w:r>
            <w:rPr/>
          </w:r>
          <w:r>
            <w:rPr/>
            <w:fldChar w:fldCharType="end"/>
          </w:r>
        </w:p>
      </w:sdtContent>
    </w:sdt>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701" w:right="1440" w:gutter="0" w:header="0" w:top="1440" w:footer="0" w:bottom="1440"/>
          <w:pgNumType w:start="1" w:fmt="decimal"/>
          <w:formProt w:val="false"/>
          <w:textDirection w:val="lrTb"/>
          <w:docGrid w:type="default" w:linePitch="100" w:charSpace="0"/>
        </w:sectPr>
        <w:pStyle w:val="Heading1"/>
        <w:ind w:left="1080" w:hanging="0"/>
        <w:jc w:val="center"/>
        <w:rPr>
          <w:sz w:val="56"/>
          <w:szCs w:val="56"/>
        </w:rPr>
      </w:pPr>
      <w:r>
        <w:rPr>
          <w:sz w:val="56"/>
          <w:szCs w:val="56"/>
        </w:rPr>
        <w:t>ANEXO</w:t>
      </w:r>
    </w:p>
    <w:p>
      <w:pPr>
        <w:pStyle w:val="Heading1"/>
        <w:ind w:left="1080" w:hanging="0"/>
        <w:rPr/>
      </w:pPr>
      <w:r>
        <w:rPr/>
        <w:t>Anexo 1: MATRIZ DE CONSISTENCIA</w:t>
      </w:r>
    </w:p>
    <w:p>
      <w:pPr>
        <w:pStyle w:val="Normal"/>
        <w:spacing w:lineRule="auto" w:line="240"/>
        <w:jc w:val="center"/>
        <w:rPr>
          <w:rFonts w:eastAsia="Arial-BoldMT"/>
          <w:b/>
          <w:b/>
        </w:rPr>
      </w:pPr>
      <w:r>
        <w:rPr>
          <w:rFonts w:eastAsia="Arial-BoldMT"/>
          <w:b/>
        </w:rPr>
        <w:t>Título: Desigualad socioeconómica y la pobreza en el departamento Ayacucho, periodo 2000-2019</w:t>
      </w:r>
    </w:p>
    <w:tbl>
      <w:tblPr>
        <w:tblStyle w:val="TableGrid"/>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2577"/>
        <w:gridCol w:w="2517"/>
        <w:gridCol w:w="3016"/>
        <w:gridCol w:w="1975"/>
        <w:gridCol w:w="2163"/>
        <w:gridCol w:w="711"/>
      </w:tblGrid>
      <w:tr>
        <w:trPr>
          <w:trHeight w:val="418" w:hRule="atLeast"/>
        </w:trPr>
        <w:tc>
          <w:tcPr>
            <w:tcW w:w="2577" w:type="dxa"/>
            <w:tcBorders/>
            <w:vAlign w:val="center"/>
          </w:tcPr>
          <w:p>
            <w:pPr>
              <w:pStyle w:val="Normal"/>
              <w:widowControl w:val="false"/>
              <w:suppressAutoHyphens w:val="true"/>
              <w:spacing w:lineRule="auto" w:line="240" w:before="0" w:after="0"/>
              <w:jc w:val="center"/>
              <w:rPr>
                <w:b/>
                <w:b/>
                <w:bCs/>
                <w:sz w:val="16"/>
                <w:szCs w:val="16"/>
              </w:rPr>
            </w:pPr>
            <w:r>
              <w:rPr>
                <w:rFonts w:eastAsia="Times New Roman" w:cs="Times New Roman"/>
                <w:b/>
                <w:bCs/>
                <w:kern w:val="0"/>
                <w:sz w:val="16"/>
                <w:szCs w:val="16"/>
                <w:lang w:val="es-PE" w:eastAsia="es-MX" w:bidi="ar-SA"/>
              </w:rPr>
              <w:t>PROBLEMAS</w:t>
            </w:r>
          </w:p>
        </w:tc>
        <w:tc>
          <w:tcPr>
            <w:tcW w:w="2517" w:type="dxa"/>
            <w:tcBorders/>
            <w:vAlign w:val="center"/>
          </w:tcPr>
          <w:p>
            <w:pPr>
              <w:pStyle w:val="Normal"/>
              <w:widowControl w:val="false"/>
              <w:suppressAutoHyphens w:val="true"/>
              <w:spacing w:lineRule="auto" w:line="240" w:before="0" w:after="0"/>
              <w:jc w:val="center"/>
              <w:rPr>
                <w:b/>
                <w:b/>
                <w:bCs/>
                <w:sz w:val="16"/>
                <w:szCs w:val="16"/>
              </w:rPr>
            </w:pPr>
            <w:r>
              <w:rPr>
                <w:rFonts w:eastAsia="Times New Roman" w:cs="Times New Roman"/>
                <w:b/>
                <w:bCs/>
                <w:kern w:val="0"/>
                <w:sz w:val="16"/>
                <w:szCs w:val="16"/>
                <w:lang w:val="es-PE" w:eastAsia="es-MX" w:bidi="ar-SA"/>
              </w:rPr>
              <w:t>OBJETIVOS</w:t>
            </w:r>
          </w:p>
        </w:tc>
        <w:tc>
          <w:tcPr>
            <w:tcW w:w="3016" w:type="dxa"/>
            <w:tcBorders/>
            <w:vAlign w:val="center"/>
          </w:tcPr>
          <w:p>
            <w:pPr>
              <w:pStyle w:val="Normal"/>
              <w:widowControl w:val="false"/>
              <w:suppressAutoHyphens w:val="true"/>
              <w:spacing w:lineRule="auto" w:line="240" w:before="0" w:after="0"/>
              <w:jc w:val="center"/>
              <w:rPr>
                <w:b/>
                <w:b/>
                <w:bCs/>
                <w:sz w:val="16"/>
                <w:szCs w:val="16"/>
              </w:rPr>
            </w:pPr>
            <w:r>
              <w:rPr>
                <w:rFonts w:eastAsia="Times New Roman" w:cs="Times New Roman"/>
                <w:b/>
                <w:bCs/>
                <w:kern w:val="0"/>
                <w:sz w:val="16"/>
                <w:szCs w:val="16"/>
                <w:lang w:val="es-PE" w:eastAsia="es-MX" w:bidi="ar-SA"/>
              </w:rPr>
              <w:t>HIPÓTESIS</w:t>
            </w:r>
          </w:p>
        </w:tc>
        <w:tc>
          <w:tcPr>
            <w:tcW w:w="1975" w:type="dxa"/>
            <w:tcBorders/>
            <w:vAlign w:val="center"/>
          </w:tcPr>
          <w:p>
            <w:pPr>
              <w:pStyle w:val="Normal"/>
              <w:widowControl w:val="false"/>
              <w:suppressAutoHyphens w:val="true"/>
              <w:spacing w:lineRule="auto" w:line="240" w:before="0" w:after="0"/>
              <w:jc w:val="center"/>
              <w:rPr>
                <w:b/>
                <w:b/>
                <w:bCs/>
                <w:sz w:val="16"/>
                <w:szCs w:val="16"/>
              </w:rPr>
            </w:pPr>
            <w:r>
              <w:rPr>
                <w:rFonts w:eastAsia="Times New Roman" w:cs="Times New Roman"/>
                <w:b/>
                <w:bCs/>
                <w:kern w:val="0"/>
                <w:sz w:val="16"/>
                <w:szCs w:val="16"/>
                <w:lang w:val="es-PE" w:eastAsia="es-MX" w:bidi="ar-SA"/>
              </w:rPr>
              <w:t>VARIABLES Y DIMENSIONES</w:t>
            </w:r>
          </w:p>
        </w:tc>
        <w:tc>
          <w:tcPr>
            <w:tcW w:w="2163" w:type="dxa"/>
            <w:tcBorders/>
            <w:vAlign w:val="center"/>
          </w:tcPr>
          <w:p>
            <w:pPr>
              <w:pStyle w:val="Normal"/>
              <w:widowControl w:val="false"/>
              <w:suppressAutoHyphens w:val="true"/>
              <w:spacing w:lineRule="auto" w:line="240" w:before="0" w:after="0"/>
              <w:jc w:val="center"/>
              <w:rPr>
                <w:b/>
                <w:b/>
                <w:bCs/>
                <w:sz w:val="16"/>
                <w:szCs w:val="16"/>
              </w:rPr>
            </w:pPr>
            <w:r>
              <w:rPr>
                <w:rFonts w:eastAsia="Times New Roman" w:cs="Times New Roman"/>
                <w:b/>
                <w:bCs/>
                <w:kern w:val="0"/>
                <w:sz w:val="16"/>
                <w:szCs w:val="16"/>
                <w:lang w:val="es-PE" w:eastAsia="es-MX" w:bidi="ar-SA"/>
              </w:rPr>
              <w:t>METODOLOGÍA</w:t>
            </w:r>
          </w:p>
          <w:p>
            <w:pPr>
              <w:pStyle w:val="Normal"/>
              <w:widowControl w:val="false"/>
              <w:suppressAutoHyphens w:val="true"/>
              <w:spacing w:lineRule="auto" w:line="240" w:before="0" w:after="0"/>
              <w:jc w:val="left"/>
              <w:rPr>
                <w:b/>
                <w:b/>
                <w:bCs/>
                <w:sz w:val="16"/>
                <w:szCs w:val="16"/>
              </w:rPr>
            </w:pPr>
            <w:r>
              <w:rPr>
                <w:b/>
                <w:bCs/>
                <w:sz w:val="16"/>
                <w:szCs w:val="16"/>
              </w:rPr>
            </w:r>
          </w:p>
        </w:tc>
        <w:tc>
          <w:tcPr>
            <w:tcW w:w="711" w:type="dxa"/>
            <w:tcBorders/>
          </w:tcPr>
          <w:p>
            <w:pPr>
              <w:pStyle w:val="Normal"/>
              <w:widowControl w:val="false"/>
              <w:suppressAutoHyphens w:val="true"/>
              <w:spacing w:lineRule="auto" w:line="240" w:before="0" w:after="0"/>
              <w:jc w:val="center"/>
              <w:rPr>
                <w:b/>
                <w:b/>
                <w:bCs/>
                <w:sz w:val="16"/>
                <w:szCs w:val="16"/>
              </w:rPr>
            </w:pPr>
            <w:r>
              <w:rPr>
                <w:rFonts w:eastAsia="Times New Roman" w:cs="Times New Roman"/>
                <w:b/>
                <w:bCs/>
                <w:kern w:val="0"/>
                <w:sz w:val="16"/>
                <w:szCs w:val="16"/>
                <w:lang w:val="es-PE" w:eastAsia="es-MX" w:bidi="ar-SA"/>
              </w:rPr>
              <w:t>OBS.</w:t>
            </w:r>
          </w:p>
        </w:tc>
      </w:tr>
      <w:tr>
        <w:trPr>
          <w:trHeight w:val="403" w:hRule="atLeast"/>
        </w:trPr>
        <w:tc>
          <w:tcPr>
            <w:tcW w:w="2577"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PROBLEMA GENERAL</w:t>
            </w:r>
          </w:p>
        </w:tc>
        <w:tc>
          <w:tcPr>
            <w:tcW w:w="2517"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OBJETIVO GENERAL</w:t>
            </w:r>
          </w:p>
        </w:tc>
        <w:tc>
          <w:tcPr>
            <w:tcW w:w="3016"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HIPÓTESIS GENERAL</w:t>
            </w:r>
          </w:p>
        </w:tc>
        <w:tc>
          <w:tcPr>
            <w:tcW w:w="1975"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VARIABLE CAUSA</w:t>
            </w:r>
          </w:p>
        </w:tc>
        <w:tc>
          <w:tcPr>
            <w:tcW w:w="2163" w:type="dxa"/>
            <w:tcBorders/>
          </w:tcPr>
          <w:p>
            <w:pPr>
              <w:pStyle w:val="ListParagraph"/>
              <w:widowControl w:val="false"/>
              <w:numPr>
                <w:ilvl w:val="3"/>
                <w:numId w:val="4"/>
              </w:numPr>
              <w:suppressAutoHyphens w:val="true"/>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TIPO DE INV.</w:t>
            </w:r>
          </w:p>
          <w:p>
            <w:pPr>
              <w:pStyle w:val="ListParagraph"/>
              <w:widowControl w:val="false"/>
              <w:suppressAutoHyphens w:val="true"/>
              <w:spacing w:lineRule="auto" w:line="240" w:before="0" w:after="0"/>
              <w:ind w:left="340" w:hanging="0"/>
              <w:contextualSpacing/>
              <w:jc w:val="left"/>
              <w:rPr>
                <w:b/>
                <w:b/>
                <w:bCs/>
                <w:sz w:val="16"/>
                <w:szCs w:val="16"/>
              </w:rPr>
            </w:pPr>
            <w:r>
              <w:rPr>
                <w:b/>
                <w:bCs/>
                <w:sz w:val="16"/>
                <w:szCs w:val="16"/>
              </w:rPr>
            </w:r>
          </w:p>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Longitudinal</w:t>
            </w:r>
          </w:p>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Aplicada</w:t>
            </w:r>
          </w:p>
          <w:p>
            <w:pPr>
              <w:pStyle w:val="Normal"/>
              <w:widowControl w:val="false"/>
              <w:suppressAutoHyphens w:val="true"/>
              <w:spacing w:lineRule="auto" w:line="240" w:before="0" w:after="0"/>
              <w:jc w:val="left"/>
              <w:rPr>
                <w:sz w:val="16"/>
                <w:szCs w:val="16"/>
              </w:rPr>
            </w:pPr>
            <w:r>
              <w:rPr>
                <w:sz w:val="16"/>
                <w:szCs w:val="16"/>
              </w:rPr>
            </w:r>
          </w:p>
        </w:tc>
        <w:tc>
          <w:tcPr>
            <w:tcW w:w="711" w:type="dxa"/>
            <w:tcBorders>
              <w:bottom w:val="single" w:sz="4" w:space="0" w:color="FFFFFF"/>
            </w:tcBorders>
            <w:shd w:color="auto" w:fill="auto" w:val="clear"/>
          </w:tcPr>
          <w:p>
            <w:pPr>
              <w:pStyle w:val="ListParagraph"/>
              <w:widowControl w:val="false"/>
              <w:suppressAutoHyphens w:val="true"/>
              <w:spacing w:lineRule="auto" w:line="240" w:before="0" w:after="0"/>
              <w:ind w:left="340" w:hanging="0"/>
              <w:contextualSpacing/>
              <w:jc w:val="left"/>
              <w:rPr>
                <w:sz w:val="16"/>
                <w:szCs w:val="16"/>
              </w:rPr>
            </w:pPr>
            <w:r>
              <w:rPr>
                <w:sz w:val="16"/>
                <w:szCs w:val="16"/>
              </w:rPr>
            </w:r>
          </w:p>
        </w:tc>
      </w:tr>
      <w:tr>
        <w:trPr>
          <w:trHeight w:val="728" w:hRule="atLeast"/>
        </w:trPr>
        <w:tc>
          <w:tcPr>
            <w:tcW w:w="2577" w:type="dxa"/>
            <w:tcBorders>
              <w:bottom w:val="single" w:sz="4" w:space="0" w:color="FFFFFF"/>
            </w:tcBorders>
          </w:tcPr>
          <w:p>
            <w:pPr>
              <w:pStyle w:val="Normal"/>
              <w:widowControl w:val="false"/>
              <w:suppressAutoHyphens w:val="true"/>
              <w:spacing w:lineRule="auto" w:line="240" w:before="0" w:after="0"/>
              <w:jc w:val="left"/>
              <w:rPr>
                <w:b/>
                <w:b/>
                <w:bCs/>
                <w:sz w:val="16"/>
                <w:szCs w:val="16"/>
              </w:rPr>
            </w:pPr>
            <w:r>
              <w:rPr>
                <w:b/>
                <w:bCs/>
                <w:sz w:val="16"/>
                <w:szCs w:val="16"/>
              </w:rPr>
            </w:r>
          </w:p>
        </w:tc>
        <w:tc>
          <w:tcPr>
            <w:tcW w:w="2517" w:type="dxa"/>
            <w:tcBorders>
              <w:bottom w:val="single" w:sz="4" w:space="0" w:color="FFFFFF"/>
            </w:tcBorders>
          </w:tcPr>
          <w:p>
            <w:pPr>
              <w:pStyle w:val="Normal"/>
              <w:widowControl w:val="false"/>
              <w:suppressAutoHyphens w:val="true"/>
              <w:spacing w:lineRule="auto" w:line="240" w:before="0" w:after="0"/>
              <w:jc w:val="left"/>
              <w:rPr>
                <w:b/>
                <w:b/>
                <w:bCs/>
                <w:sz w:val="16"/>
                <w:szCs w:val="16"/>
              </w:rPr>
            </w:pPr>
            <w:r>
              <w:rPr>
                <w:b/>
                <w:bCs/>
                <w:sz w:val="16"/>
                <w:szCs w:val="16"/>
              </w:rPr>
            </w:r>
          </w:p>
        </w:tc>
        <w:tc>
          <w:tcPr>
            <w:tcW w:w="3016" w:type="dxa"/>
            <w:tcBorders>
              <w:bottom w:val="single" w:sz="4" w:space="0" w:color="FFFFFF"/>
            </w:tcBorders>
          </w:tcPr>
          <w:p>
            <w:pPr>
              <w:pStyle w:val="Normal"/>
              <w:widowControl w:val="false"/>
              <w:suppressAutoHyphens w:val="true"/>
              <w:spacing w:lineRule="auto" w:line="240" w:before="0" w:after="0"/>
              <w:jc w:val="left"/>
              <w:rPr>
                <w:b/>
                <w:b/>
                <w:bCs/>
                <w:sz w:val="16"/>
                <w:szCs w:val="16"/>
              </w:rPr>
            </w:pPr>
            <w:r>
              <w:rPr>
                <w:b/>
                <w:bCs/>
                <w:sz w:val="16"/>
                <w:szCs w:val="16"/>
              </w:rPr>
            </w:r>
          </w:p>
        </w:tc>
        <w:tc>
          <w:tcPr>
            <w:tcW w:w="1975" w:type="dxa"/>
            <w:tcBorders>
              <w:bottom w:val="single" w:sz="4" w:space="0" w:color="FFFFFF"/>
            </w:tcBorders>
          </w:tcPr>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Desigualad socioeconómica</w:t>
            </w:r>
          </w:p>
        </w:tc>
        <w:tc>
          <w:tcPr>
            <w:tcW w:w="2163" w:type="dxa"/>
            <w:tcBorders>
              <w:bottom w:val="single" w:sz="4" w:space="0" w:color="FFFFFF"/>
            </w:tcBorders>
          </w:tcPr>
          <w:p>
            <w:pPr>
              <w:pStyle w:val="ListParagraph"/>
              <w:widowControl w:val="false"/>
              <w:numPr>
                <w:ilvl w:val="3"/>
                <w:numId w:val="4"/>
              </w:numPr>
              <w:suppressAutoHyphens w:val="true"/>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NIVEL DE INV.</w:t>
            </w:r>
          </w:p>
          <w:p>
            <w:pPr>
              <w:pStyle w:val="ListParagraph"/>
              <w:widowControl w:val="false"/>
              <w:suppressAutoHyphens w:val="true"/>
              <w:spacing w:lineRule="auto" w:line="240" w:before="0" w:after="0"/>
              <w:ind w:left="340" w:hanging="0"/>
              <w:contextualSpacing/>
              <w:jc w:val="left"/>
              <w:rPr>
                <w:b/>
                <w:b/>
                <w:bCs/>
                <w:sz w:val="16"/>
                <w:szCs w:val="16"/>
              </w:rPr>
            </w:pPr>
            <w:r>
              <w:rPr>
                <w:b/>
                <w:bCs/>
                <w:sz w:val="16"/>
                <w:szCs w:val="16"/>
              </w:rPr>
            </w:r>
          </w:p>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 xml:space="preserve">Correlacional </w:t>
            </w:r>
          </w:p>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Descriptivo</w:t>
            </w:r>
          </w:p>
          <w:p>
            <w:pPr>
              <w:pStyle w:val="Normal"/>
              <w:widowControl w:val="false"/>
              <w:suppressAutoHyphens w:val="true"/>
              <w:spacing w:lineRule="auto" w:line="240" w:before="0" w:after="0"/>
              <w:jc w:val="left"/>
              <w:rPr>
                <w:sz w:val="16"/>
                <w:szCs w:val="16"/>
              </w:rPr>
            </w:pPr>
            <w:r>
              <w:rPr>
                <w:rFonts w:eastAsia="Times New Roman" w:cs="Times New Roman"/>
                <w:kern w:val="0"/>
                <w:sz w:val="16"/>
                <w:szCs w:val="16"/>
                <w:lang w:val="es-PE" w:eastAsia="es-MX" w:bidi="ar-SA"/>
              </w:rPr>
              <w:t>Explicativo</w:t>
            </w:r>
          </w:p>
          <w:p>
            <w:pPr>
              <w:pStyle w:val="Normal"/>
              <w:widowControl w:val="false"/>
              <w:suppressAutoHyphens w:val="true"/>
              <w:spacing w:lineRule="auto" w:line="240" w:before="0" w:after="0"/>
              <w:jc w:val="left"/>
              <w:rPr>
                <w:sz w:val="16"/>
                <w:szCs w:val="16"/>
                <w:u w:val="single"/>
              </w:rPr>
            </w:pPr>
            <w:r>
              <w:rPr>
                <w:sz w:val="16"/>
                <w:szCs w:val="16"/>
                <w:u w:val="single"/>
              </w:rPr>
            </w:r>
          </w:p>
        </w:tc>
        <w:tc>
          <w:tcPr>
            <w:tcW w:w="711" w:type="dxa"/>
            <w:tcBorders>
              <w:top w:val="single" w:sz="4" w:space="0" w:color="FFFFFF"/>
              <w:bottom w:val="single" w:sz="4" w:space="0" w:color="FFFFFF"/>
            </w:tcBorders>
            <w:shd w:color="auto" w:fill="auto" w:val="clear"/>
          </w:tcPr>
          <w:p>
            <w:pPr>
              <w:pStyle w:val="ListParagraph"/>
              <w:widowControl w:val="false"/>
              <w:suppressAutoHyphens w:val="true"/>
              <w:spacing w:lineRule="auto" w:line="240" w:before="0" w:after="0"/>
              <w:ind w:left="340" w:hanging="0"/>
              <w:contextualSpacing/>
              <w:jc w:val="left"/>
              <w:rPr>
                <w:sz w:val="16"/>
                <w:szCs w:val="16"/>
              </w:rPr>
            </w:pPr>
            <w:r>
              <w:rPr>
                <w:sz w:val="16"/>
                <w:szCs w:val="16"/>
              </w:rPr>
            </w:r>
          </w:p>
        </w:tc>
      </w:tr>
      <w:tr>
        <w:trPr>
          <w:trHeight w:val="1113" w:hRule="atLeast"/>
        </w:trPr>
        <w:tc>
          <w:tcPr>
            <w:tcW w:w="2577" w:type="dxa"/>
            <w:tcBorders>
              <w:top w:val="single" w:sz="4" w:space="0" w:color="FFFFFF"/>
              <w:bottom w:val="single" w:sz="4" w:space="0" w:color="FFFFFF"/>
            </w:tcBorders>
          </w:tcPr>
          <w:p>
            <w:pPr>
              <w:pStyle w:val="APAPrrafo"/>
              <w:widowControl w:val="false"/>
              <w:suppressAutoHyphens w:val="true"/>
              <w:spacing w:lineRule="auto" w:line="240" w:before="0" w:after="0"/>
              <w:ind w:hanging="0"/>
              <w:jc w:val="left"/>
              <w:rPr>
                <w:sz w:val="16"/>
                <w:szCs w:val="16"/>
              </w:rPr>
            </w:pPr>
            <w:r>
              <w:rPr>
                <w:kern w:val="0"/>
                <w:sz w:val="16"/>
                <w:szCs w:val="16"/>
                <w:lang w:val="es-PE" w:eastAsia="es-MX" w:bidi="ar-SA"/>
              </w:rPr>
              <w:t>¿Cómo la desigualdad socioeconómica determina el grado de pobreza en el departamento de Ayacucho, periodo 2000-2019?</w:t>
            </w:r>
          </w:p>
        </w:tc>
        <w:tc>
          <w:tcPr>
            <w:tcW w:w="2517" w:type="dxa"/>
            <w:tcBorders>
              <w:top w:val="single" w:sz="4" w:space="0" w:color="FFFFFF"/>
              <w:bottom w:val="single" w:sz="4" w:space="0" w:color="FFFFFF"/>
            </w:tcBorders>
          </w:tcPr>
          <w:p>
            <w:pPr>
              <w:pStyle w:val="Normal"/>
              <w:widowControl w:val="false"/>
              <w:suppressAutoHyphens w:val="true"/>
              <w:spacing w:lineRule="auto" w:line="240" w:before="0" w:after="0"/>
              <w:jc w:val="left"/>
              <w:rPr>
                <w:color w:val="000000"/>
                <w:sz w:val="16"/>
                <w:szCs w:val="16"/>
              </w:rPr>
            </w:pPr>
            <w:r>
              <w:rPr>
                <w:rFonts w:eastAsia="Times New Roman" w:cs="Times New Roman"/>
                <w:color w:val="000000"/>
                <w:kern w:val="0"/>
                <w:sz w:val="16"/>
                <w:szCs w:val="16"/>
                <w:lang w:val="es-PE" w:eastAsia="es-MX" w:bidi="ar-SA"/>
              </w:rPr>
              <w:t xml:space="preserve">Establecer cómo de la desigualdad socioeconómica </w:t>
            </w:r>
            <w:r>
              <w:rPr>
                <w:rFonts w:eastAsia="Times New Roman" w:cs="Times New Roman"/>
                <w:kern w:val="0"/>
                <w:sz w:val="16"/>
                <w:szCs w:val="16"/>
                <w:lang w:val="es-PE" w:eastAsia="es-MX" w:bidi="ar-SA"/>
              </w:rPr>
              <w:t xml:space="preserve">incide </w:t>
            </w:r>
            <w:r>
              <w:rPr>
                <w:rFonts w:eastAsia="Times New Roman" w:cs="Times New Roman"/>
                <w:color w:val="000000"/>
                <w:kern w:val="0"/>
                <w:sz w:val="16"/>
                <w:szCs w:val="16"/>
                <w:lang w:val="es-PE" w:eastAsia="es-MX" w:bidi="ar-SA"/>
              </w:rPr>
              <w:t>en la pobreza en el departamento de Ayacucho, periodo 2000-2019.</w:t>
            </w:r>
          </w:p>
          <w:p>
            <w:pPr>
              <w:pStyle w:val="Normal"/>
              <w:widowControl w:val="false"/>
              <w:suppressAutoHyphens w:val="true"/>
              <w:spacing w:lineRule="auto" w:line="240" w:before="0" w:after="0"/>
              <w:jc w:val="left"/>
              <w:rPr>
                <w:sz w:val="16"/>
                <w:szCs w:val="16"/>
              </w:rPr>
            </w:pPr>
            <w:r>
              <w:rPr>
                <w:sz w:val="16"/>
                <w:szCs w:val="16"/>
              </w:rPr>
            </w:r>
          </w:p>
        </w:tc>
        <w:tc>
          <w:tcPr>
            <w:tcW w:w="3016" w:type="dxa"/>
            <w:tcBorders>
              <w:top w:val="single" w:sz="4" w:space="0" w:color="FFFFFF"/>
              <w:bottom w:val="single" w:sz="4" w:space="0" w:color="FFFFFF"/>
            </w:tcBorders>
          </w:tcPr>
          <w:p>
            <w:pPr>
              <w:pStyle w:val="APAPrrafo"/>
              <w:widowControl w:val="false"/>
              <w:suppressAutoHyphens w:val="true"/>
              <w:spacing w:lineRule="auto" w:line="240" w:before="0" w:after="0"/>
              <w:ind w:hanging="0"/>
              <w:jc w:val="left"/>
              <w:rPr>
                <w:sz w:val="16"/>
                <w:szCs w:val="16"/>
              </w:rPr>
            </w:pPr>
            <w:r>
              <w:rPr>
                <w:kern w:val="0"/>
                <w:sz w:val="16"/>
                <w:szCs w:val="16"/>
                <w:lang w:val="es-PE" w:eastAsia="es-MX" w:bidi="ar-SA"/>
              </w:rPr>
              <w:t>La desigualdad socioeconómica determina negativamente el grado de pobreza en el departamento de Ayacucho, periodo 2000-2019.</w:t>
            </w:r>
          </w:p>
          <w:p>
            <w:pPr>
              <w:pStyle w:val="Normal"/>
              <w:widowControl w:val="false"/>
              <w:suppressAutoHyphens w:val="true"/>
              <w:spacing w:lineRule="auto" w:line="240" w:before="0" w:after="0"/>
              <w:jc w:val="left"/>
              <w:rPr>
                <w:sz w:val="16"/>
                <w:szCs w:val="16"/>
              </w:rPr>
            </w:pPr>
            <w:r>
              <w:rPr>
                <w:sz w:val="16"/>
                <w:szCs w:val="16"/>
              </w:rPr>
            </w:r>
          </w:p>
        </w:tc>
        <w:tc>
          <w:tcPr>
            <w:tcW w:w="1975" w:type="dxa"/>
            <w:tcBorders>
              <w:top w:val="single" w:sz="4" w:space="0" w:color="FFFFFF"/>
              <w:bottom w:val="single" w:sz="4" w:space="0" w:color="FFFFFF"/>
            </w:tcBorders>
          </w:tcPr>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sz w:val="16"/>
                <w:szCs w:val="16"/>
                <w:shd w:fill="FFFFFF" w:val="clear"/>
              </w:rPr>
            </w:r>
          </w:p>
          <w:p>
            <w:pPr>
              <w:pStyle w:val="Normal"/>
              <w:widowControl w:val="false"/>
              <w:suppressAutoHyphens w:val="true"/>
              <w:spacing w:lineRule="auto" w:line="240" w:before="0" w:after="0"/>
              <w:jc w:val="left"/>
              <w:rPr>
                <w:rFonts w:eastAsia="Courier" w:cs="Courier New"/>
                <w:b/>
                <w:b/>
                <w:bCs/>
                <w:sz w:val="16"/>
                <w:szCs w:val="16"/>
                <w:shd w:fill="FFFFFF" w:val="clear"/>
              </w:rPr>
            </w:pPr>
            <w:r>
              <w:rPr>
                <w:rFonts w:eastAsia="Courier" w:cs="Courier New"/>
                <w:b/>
                <w:bCs/>
                <w:kern w:val="0"/>
                <w:sz w:val="16"/>
                <w:szCs w:val="16"/>
                <w:shd w:fill="FFFFFF" w:val="clear"/>
                <w:lang w:val="es-PE" w:eastAsia="es-MX" w:bidi="ar-SA"/>
              </w:rPr>
              <w:t>Dimensiones:</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sz w:val="16"/>
                <w:szCs w:val="16"/>
                <w:shd w:fill="FFFFFF" w:val="clear"/>
              </w:rPr>
            </w:r>
          </w:p>
          <w:p>
            <w:pPr>
              <w:pStyle w:val="Normal"/>
              <w:widowControl w:val="false"/>
              <w:suppressAutoHyphens w:val="true"/>
              <w:spacing w:lineRule="auto" w:line="240" w:before="0" w:after="0"/>
              <w:jc w:val="left"/>
              <w:rPr>
                <w:color w:val="FF0000"/>
              </w:rPr>
            </w:pPr>
            <w:r>
              <w:rPr>
                <w:rFonts w:eastAsia="Courier" w:cs="Courier New"/>
                <w:color w:val="FF0000"/>
                <w:kern w:val="0"/>
                <w:sz w:val="16"/>
                <w:szCs w:val="16"/>
                <w:shd w:fill="FFFFFF" w:val="clear"/>
                <w:lang w:val="es-PE" w:eastAsia="es-MX" w:bidi="ar-SA"/>
              </w:rPr>
              <w:t>- Empleo</w:t>
            </w:r>
          </w:p>
          <w:p>
            <w:pPr>
              <w:pStyle w:val="Normal"/>
              <w:widowControl w:val="false"/>
              <w:suppressAutoHyphens w:val="true"/>
              <w:spacing w:lineRule="auto" w:line="240" w:before="0" w:after="0"/>
              <w:jc w:val="left"/>
              <w:rPr>
                <w:color w:val="00A933"/>
              </w:rPr>
            </w:pPr>
            <w:r>
              <w:rPr>
                <w:rFonts w:eastAsia="Courier" w:cs="Courier New"/>
                <w:color w:val="00A933"/>
                <w:kern w:val="0"/>
                <w:sz w:val="16"/>
                <w:szCs w:val="16"/>
                <w:shd w:fill="FFFFFF" w:val="clear"/>
                <w:lang w:val="es-PE" w:eastAsia="es-MX" w:bidi="ar-SA"/>
              </w:rPr>
              <w:t>-</w:t>
            </w:r>
            <w:r>
              <w:rPr>
                <w:rFonts w:eastAsia="Courier" w:cs="Courier New"/>
                <w:color w:val="00A933"/>
                <w:kern w:val="0"/>
                <w:sz w:val="16"/>
                <w:szCs w:val="16"/>
                <w:shd w:fill="FFFFFF" w:val="clear"/>
                <w:lang w:val="es-PE" w:eastAsia="es-MX" w:bidi="ar-SA"/>
              </w:rPr>
              <w:t>Índice de Palma</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Índice de Theilen</w:t>
            </w:r>
          </w:p>
          <w:p>
            <w:pPr>
              <w:pStyle w:val="Normal"/>
              <w:widowControl w:val="false"/>
              <w:suppressAutoHyphens w:val="true"/>
              <w:spacing w:lineRule="auto" w:line="240" w:before="0" w:after="0"/>
              <w:jc w:val="left"/>
              <w:rPr>
                <w:color w:val="C9211E"/>
              </w:rPr>
            </w:pPr>
            <w:r>
              <w:rPr>
                <w:rFonts w:eastAsia="Courier" w:cs="Courier New"/>
                <w:color w:val="C9211E"/>
                <w:kern w:val="0"/>
                <w:sz w:val="16"/>
                <w:szCs w:val="16"/>
                <w:shd w:fill="FFFFFF" w:val="clear"/>
                <w:lang w:val="es-PE" w:eastAsia="es-MX" w:bidi="ar-SA"/>
              </w:rPr>
              <w:t>- Desempleo</w:t>
            </w:r>
          </w:p>
          <w:p>
            <w:pPr>
              <w:pStyle w:val="Normal"/>
              <w:widowControl w:val="false"/>
              <w:suppressAutoHyphens w:val="true"/>
              <w:spacing w:lineRule="auto" w:line="240" w:before="0" w:after="0"/>
              <w:jc w:val="left"/>
              <w:rPr>
                <w:color w:val="00A933"/>
              </w:rPr>
            </w:pPr>
            <w:r>
              <w:rPr>
                <w:rFonts w:eastAsia="Courier" w:cs="Courier New"/>
                <w:color w:val="00A933"/>
                <w:kern w:val="0"/>
                <w:sz w:val="16"/>
                <w:szCs w:val="16"/>
                <w:shd w:fill="FFFFFF" w:val="clear"/>
                <w:lang w:val="es-PE" w:eastAsia="es-MX" w:bidi="ar-SA"/>
              </w:rPr>
              <w:t>-</w:t>
            </w:r>
            <w:r>
              <w:rPr>
                <w:rFonts w:eastAsia="Courier" w:cs="Courier New"/>
                <w:color w:val="00A933"/>
                <w:kern w:val="0"/>
                <w:sz w:val="16"/>
                <w:szCs w:val="16"/>
                <w:shd w:fill="FFFFFF" w:val="clear"/>
                <w:lang w:val="es-PE" w:eastAsia="es-MX" w:bidi="ar-SA"/>
              </w:rPr>
              <w:t>índice</w:t>
            </w:r>
            <w:r>
              <w:rPr>
                <w:rFonts w:eastAsia="Courier" w:cs="Courier New"/>
                <w:color w:val="00A933"/>
                <w:kern w:val="0"/>
                <w:sz w:val="16"/>
                <w:szCs w:val="16"/>
                <w:shd w:fill="FFFFFF" w:val="clear"/>
                <w:lang w:val="es-PE" w:eastAsia="es-MX" w:bidi="ar-SA"/>
              </w:rPr>
              <w:t xml:space="preserve"> de Gini</w:t>
            </w:r>
          </w:p>
        </w:tc>
        <w:tc>
          <w:tcPr>
            <w:tcW w:w="2163" w:type="dxa"/>
            <w:tcBorders>
              <w:top w:val="single" w:sz="4" w:space="0" w:color="FFFFFF"/>
              <w:bottom w:val="single" w:sz="4" w:space="0" w:color="FFFFFF"/>
            </w:tcBorders>
          </w:tcPr>
          <w:p>
            <w:pPr>
              <w:pStyle w:val="ListParagraph"/>
              <w:widowControl w:val="false"/>
              <w:numPr>
                <w:ilvl w:val="3"/>
                <w:numId w:val="4"/>
              </w:numPr>
              <w:suppressAutoHyphens w:val="true"/>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POBLACIÓN</w:t>
            </w:r>
          </w:p>
        </w:tc>
        <w:tc>
          <w:tcPr>
            <w:tcW w:w="711" w:type="dxa"/>
            <w:tcBorders>
              <w:top w:val="single" w:sz="4" w:space="0" w:color="FFFFFF"/>
              <w:bottom w:val="single" w:sz="4" w:space="0" w:color="FFFFFF"/>
            </w:tcBorders>
            <w:shd w:color="auto" w:fill="FFC000" w:val="clear"/>
          </w:tcPr>
          <w:p>
            <w:pPr>
              <w:pStyle w:val="ListParagraph"/>
              <w:widowControl w:val="false"/>
              <w:suppressAutoHyphens w:val="true"/>
              <w:spacing w:lineRule="auto" w:line="240" w:before="0" w:after="0"/>
              <w:ind w:left="340" w:hanging="0"/>
              <w:contextualSpacing/>
              <w:jc w:val="left"/>
              <w:rPr>
                <w:sz w:val="16"/>
                <w:szCs w:val="16"/>
              </w:rPr>
            </w:pPr>
            <w:r>
              <w:rPr>
                <w:sz w:val="16"/>
                <w:szCs w:val="16"/>
              </w:rPr>
            </w:r>
          </w:p>
        </w:tc>
      </w:tr>
      <w:tr>
        <w:trPr>
          <w:trHeight w:val="67" w:hRule="atLeast"/>
        </w:trPr>
        <w:tc>
          <w:tcPr>
            <w:tcW w:w="2577" w:type="dxa"/>
            <w:tcBorders>
              <w:top w:val="single" w:sz="4" w:space="0" w:color="FFFFFF"/>
            </w:tcBorders>
          </w:tcPr>
          <w:p>
            <w:pPr>
              <w:pStyle w:val="APAPrrafo"/>
              <w:widowControl w:val="false"/>
              <w:suppressAutoHyphens w:val="true"/>
              <w:spacing w:lineRule="auto" w:line="240" w:before="0" w:after="0"/>
              <w:ind w:hanging="0"/>
              <w:jc w:val="left"/>
              <w:rPr>
                <w:sz w:val="16"/>
                <w:szCs w:val="16"/>
              </w:rPr>
            </w:pPr>
            <w:r>
              <w:rPr>
                <w:sz w:val="16"/>
                <w:szCs w:val="16"/>
              </w:rPr>
            </w:r>
          </w:p>
        </w:tc>
        <w:tc>
          <w:tcPr>
            <w:tcW w:w="2517" w:type="dxa"/>
            <w:tcBorders>
              <w:top w:val="single" w:sz="4" w:space="0" w:color="FFFFFF"/>
            </w:tcBorders>
          </w:tcPr>
          <w:p>
            <w:pPr>
              <w:pStyle w:val="Normal"/>
              <w:widowControl w:val="false"/>
              <w:suppressAutoHyphens w:val="true"/>
              <w:spacing w:lineRule="auto" w:line="240" w:before="0" w:after="0"/>
              <w:jc w:val="left"/>
              <w:rPr>
                <w:color w:val="000000"/>
                <w:sz w:val="16"/>
                <w:szCs w:val="16"/>
              </w:rPr>
            </w:pPr>
            <w:r>
              <w:rPr>
                <w:color w:val="000000"/>
                <w:sz w:val="16"/>
                <w:szCs w:val="16"/>
              </w:rPr>
            </w:r>
          </w:p>
        </w:tc>
        <w:tc>
          <w:tcPr>
            <w:tcW w:w="3016" w:type="dxa"/>
            <w:tcBorders>
              <w:top w:val="single" w:sz="4" w:space="0" w:color="FFFFFF"/>
            </w:tcBorders>
          </w:tcPr>
          <w:p>
            <w:pPr>
              <w:pStyle w:val="APAPrrafo"/>
              <w:widowControl w:val="false"/>
              <w:suppressAutoHyphens w:val="true"/>
              <w:spacing w:lineRule="auto" w:line="240" w:before="0" w:after="0"/>
              <w:ind w:hanging="0"/>
              <w:jc w:val="left"/>
              <w:rPr>
                <w:sz w:val="16"/>
                <w:szCs w:val="16"/>
              </w:rPr>
            </w:pPr>
            <w:r>
              <w:rPr>
                <w:sz w:val="16"/>
                <w:szCs w:val="16"/>
              </w:rPr>
            </w:r>
          </w:p>
        </w:tc>
        <w:tc>
          <w:tcPr>
            <w:tcW w:w="1975" w:type="dxa"/>
            <w:tcBorders>
              <w:top w:val="single" w:sz="4" w:space="0" w:color="FFFFFF"/>
            </w:tcBorders>
          </w:tcPr>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sz w:val="16"/>
                <w:szCs w:val="16"/>
                <w:shd w:fill="FFFFFF" w:val="clear"/>
              </w:rPr>
            </w:r>
          </w:p>
        </w:tc>
        <w:tc>
          <w:tcPr>
            <w:tcW w:w="2163" w:type="dxa"/>
            <w:tcBorders>
              <w:top w:val="single" w:sz="4" w:space="0" w:color="FFFFFF"/>
            </w:tcBorders>
          </w:tcPr>
          <w:p>
            <w:pPr>
              <w:pStyle w:val="ListParagraph"/>
              <w:widowControl w:val="false"/>
              <w:numPr>
                <w:ilvl w:val="3"/>
                <w:numId w:val="4"/>
              </w:numPr>
              <w:suppressAutoHyphens w:val="true"/>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MUESTRA</w:t>
            </w:r>
          </w:p>
        </w:tc>
        <w:tc>
          <w:tcPr>
            <w:tcW w:w="711" w:type="dxa"/>
            <w:tcBorders>
              <w:top w:val="single" w:sz="4" w:space="0" w:color="FFFFFF"/>
              <w:bottom w:val="single" w:sz="4" w:space="0" w:color="FFFFFF"/>
            </w:tcBorders>
            <w:shd w:color="auto" w:fill="auto" w:val="clear"/>
          </w:tcPr>
          <w:p>
            <w:pPr>
              <w:pStyle w:val="ListParagraph"/>
              <w:widowControl w:val="false"/>
              <w:suppressAutoHyphens w:val="true"/>
              <w:spacing w:lineRule="auto" w:line="240" w:before="0" w:after="0"/>
              <w:ind w:left="340" w:hanging="0"/>
              <w:contextualSpacing/>
              <w:jc w:val="left"/>
              <w:rPr>
                <w:sz w:val="16"/>
                <w:szCs w:val="16"/>
              </w:rPr>
            </w:pPr>
            <w:r>
              <w:rPr>
                <w:sz w:val="16"/>
                <w:szCs w:val="16"/>
              </w:rPr>
            </w:r>
          </w:p>
        </w:tc>
      </w:tr>
      <w:tr>
        <w:trPr>
          <w:trHeight w:val="667" w:hRule="atLeast"/>
        </w:trPr>
        <w:tc>
          <w:tcPr>
            <w:tcW w:w="2577"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PROBLEMAS ESPECÍFICOS</w:t>
            </w:r>
          </w:p>
        </w:tc>
        <w:tc>
          <w:tcPr>
            <w:tcW w:w="2517"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OBJETIVOS ESPECÍFICOS</w:t>
            </w:r>
          </w:p>
        </w:tc>
        <w:tc>
          <w:tcPr>
            <w:tcW w:w="3016"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HIPÓTESIS ESPECÍFICO</w:t>
            </w:r>
          </w:p>
        </w:tc>
        <w:tc>
          <w:tcPr>
            <w:tcW w:w="1975" w:type="dxa"/>
            <w:tcBorders/>
            <w:vAlign w:val="center"/>
          </w:tcPr>
          <w:p>
            <w:pPr>
              <w:pStyle w:val="Normal"/>
              <w:widowControl w:val="false"/>
              <w:suppressAutoHyphens w:val="true"/>
              <w:spacing w:lineRule="auto" w:line="240" w:before="0" w:after="0"/>
              <w:jc w:val="left"/>
              <w:rPr>
                <w:b/>
                <w:b/>
                <w:bCs/>
                <w:sz w:val="16"/>
                <w:szCs w:val="16"/>
              </w:rPr>
            </w:pPr>
            <w:r>
              <w:rPr>
                <w:rFonts w:eastAsia="Times New Roman" w:cs="Times New Roman"/>
                <w:b/>
                <w:bCs/>
                <w:kern w:val="0"/>
                <w:sz w:val="16"/>
                <w:szCs w:val="16"/>
                <w:lang w:val="es-PE" w:eastAsia="es-MX" w:bidi="ar-SA"/>
              </w:rPr>
              <w:t>VARIABLE EFECTO</w:t>
            </w:r>
          </w:p>
        </w:tc>
        <w:tc>
          <w:tcPr>
            <w:tcW w:w="2163" w:type="dxa"/>
            <w:tcBorders/>
          </w:tcPr>
          <w:p>
            <w:pPr>
              <w:pStyle w:val="ListParagraph"/>
              <w:widowControl w:val="false"/>
              <w:numPr>
                <w:ilvl w:val="3"/>
                <w:numId w:val="4"/>
              </w:numPr>
              <w:suppressAutoHyphens w:val="true"/>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TÉCNICAS</w:t>
            </w:r>
          </w:p>
          <w:p>
            <w:pPr>
              <w:pStyle w:val="ListParagraph"/>
              <w:widowControl w:val="false"/>
              <w:suppressAutoHyphens w:val="true"/>
              <w:spacing w:lineRule="auto" w:line="240" w:before="0" w:after="0"/>
              <w:ind w:left="340" w:hanging="0"/>
              <w:contextualSpacing/>
              <w:jc w:val="left"/>
              <w:rPr>
                <w:b/>
                <w:b/>
                <w:bCs/>
                <w:sz w:val="16"/>
                <w:szCs w:val="16"/>
              </w:rPr>
            </w:pPr>
            <w:r>
              <w:rPr>
                <w:b/>
                <w:bCs/>
                <w:sz w:val="16"/>
                <w:szCs w:val="16"/>
              </w:rPr>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Metodologías econométricas</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Estadística inferencial</w:t>
            </w:r>
          </w:p>
          <w:p>
            <w:pPr>
              <w:pStyle w:val="Normal"/>
              <w:widowControl w:val="false"/>
              <w:suppressAutoHyphens w:val="true"/>
              <w:spacing w:lineRule="auto" w:line="240" w:before="0" w:after="0"/>
              <w:ind w:left="-20" w:hanging="0"/>
              <w:jc w:val="left"/>
              <w:rPr>
                <w:b/>
                <w:b/>
                <w:bCs/>
                <w:sz w:val="16"/>
                <w:szCs w:val="16"/>
              </w:rPr>
            </w:pPr>
            <w:r>
              <w:rPr>
                <w:b/>
                <w:bCs/>
                <w:sz w:val="16"/>
                <w:szCs w:val="16"/>
              </w:rPr>
            </w:r>
          </w:p>
        </w:tc>
        <w:tc>
          <w:tcPr>
            <w:tcW w:w="711" w:type="dxa"/>
            <w:tcBorders>
              <w:top w:val="single" w:sz="4" w:space="0" w:color="FFFFFF"/>
              <w:bottom w:val="single" w:sz="4" w:space="0" w:color="FFFFFF"/>
            </w:tcBorders>
            <w:shd w:color="auto" w:fill="auto" w:val="clear"/>
          </w:tcPr>
          <w:p>
            <w:pPr>
              <w:pStyle w:val="ListParagraph"/>
              <w:widowControl w:val="false"/>
              <w:suppressAutoHyphens w:val="true"/>
              <w:spacing w:lineRule="auto" w:line="240" w:before="0" w:after="0"/>
              <w:ind w:left="340" w:hanging="0"/>
              <w:contextualSpacing/>
              <w:jc w:val="left"/>
              <w:rPr>
                <w:sz w:val="16"/>
                <w:szCs w:val="16"/>
              </w:rPr>
            </w:pPr>
            <w:r>
              <w:rPr>
                <w:sz w:val="16"/>
                <w:szCs w:val="16"/>
              </w:rPr>
            </w:r>
          </w:p>
        </w:tc>
      </w:tr>
      <w:tr>
        <w:trPr>
          <w:trHeight w:val="730" w:hRule="atLeast"/>
        </w:trPr>
        <w:tc>
          <w:tcPr>
            <w:tcW w:w="2577" w:type="dxa"/>
            <w:tcBorders>
              <w:bottom w:val="single" w:sz="4" w:space="0" w:color="FFFFFF"/>
            </w:tcBorders>
          </w:tcPr>
          <w:p>
            <w:pPr>
              <w:pStyle w:val="ListParagraph"/>
              <w:widowControl w:val="false"/>
              <w:numPr>
                <w:ilvl w:val="0"/>
                <w:numId w:val="18"/>
              </w:numPr>
              <w:suppressAutoHyphens w:val="true"/>
              <w:spacing w:lineRule="auto" w:line="240" w:before="0" w:after="0"/>
              <w:ind w:left="318" w:hanging="360"/>
              <w:contextualSpacing/>
              <w:jc w:val="left"/>
              <w:rPr>
                <w:sz w:val="16"/>
                <w:szCs w:val="16"/>
              </w:rPr>
            </w:pPr>
            <w:r>
              <w:rPr>
                <w:rFonts w:eastAsia="Times New Roman" w:cs="Times New Roman"/>
                <w:color w:val="000000"/>
                <w:kern w:val="0"/>
                <w:sz w:val="16"/>
                <w:szCs w:val="16"/>
                <w:lang w:val="es-PE" w:eastAsia="es-MX" w:bidi="ar-SA"/>
              </w:rPr>
              <w:t>¿Cuál es la influencia del empleo en el IDH en el departamento de Ayacucho, periodo 2000-2019?</w:t>
            </w:r>
          </w:p>
          <w:p>
            <w:pPr>
              <w:pStyle w:val="ListParagraph"/>
              <w:widowControl w:val="false"/>
              <w:suppressAutoHyphens w:val="true"/>
              <w:spacing w:lineRule="auto" w:line="240" w:before="0" w:after="0"/>
              <w:ind w:left="318" w:hanging="0"/>
              <w:contextualSpacing/>
              <w:jc w:val="left"/>
              <w:rPr>
                <w:color w:val="000000"/>
                <w:sz w:val="16"/>
                <w:szCs w:val="16"/>
              </w:rPr>
            </w:pPr>
            <w:r>
              <w:rPr>
                <w:color w:val="000000"/>
                <w:sz w:val="16"/>
                <w:szCs w:val="16"/>
              </w:rPr>
            </w:r>
          </w:p>
        </w:tc>
        <w:tc>
          <w:tcPr>
            <w:tcW w:w="2517" w:type="dxa"/>
            <w:tcBorders>
              <w:bottom w:val="single" w:sz="4" w:space="0" w:color="FFFFFF"/>
            </w:tcBorders>
          </w:tcPr>
          <w:p>
            <w:pPr>
              <w:pStyle w:val="ListParagraph"/>
              <w:widowControl w:val="false"/>
              <w:numPr>
                <w:ilvl w:val="0"/>
                <w:numId w:val="19"/>
              </w:numPr>
              <w:suppressAutoHyphens w:val="true"/>
              <w:spacing w:lineRule="auto" w:line="240" w:before="0" w:after="0"/>
              <w:ind w:left="383" w:hanging="360"/>
              <w:contextualSpacing/>
              <w:jc w:val="left"/>
              <w:rPr>
                <w:color w:val="000000"/>
                <w:sz w:val="16"/>
                <w:szCs w:val="16"/>
              </w:rPr>
            </w:pPr>
            <w:r>
              <w:rPr>
                <w:rFonts w:eastAsia="Times New Roman" w:cs="Times New Roman"/>
                <w:color w:val="000000"/>
                <w:kern w:val="0"/>
                <w:sz w:val="16"/>
                <w:szCs w:val="16"/>
                <w:lang w:val="es-PE" w:eastAsia="es-MX" w:bidi="ar-SA"/>
              </w:rPr>
              <w:t>Analizar cómo el empleo influye en el Índice de Desarrollo Humano en las zonas rurales de Ayacucho.</w:t>
            </w:r>
          </w:p>
          <w:p>
            <w:pPr>
              <w:pStyle w:val="ListParagraph"/>
              <w:widowControl w:val="false"/>
              <w:suppressAutoHyphens w:val="true"/>
              <w:spacing w:lineRule="auto" w:line="240" w:before="0" w:after="0"/>
              <w:contextualSpacing/>
              <w:jc w:val="left"/>
              <w:rPr>
                <w:color w:val="000000"/>
                <w:sz w:val="16"/>
                <w:szCs w:val="16"/>
              </w:rPr>
            </w:pPr>
            <w:r>
              <w:rPr>
                <w:color w:val="000000"/>
                <w:sz w:val="16"/>
                <w:szCs w:val="16"/>
              </w:rPr>
            </w:r>
          </w:p>
        </w:tc>
        <w:tc>
          <w:tcPr>
            <w:tcW w:w="3016" w:type="dxa"/>
            <w:tcBorders>
              <w:bottom w:val="single" w:sz="4" w:space="0" w:color="FFFFFF"/>
            </w:tcBorders>
          </w:tcPr>
          <w:p>
            <w:pPr>
              <w:pStyle w:val="ListParagraph"/>
              <w:widowControl w:val="false"/>
              <w:numPr>
                <w:ilvl w:val="0"/>
                <w:numId w:val="20"/>
              </w:numPr>
              <w:suppressAutoHyphens w:val="true"/>
              <w:spacing w:lineRule="auto" w:line="240" w:before="0" w:after="0"/>
              <w:ind w:left="382" w:hanging="360"/>
              <w:contextualSpacing/>
              <w:jc w:val="left"/>
              <w:rPr>
                <w:sz w:val="16"/>
                <w:szCs w:val="16"/>
              </w:rPr>
            </w:pPr>
            <w:r>
              <w:rPr>
                <w:rFonts w:eastAsia="Times New Roman" w:cs="Times New Roman"/>
                <w:color w:val="000000"/>
                <w:kern w:val="0"/>
                <w:sz w:val="16"/>
                <w:szCs w:val="16"/>
                <w:lang w:val="es-PE" w:eastAsia="es-MX" w:bidi="ar-SA"/>
              </w:rPr>
              <w:t>El empleo afecta inversamente al IDH en el departamento de Ayacucho, periodo 2000-2019.</w:t>
            </w:r>
          </w:p>
        </w:tc>
        <w:tc>
          <w:tcPr>
            <w:tcW w:w="1975" w:type="dxa"/>
            <w:tcBorders>
              <w:bottom w:val="single" w:sz="4" w:space="0" w:color="FFFFFF"/>
            </w:tcBorders>
          </w:tcPr>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La pobreza</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sz w:val="16"/>
                <w:szCs w:val="16"/>
                <w:shd w:fill="FFFFFF" w:val="clear"/>
              </w:rPr>
            </w:r>
          </w:p>
        </w:tc>
        <w:tc>
          <w:tcPr>
            <w:tcW w:w="2163" w:type="dxa"/>
            <w:tcBorders>
              <w:bottom w:val="single" w:sz="4" w:space="0" w:color="FFFFFF"/>
            </w:tcBorders>
          </w:tcPr>
          <w:p>
            <w:pPr>
              <w:pStyle w:val="ListParagraph"/>
              <w:widowControl w:val="false"/>
              <w:numPr>
                <w:ilvl w:val="3"/>
                <w:numId w:val="4"/>
              </w:numPr>
              <w:suppressAutoHyphens w:val="true"/>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INSTRUMENTOS</w:t>
            </w:r>
          </w:p>
          <w:p>
            <w:pPr>
              <w:pStyle w:val="Normal"/>
              <w:widowControl w:val="false"/>
              <w:suppressAutoHyphens w:val="true"/>
              <w:spacing w:lineRule="auto" w:line="240" w:before="0" w:after="0"/>
              <w:ind w:left="-20" w:hanging="0"/>
              <w:jc w:val="left"/>
              <w:rPr>
                <w:b/>
                <w:b/>
                <w:bCs/>
                <w:sz w:val="16"/>
                <w:szCs w:val="16"/>
              </w:rPr>
            </w:pPr>
            <w:r>
              <w:rPr>
                <w:b/>
                <w:bCs/>
                <w:sz w:val="16"/>
                <w:szCs w:val="16"/>
              </w:rPr>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Stata</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Excel</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Eviews</w:t>
            </w:r>
          </w:p>
          <w:p>
            <w:pPr>
              <w:pStyle w:val="Normal"/>
              <w:widowControl w:val="false"/>
              <w:suppressAutoHyphens w:val="true"/>
              <w:spacing w:lineRule="auto" w:line="240" w:before="0" w:after="0"/>
              <w:ind w:left="-20" w:hanging="0"/>
              <w:jc w:val="left"/>
              <w:rPr>
                <w:b/>
                <w:b/>
                <w:bCs/>
                <w:sz w:val="16"/>
                <w:szCs w:val="16"/>
              </w:rPr>
            </w:pPr>
            <w:r>
              <w:rPr>
                <w:b/>
                <w:bCs/>
                <w:sz w:val="16"/>
                <w:szCs w:val="16"/>
              </w:rPr>
              <w:t>Python</w:t>
            </w:r>
          </w:p>
          <w:p>
            <w:pPr>
              <w:pStyle w:val="Normal"/>
              <w:widowControl w:val="false"/>
              <w:suppressAutoHyphens w:val="true"/>
              <w:spacing w:lineRule="auto" w:line="240" w:before="0" w:after="0"/>
              <w:ind w:left="-20" w:hanging="0"/>
              <w:jc w:val="left"/>
              <w:rPr>
                <w:b/>
                <w:b/>
                <w:bCs/>
                <w:sz w:val="16"/>
                <w:szCs w:val="16"/>
              </w:rPr>
            </w:pPr>
            <w:r>
              <w:rPr>
                <w:b/>
                <w:bCs/>
                <w:sz w:val="16"/>
                <w:szCs w:val="16"/>
              </w:rPr>
              <w:t>JupeterNotebook</w:t>
            </w:r>
          </w:p>
          <w:p>
            <w:pPr>
              <w:pStyle w:val="Normal"/>
              <w:widowControl w:val="false"/>
              <w:suppressAutoHyphens w:val="true"/>
              <w:spacing w:lineRule="auto" w:line="240" w:before="0" w:after="0"/>
              <w:ind w:left="-20" w:hanging="0"/>
              <w:jc w:val="left"/>
              <w:rPr>
                <w:b/>
                <w:b/>
                <w:bCs/>
                <w:sz w:val="16"/>
                <w:szCs w:val="16"/>
              </w:rPr>
            </w:pPr>
            <w:r>
              <w:rPr>
                <w:b/>
                <w:bCs/>
                <w:sz w:val="16"/>
                <w:szCs w:val="16"/>
              </w:rPr>
              <w:t>Rstudio</w:t>
            </w:r>
          </w:p>
          <w:p>
            <w:pPr>
              <w:pStyle w:val="Normal"/>
              <w:widowControl w:val="false"/>
              <w:suppressAutoHyphens w:val="true"/>
              <w:spacing w:lineRule="auto" w:line="240" w:before="0" w:after="0"/>
              <w:ind w:left="-20" w:hanging="0"/>
              <w:jc w:val="left"/>
              <w:rPr>
                <w:b/>
                <w:b/>
                <w:bCs/>
                <w:sz w:val="16"/>
                <w:szCs w:val="16"/>
              </w:rPr>
            </w:pPr>
            <w:r>
              <w:rPr>
                <w:b/>
                <w:bCs/>
                <w:sz w:val="16"/>
                <w:szCs w:val="16"/>
              </w:rPr>
            </w:r>
          </w:p>
        </w:tc>
        <w:tc>
          <w:tcPr>
            <w:tcW w:w="711" w:type="dxa"/>
            <w:tcBorders>
              <w:top w:val="single" w:sz="4" w:space="0" w:color="FFFFFF"/>
              <w:bottom w:val="single" w:sz="4" w:space="0" w:color="FFFFFF"/>
            </w:tcBorders>
            <w:shd w:color="auto" w:fill="FFC000" w:val="clear"/>
          </w:tcPr>
          <w:p>
            <w:pPr>
              <w:pStyle w:val="ListParagraph"/>
              <w:widowControl w:val="false"/>
              <w:suppressAutoHyphens w:val="true"/>
              <w:spacing w:lineRule="auto" w:line="240" w:before="0" w:after="0"/>
              <w:ind w:left="340" w:hanging="0"/>
              <w:contextualSpacing/>
              <w:jc w:val="left"/>
              <w:rPr>
                <w:sz w:val="16"/>
                <w:szCs w:val="16"/>
              </w:rPr>
            </w:pPr>
            <w:r>
              <w:rPr>
                <w:sz w:val="16"/>
                <w:szCs w:val="16"/>
              </w:rPr>
            </w:r>
          </w:p>
        </w:tc>
      </w:tr>
      <w:tr>
        <w:trPr>
          <w:trHeight w:val="882" w:hRule="atLeast"/>
        </w:trPr>
        <w:tc>
          <w:tcPr>
            <w:tcW w:w="2577" w:type="dxa"/>
            <w:tcBorders>
              <w:top w:val="single" w:sz="4" w:space="0" w:color="FFFFFF"/>
              <w:bottom w:val="single" w:sz="4" w:space="0" w:color="FFFFFF"/>
            </w:tcBorders>
          </w:tcPr>
          <w:p>
            <w:pPr>
              <w:pStyle w:val="ListParagraph"/>
              <w:widowControl w:val="false"/>
              <w:numPr>
                <w:ilvl w:val="0"/>
                <w:numId w:val="18"/>
              </w:numPr>
              <w:suppressAutoHyphens w:val="true"/>
              <w:spacing w:lineRule="auto" w:line="240" w:before="0" w:after="0"/>
              <w:ind w:left="318" w:hanging="360"/>
              <w:contextualSpacing/>
              <w:jc w:val="left"/>
              <w:rPr>
                <w:sz w:val="16"/>
                <w:szCs w:val="16"/>
              </w:rPr>
            </w:pPr>
            <w:r>
              <w:rPr>
                <w:rFonts w:eastAsia="Times New Roman" w:cs="Times New Roman"/>
                <w:color w:val="000000"/>
                <w:kern w:val="0"/>
                <w:sz w:val="16"/>
                <w:szCs w:val="16"/>
                <w:lang w:val="es-PE" w:eastAsia="es-MX" w:bidi="ar-SA"/>
              </w:rPr>
              <w:t>¿Cuál es la incidencia del índice de Theilen en la determinación de grado de pobreza en el departamento de Ayacucho, periodo 2000-2019?</w:t>
            </w:r>
          </w:p>
          <w:p>
            <w:pPr>
              <w:pStyle w:val="ListParagraph"/>
              <w:widowControl w:val="false"/>
              <w:suppressAutoHyphens w:val="true"/>
              <w:spacing w:lineRule="auto" w:line="240" w:before="0" w:after="0"/>
              <w:ind w:left="318" w:hanging="0"/>
              <w:contextualSpacing/>
              <w:jc w:val="left"/>
              <w:rPr>
                <w:color w:val="000000"/>
                <w:sz w:val="16"/>
                <w:szCs w:val="16"/>
              </w:rPr>
            </w:pPr>
            <w:r>
              <w:rPr>
                <w:color w:val="000000"/>
                <w:sz w:val="16"/>
                <w:szCs w:val="16"/>
              </w:rPr>
            </w:r>
          </w:p>
        </w:tc>
        <w:tc>
          <w:tcPr>
            <w:tcW w:w="2517" w:type="dxa"/>
            <w:tcBorders>
              <w:top w:val="single" w:sz="4" w:space="0" w:color="FFFFFF"/>
              <w:bottom w:val="single" w:sz="4" w:space="0" w:color="FFFFFF"/>
            </w:tcBorders>
          </w:tcPr>
          <w:p>
            <w:pPr>
              <w:pStyle w:val="ListParagraph"/>
              <w:widowControl w:val="false"/>
              <w:numPr>
                <w:ilvl w:val="0"/>
                <w:numId w:val="19"/>
              </w:numPr>
              <w:suppressAutoHyphens w:val="true"/>
              <w:spacing w:lineRule="auto" w:line="240" w:before="0" w:after="0"/>
              <w:ind w:left="383" w:hanging="360"/>
              <w:contextualSpacing/>
              <w:jc w:val="left"/>
              <w:rPr>
                <w:color w:val="000000"/>
                <w:sz w:val="16"/>
                <w:szCs w:val="16"/>
              </w:rPr>
            </w:pPr>
            <w:r>
              <w:rPr>
                <w:rFonts w:eastAsia="Times New Roman" w:cs="Times New Roman"/>
                <w:color w:val="000000"/>
                <w:kern w:val="0"/>
                <w:sz w:val="16"/>
                <w:szCs w:val="16"/>
                <w:lang w:val="es-PE" w:eastAsia="es-MX" w:bidi="ar-SA"/>
              </w:rPr>
              <w:t>Determinar cuánto el Índice de Theilen influye en el Grado de pobreza.</w:t>
            </w:r>
          </w:p>
        </w:tc>
        <w:tc>
          <w:tcPr>
            <w:tcW w:w="3016" w:type="dxa"/>
            <w:tcBorders>
              <w:top w:val="single" w:sz="4" w:space="0" w:color="FFFFFF"/>
              <w:bottom w:val="single" w:sz="4" w:space="0" w:color="FFFFFF"/>
            </w:tcBorders>
          </w:tcPr>
          <w:p>
            <w:pPr>
              <w:pStyle w:val="ListParagraph"/>
              <w:widowControl w:val="false"/>
              <w:numPr>
                <w:ilvl w:val="0"/>
                <w:numId w:val="20"/>
              </w:numPr>
              <w:suppressAutoHyphens w:val="true"/>
              <w:spacing w:lineRule="auto" w:line="240" w:before="0" w:after="0"/>
              <w:ind w:left="382" w:hanging="360"/>
              <w:contextualSpacing/>
              <w:jc w:val="left"/>
              <w:rPr>
                <w:sz w:val="16"/>
                <w:szCs w:val="16"/>
              </w:rPr>
            </w:pPr>
            <w:r>
              <w:rPr>
                <w:rFonts w:eastAsia="Times New Roman" w:cs="Times New Roman"/>
                <w:color w:val="000000"/>
                <w:kern w:val="0"/>
                <w:sz w:val="16"/>
                <w:szCs w:val="16"/>
                <w:lang w:val="es-PE" w:eastAsia="es-MX" w:bidi="ar-SA"/>
              </w:rPr>
              <w:t>El índice de Theilen se relaciona directamente al grado de pobreza en el departamento de Ayacucho, periodo 2000-2019.</w:t>
            </w:r>
          </w:p>
          <w:p>
            <w:pPr>
              <w:pStyle w:val="Normal"/>
              <w:widowControl w:val="false"/>
              <w:suppressAutoHyphens w:val="true"/>
              <w:spacing w:lineRule="auto" w:line="240" w:before="0" w:after="0"/>
              <w:jc w:val="left"/>
              <w:rPr>
                <w:color w:val="000000"/>
                <w:sz w:val="16"/>
                <w:szCs w:val="16"/>
              </w:rPr>
            </w:pPr>
            <w:r>
              <w:rPr>
                <w:color w:val="000000"/>
                <w:sz w:val="16"/>
                <w:szCs w:val="16"/>
              </w:rPr>
            </w:r>
          </w:p>
        </w:tc>
        <w:tc>
          <w:tcPr>
            <w:tcW w:w="1975" w:type="dxa"/>
            <w:tcBorders>
              <w:top w:val="single" w:sz="4" w:space="0" w:color="FFFFFF"/>
              <w:bottom w:val="single" w:sz="4" w:space="0" w:color="FFFFFF"/>
            </w:tcBorders>
          </w:tcPr>
          <w:p>
            <w:pPr>
              <w:pStyle w:val="Normal"/>
              <w:widowControl w:val="false"/>
              <w:suppressAutoHyphens w:val="true"/>
              <w:spacing w:lineRule="auto" w:line="240" w:before="0" w:after="0"/>
              <w:jc w:val="left"/>
              <w:rPr>
                <w:rFonts w:eastAsia="Courier" w:cs="Courier New"/>
                <w:b/>
                <w:b/>
                <w:bCs/>
                <w:sz w:val="16"/>
                <w:szCs w:val="16"/>
                <w:shd w:fill="FFFFFF" w:val="clear"/>
              </w:rPr>
            </w:pPr>
            <w:r>
              <w:rPr>
                <w:rFonts w:eastAsia="Courier" w:cs="Courier New"/>
                <w:b/>
                <w:bCs/>
                <w:kern w:val="0"/>
                <w:sz w:val="16"/>
                <w:szCs w:val="16"/>
                <w:shd w:fill="FFFFFF" w:val="clear"/>
                <w:lang w:val="es-PE" w:eastAsia="es-MX" w:bidi="ar-SA"/>
              </w:rPr>
              <w:t>Dimensiones:</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w:t>
            </w:r>
            <w:r>
              <w:rPr>
                <w:kern w:val="0"/>
                <w:sz w:val="24"/>
                <w:szCs w:val="24"/>
                <w:lang w:val="es-PE" w:eastAsia="es-MX" w:bidi="ar-SA"/>
              </w:rPr>
              <w:t xml:space="preserve"> </w:t>
            </w:r>
            <w:r>
              <w:rPr>
                <w:rFonts w:eastAsia="Courier" w:cs="Courier New"/>
                <w:kern w:val="0"/>
                <w:sz w:val="16"/>
                <w:szCs w:val="16"/>
                <w:shd w:fill="FFFFFF" w:val="clear"/>
                <w:lang w:val="es-PE" w:eastAsia="es-MX" w:bidi="ar-SA"/>
              </w:rPr>
              <w:t>Índice de Desarrollo Humano</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Grado de pobreza</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color w:val="81D41A"/>
                <w:kern w:val="0"/>
                <w:sz w:val="16"/>
                <w:szCs w:val="16"/>
                <w:shd w:fill="FFFFFF" w:val="clear"/>
                <w:lang w:val="es-PE" w:eastAsia="es-MX" w:bidi="ar-SA"/>
              </w:rPr>
              <w:t>-</w:t>
            </w:r>
            <w:r>
              <w:rPr>
                <w:rFonts w:eastAsia="Courier" w:cs="Courier New"/>
                <w:color w:val="81D41A"/>
                <w:kern w:val="0"/>
                <w:sz w:val="16"/>
                <w:szCs w:val="16"/>
                <w:shd w:fill="FFFFFF" w:val="clear"/>
                <w:lang w:val="es-PE" w:eastAsia="es-MX" w:bidi="ar-SA"/>
              </w:rPr>
              <w:t>Í</w:t>
            </w:r>
            <w:r>
              <w:rPr>
                <w:rFonts w:eastAsia="Courier" w:cs="Courier New"/>
                <w:color w:val="00A933"/>
                <w:kern w:val="0"/>
                <w:sz w:val="16"/>
                <w:szCs w:val="16"/>
                <w:shd w:fill="FFFFFF" w:val="clear"/>
                <w:lang w:val="es-PE" w:eastAsia="es-MX" w:bidi="ar-SA"/>
              </w:rPr>
              <w:t>ndice de Pobreza Humana</w:t>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w:t>
            </w:r>
            <w:r>
              <w:rPr>
                <w:rFonts w:eastAsia="Courier" w:cs="Courier New"/>
                <w:color w:val="C9211E"/>
                <w:kern w:val="0"/>
                <w:sz w:val="16"/>
                <w:szCs w:val="16"/>
                <w:shd w:fill="FFFFFF" w:val="clear"/>
                <w:lang w:val="es-PE" w:eastAsia="es-MX" w:bidi="ar-SA"/>
              </w:rPr>
              <w:t xml:space="preserve"> Índice de Gini</w:t>
            </w:r>
          </w:p>
          <w:p>
            <w:pPr>
              <w:pStyle w:val="Normal"/>
              <w:widowControl w:val="false"/>
              <w:suppressAutoHyphens w:val="true"/>
              <w:spacing w:lineRule="auto" w:line="240" w:before="0" w:after="0"/>
              <w:jc w:val="left"/>
              <w:rPr>
                <w:rFonts w:eastAsia="Courier" w:cs="Courier New"/>
                <w:color w:val="00A933"/>
                <w:kern w:val="0"/>
                <w:sz w:val="16"/>
                <w:szCs w:val="16"/>
                <w:shd w:fill="FFFFFF" w:val="clear"/>
                <w:lang w:val="es-PE" w:eastAsia="es-MX" w:bidi="ar-SA"/>
              </w:rPr>
            </w:pPr>
            <w:r>
              <w:rPr>
                <w:color w:val="81D41A"/>
              </w:rPr>
            </w:r>
          </w:p>
        </w:tc>
        <w:tc>
          <w:tcPr>
            <w:tcW w:w="2163" w:type="dxa"/>
            <w:tcBorders>
              <w:top w:val="single" w:sz="4" w:space="0" w:color="FFFFFF"/>
              <w:bottom w:val="single" w:sz="4" w:space="0" w:color="FFFFFF"/>
            </w:tcBorders>
          </w:tcPr>
          <w:p>
            <w:pPr>
              <w:pStyle w:val="Normal"/>
              <w:widowControl w:val="false"/>
              <w:suppressAutoHyphens w:val="true"/>
              <w:spacing w:lineRule="auto" w:line="240" w:before="0" w:after="0"/>
              <w:jc w:val="left"/>
              <w:rPr>
                <w:sz w:val="16"/>
                <w:szCs w:val="16"/>
              </w:rPr>
            </w:pPr>
            <w:r>
              <w:rPr>
                <w:sz w:val="16"/>
                <w:szCs w:val="16"/>
              </w:rPr>
            </w:r>
          </w:p>
        </w:tc>
        <w:tc>
          <w:tcPr>
            <w:tcW w:w="711" w:type="dxa"/>
            <w:tcBorders>
              <w:top w:val="single" w:sz="4" w:space="0" w:color="FFFFFF"/>
              <w:bottom w:val="single" w:sz="4" w:space="0" w:color="FFFFFF"/>
            </w:tcBorders>
            <w:shd w:color="auto" w:fill="FFC000" w:val="clear"/>
          </w:tcPr>
          <w:p>
            <w:pPr>
              <w:pStyle w:val="Normal"/>
              <w:widowControl w:val="false"/>
              <w:suppressAutoHyphens w:val="true"/>
              <w:spacing w:lineRule="auto" w:line="240" w:before="0" w:after="0"/>
              <w:jc w:val="left"/>
              <w:rPr>
                <w:sz w:val="16"/>
                <w:szCs w:val="16"/>
              </w:rPr>
            </w:pPr>
            <w:r>
              <w:rPr>
                <w:sz w:val="16"/>
                <w:szCs w:val="16"/>
              </w:rPr>
            </w:r>
          </w:p>
        </w:tc>
      </w:tr>
      <w:tr>
        <w:trPr>
          <w:trHeight w:val="233" w:hRule="atLeast"/>
        </w:trPr>
        <w:tc>
          <w:tcPr>
            <w:tcW w:w="2577" w:type="dxa"/>
            <w:tcBorders>
              <w:top w:val="single" w:sz="4" w:space="0" w:color="FFFFFF"/>
            </w:tcBorders>
          </w:tcPr>
          <w:p>
            <w:pPr>
              <w:pStyle w:val="Normal"/>
              <w:widowControl w:val="false"/>
              <w:suppressAutoHyphens w:val="true"/>
              <w:spacing w:lineRule="auto" w:line="240" w:before="0" w:after="0"/>
              <w:ind w:left="318" w:hanging="0"/>
              <w:jc w:val="left"/>
              <w:rPr>
                <w:sz w:val="16"/>
                <w:szCs w:val="16"/>
              </w:rPr>
            </w:pPr>
            <w:r>
              <w:rPr>
                <w:sz w:val="16"/>
                <w:szCs w:val="16"/>
              </w:rPr>
            </w:r>
          </w:p>
          <w:p>
            <w:pPr>
              <w:pStyle w:val="ListParagraph"/>
              <w:widowControl w:val="false"/>
              <w:numPr>
                <w:ilvl w:val="0"/>
                <w:numId w:val="18"/>
              </w:numPr>
              <w:suppressAutoHyphens w:val="true"/>
              <w:spacing w:lineRule="auto" w:line="240" w:before="0" w:after="0"/>
              <w:ind w:left="318" w:hanging="360"/>
              <w:contextualSpacing/>
              <w:jc w:val="left"/>
              <w:rPr>
                <w:sz w:val="16"/>
                <w:szCs w:val="16"/>
              </w:rPr>
            </w:pPr>
            <w:r>
              <w:rPr>
                <w:rFonts w:eastAsia="Times New Roman" w:cs="Times New Roman"/>
                <w:color w:val="000000"/>
                <w:kern w:val="0"/>
                <w:sz w:val="16"/>
                <w:szCs w:val="16"/>
                <w:lang w:val="es-PE" w:eastAsia="es-MX" w:bidi="ar-SA"/>
              </w:rPr>
              <w:t>¿Como el desempleo influye en el índice de Gini</w:t>
            </w:r>
            <w:r>
              <w:rPr>
                <w:rFonts w:eastAsia="Times New Roman" w:cs="Times New Roman"/>
                <w:b/>
                <w:bCs/>
                <w:color w:val="000000"/>
                <w:kern w:val="0"/>
                <w:sz w:val="16"/>
                <w:szCs w:val="16"/>
                <w:lang w:val="es-PE" w:eastAsia="es-MX" w:bidi="ar-SA"/>
              </w:rPr>
              <w:t xml:space="preserve"> </w:t>
            </w:r>
            <w:r>
              <w:rPr>
                <w:rFonts w:eastAsia="Times New Roman" w:cs="Times New Roman"/>
                <w:color w:val="000000"/>
                <w:kern w:val="0"/>
                <w:sz w:val="16"/>
                <w:szCs w:val="16"/>
                <w:lang w:val="es-PE" w:eastAsia="es-MX" w:bidi="ar-SA"/>
              </w:rPr>
              <w:t>en el departamento de Ayacucho, periodo 2000-2019?</w:t>
            </w:r>
          </w:p>
        </w:tc>
        <w:tc>
          <w:tcPr>
            <w:tcW w:w="2517" w:type="dxa"/>
            <w:tcBorders>
              <w:top w:val="single" w:sz="4" w:space="0" w:color="FFFFFF"/>
            </w:tcBorders>
          </w:tcPr>
          <w:p>
            <w:pPr>
              <w:pStyle w:val="Normal"/>
              <w:widowControl w:val="false"/>
              <w:suppressAutoHyphens w:val="true"/>
              <w:spacing w:lineRule="auto" w:line="240" w:before="0" w:after="0"/>
              <w:jc w:val="left"/>
              <w:rPr>
                <w:sz w:val="16"/>
                <w:szCs w:val="16"/>
              </w:rPr>
            </w:pPr>
            <w:r>
              <w:rPr>
                <w:sz w:val="16"/>
                <w:szCs w:val="16"/>
              </w:rPr>
            </w:r>
          </w:p>
          <w:p>
            <w:pPr>
              <w:pStyle w:val="ListParagraph"/>
              <w:widowControl w:val="false"/>
              <w:numPr>
                <w:ilvl w:val="0"/>
                <w:numId w:val="19"/>
              </w:numPr>
              <w:suppressAutoHyphens w:val="true"/>
              <w:spacing w:lineRule="auto" w:line="240" w:before="0" w:after="0"/>
              <w:ind w:left="383" w:hanging="360"/>
              <w:contextualSpacing/>
              <w:jc w:val="left"/>
              <w:rPr>
                <w:sz w:val="16"/>
                <w:szCs w:val="16"/>
              </w:rPr>
            </w:pPr>
            <w:r>
              <w:rPr>
                <w:rFonts w:eastAsia="Times New Roman" w:cs="Times New Roman"/>
                <w:color w:val="000000"/>
                <w:kern w:val="0"/>
                <w:sz w:val="16"/>
                <w:szCs w:val="16"/>
                <w:lang w:val="es-PE" w:eastAsia="es-MX" w:bidi="ar-SA"/>
              </w:rPr>
              <w:t>Identificar de qué manera el desempleo determina el índice de Gini en el departamento de Ayacucho.</w:t>
            </w:r>
          </w:p>
          <w:p>
            <w:pPr>
              <w:pStyle w:val="Normal"/>
              <w:widowControl w:val="false"/>
              <w:suppressAutoHyphens w:val="true"/>
              <w:spacing w:lineRule="auto" w:line="240" w:before="0" w:after="0"/>
              <w:jc w:val="left"/>
              <w:rPr>
                <w:sz w:val="16"/>
                <w:szCs w:val="16"/>
              </w:rPr>
            </w:pPr>
            <w:r>
              <w:rPr>
                <w:sz w:val="16"/>
                <w:szCs w:val="16"/>
              </w:rPr>
            </w:r>
          </w:p>
        </w:tc>
        <w:tc>
          <w:tcPr>
            <w:tcW w:w="3016" w:type="dxa"/>
            <w:tcBorders>
              <w:top w:val="single" w:sz="4" w:space="0" w:color="FFFFFF"/>
            </w:tcBorders>
          </w:tcPr>
          <w:p>
            <w:pPr>
              <w:pStyle w:val="Normal"/>
              <w:widowControl w:val="false"/>
              <w:suppressAutoHyphens w:val="true"/>
              <w:spacing w:lineRule="auto" w:line="240" w:before="0" w:after="0"/>
              <w:jc w:val="left"/>
              <w:rPr>
                <w:sz w:val="16"/>
                <w:szCs w:val="16"/>
              </w:rPr>
            </w:pPr>
            <w:r>
              <w:rPr>
                <w:sz w:val="16"/>
                <w:szCs w:val="16"/>
              </w:rPr>
            </w:r>
          </w:p>
          <w:p>
            <w:pPr>
              <w:pStyle w:val="ListParagraph"/>
              <w:widowControl w:val="false"/>
              <w:numPr>
                <w:ilvl w:val="0"/>
                <w:numId w:val="20"/>
              </w:numPr>
              <w:suppressAutoHyphens w:val="true"/>
              <w:spacing w:lineRule="auto" w:line="240" w:before="0" w:after="0"/>
              <w:ind w:left="382" w:hanging="360"/>
              <w:contextualSpacing/>
              <w:jc w:val="left"/>
              <w:rPr>
                <w:sz w:val="16"/>
                <w:szCs w:val="16"/>
              </w:rPr>
            </w:pPr>
            <w:r>
              <w:rPr>
                <w:rFonts w:eastAsia="Times New Roman" w:cs="Times New Roman"/>
                <w:color w:val="000000"/>
                <w:kern w:val="0"/>
                <w:sz w:val="16"/>
                <w:szCs w:val="16"/>
                <w:lang w:val="es-PE" w:eastAsia="es-MX" w:bidi="ar-SA"/>
              </w:rPr>
              <w:t>El desempleo influye directamente en el índice de Gini</w:t>
            </w:r>
            <w:r>
              <w:rPr>
                <w:rFonts w:eastAsia="Times New Roman" w:cs="Times New Roman"/>
                <w:b/>
                <w:bCs/>
                <w:color w:val="000000"/>
                <w:kern w:val="0"/>
                <w:sz w:val="16"/>
                <w:szCs w:val="16"/>
                <w:lang w:val="es-PE" w:eastAsia="es-MX" w:bidi="ar-SA"/>
              </w:rPr>
              <w:t xml:space="preserve"> </w:t>
            </w:r>
            <w:r>
              <w:rPr>
                <w:rFonts w:eastAsia="Times New Roman" w:cs="Times New Roman"/>
                <w:color w:val="000000"/>
                <w:kern w:val="0"/>
                <w:sz w:val="16"/>
                <w:szCs w:val="16"/>
                <w:lang w:val="es-PE" w:eastAsia="es-MX" w:bidi="ar-SA"/>
              </w:rPr>
              <w:t>en el departamento de Ayacucho, periodo 2000-2019</w:t>
            </w:r>
          </w:p>
        </w:tc>
        <w:tc>
          <w:tcPr>
            <w:tcW w:w="1975" w:type="dxa"/>
            <w:tcBorders>
              <w:top w:val="single" w:sz="4" w:space="0" w:color="FFFFFF"/>
            </w:tcBorders>
          </w:tcPr>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sz w:val="16"/>
                <w:szCs w:val="16"/>
                <w:shd w:fill="FFFFFF" w:val="clear"/>
              </w:rPr>
            </w:r>
          </w:p>
          <w:p>
            <w:pPr>
              <w:pStyle w:val="Normal"/>
              <w:widowControl w:val="false"/>
              <w:suppressAutoHyphens w:val="true"/>
              <w:spacing w:lineRule="auto" w:line="240" w:before="0" w:after="0"/>
              <w:jc w:val="left"/>
              <w:rPr>
                <w:rFonts w:eastAsia="Courier" w:cs="Courier New"/>
                <w:sz w:val="16"/>
                <w:szCs w:val="16"/>
                <w:shd w:fill="FFFFFF" w:val="clear"/>
              </w:rPr>
            </w:pPr>
            <w:r>
              <w:rPr>
                <w:rFonts w:eastAsia="Courier" w:cs="Courier New"/>
                <w:sz w:val="16"/>
                <w:szCs w:val="16"/>
                <w:shd w:fill="FFFFFF" w:val="clear"/>
              </w:rPr>
            </w:r>
          </w:p>
          <w:p>
            <w:pPr>
              <w:pStyle w:val="Normal"/>
              <w:widowControl w:val="false"/>
              <w:suppressAutoHyphens w:val="true"/>
              <w:spacing w:lineRule="auto" w:line="240" w:before="0" w:after="0"/>
              <w:jc w:val="left"/>
              <w:rPr>
                <w:sz w:val="16"/>
                <w:szCs w:val="16"/>
              </w:rPr>
            </w:pPr>
            <w:r>
              <w:rPr>
                <w:sz w:val="16"/>
                <w:szCs w:val="16"/>
              </w:rPr>
            </w:r>
          </w:p>
          <w:p>
            <w:pPr>
              <w:pStyle w:val="Normal"/>
              <w:widowControl w:val="false"/>
              <w:suppressAutoHyphens w:val="true"/>
              <w:spacing w:lineRule="auto" w:line="240" w:before="0" w:after="0"/>
              <w:jc w:val="left"/>
              <w:rPr>
                <w:sz w:val="16"/>
                <w:szCs w:val="16"/>
              </w:rPr>
            </w:pPr>
            <w:r>
              <w:rPr>
                <w:sz w:val="16"/>
                <w:szCs w:val="16"/>
              </w:rPr>
            </w:r>
          </w:p>
        </w:tc>
        <w:tc>
          <w:tcPr>
            <w:tcW w:w="2163" w:type="dxa"/>
            <w:tcBorders>
              <w:top w:val="single" w:sz="4" w:space="0" w:color="FFFFFF"/>
            </w:tcBorders>
          </w:tcPr>
          <w:p>
            <w:pPr>
              <w:pStyle w:val="Normal"/>
              <w:widowControl w:val="false"/>
              <w:suppressAutoHyphens w:val="true"/>
              <w:spacing w:lineRule="auto" w:line="240" w:before="0" w:after="0"/>
              <w:jc w:val="left"/>
              <w:rPr>
                <w:sz w:val="16"/>
                <w:szCs w:val="16"/>
              </w:rPr>
            </w:pPr>
            <w:r>
              <w:rPr>
                <w:sz w:val="16"/>
                <w:szCs w:val="16"/>
              </w:rPr>
            </w:r>
          </w:p>
        </w:tc>
        <w:tc>
          <w:tcPr>
            <w:tcW w:w="711" w:type="dxa"/>
            <w:tcBorders>
              <w:top w:val="single" w:sz="4" w:space="0" w:color="FFFFFF"/>
            </w:tcBorders>
            <w:shd w:color="auto" w:fill="FFC000" w:val="clear"/>
          </w:tcPr>
          <w:p>
            <w:pPr>
              <w:pStyle w:val="Normal"/>
              <w:widowControl w:val="false"/>
              <w:suppressAutoHyphens w:val="true"/>
              <w:spacing w:lineRule="auto" w:line="240" w:before="0" w:after="0"/>
              <w:jc w:val="left"/>
              <w:rPr>
                <w:sz w:val="16"/>
                <w:szCs w:val="16"/>
              </w:rPr>
            </w:pPr>
            <w:r>
              <w:rPr>
                <w:sz w:val="16"/>
                <w:szCs w:val="16"/>
              </w:rPr>
            </w:r>
          </w:p>
        </w:tc>
      </w:tr>
    </w:tbl>
    <w:p>
      <w:pPr>
        <w:sectPr>
          <w:type w:val="nextPage"/>
          <w:pgSz w:orient="landscape" w:w="15840" w:h="12240"/>
          <w:pgMar w:left="1440" w:right="1440" w:gutter="0" w:header="0" w:top="1440" w:footer="0" w:bottom="1701"/>
          <w:pgNumType w:start="1" w:fmt="decimal"/>
          <w:formProt w:val="false"/>
          <w:textDirection w:val="lrTb"/>
          <w:docGrid w:type="default" w:linePitch="100" w:charSpace="0"/>
        </w:sectPr>
      </w:pPr>
    </w:p>
    <w:p>
      <w:pPr>
        <w:pStyle w:val="Normal"/>
        <w:jc w:val="center"/>
        <w:rPr>
          <w:b/>
          <w:b/>
          <w:bCs/>
          <w:sz w:val="20"/>
          <w:szCs w:val="20"/>
        </w:rPr>
      </w:pPr>
      <w:r>
        <w:drawing>
          <wp:anchor behindDoc="0" distT="0" distB="0" distL="114300" distR="114300" simplePos="0" locked="0" layoutInCell="0" allowOverlap="1" relativeHeight="7">
            <wp:simplePos x="0" y="0"/>
            <wp:positionH relativeFrom="column">
              <wp:posOffset>544195</wp:posOffset>
            </wp:positionH>
            <wp:positionV relativeFrom="paragraph">
              <wp:posOffset>274320</wp:posOffset>
            </wp:positionV>
            <wp:extent cx="5400040" cy="6988175"/>
            <wp:effectExtent l="0" t="0" r="0" b="0"/>
            <wp:wrapSquare wrapText="bothSides"/>
            <wp:docPr id="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Interfaz de usuario gráfica&#10;&#10;Descripción generada automáticamente"/>
                    <pic:cNvPicPr>
                      <a:picLocks noChangeAspect="1" noChangeArrowheads="1"/>
                    </pic:cNvPicPr>
                  </pic:nvPicPr>
                  <pic:blipFill>
                    <a:blip r:embed="rId7"/>
                    <a:stretch>
                      <a:fillRect/>
                    </a:stretch>
                  </pic:blipFill>
                  <pic:spPr bwMode="auto">
                    <a:xfrm>
                      <a:off x="0" y="0"/>
                      <a:ext cx="5400040" cy="6988175"/>
                    </a:xfrm>
                    <a:prstGeom prst="rect">
                      <a:avLst/>
                    </a:prstGeom>
                  </pic:spPr>
                </pic:pic>
              </a:graphicData>
            </a:graphic>
          </wp:anchor>
        </w:drawing>
      </w:r>
      <w:r>
        <w:rPr>
          <w:b/>
          <w:bCs/>
          <w:sz w:val="20"/>
          <w:szCs w:val="20"/>
        </w:rPr>
        <w:t>REPORTE DE TURNITING 01</w:t>
      </w:r>
    </w:p>
    <w:p>
      <w:pPr>
        <w:pStyle w:val="Normal"/>
        <w:jc w:val="center"/>
        <w:rPr>
          <w:b/>
          <w:b/>
          <w:bCs/>
        </w:rPr>
      </w:pPr>
      <w:r>
        <w:rPr/>
        <w:drawing>
          <wp:inline distT="0" distB="0" distL="0" distR="0">
            <wp:extent cx="5777865" cy="7477125"/>
            <wp:effectExtent l="0" t="0" r="0" b="0"/>
            <wp:docPr id="6"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Interfaz de usuario gráfica&#10;&#10;Descripción generada automáticamente con confianza media"/>
                    <pic:cNvPicPr>
                      <a:picLocks noChangeAspect="1" noChangeArrowheads="1"/>
                    </pic:cNvPicPr>
                  </pic:nvPicPr>
                  <pic:blipFill>
                    <a:blip r:embed="rId8"/>
                    <a:stretch>
                      <a:fillRect/>
                    </a:stretch>
                  </pic:blipFill>
                  <pic:spPr bwMode="auto">
                    <a:xfrm>
                      <a:off x="0" y="0"/>
                      <a:ext cx="5777865" cy="7477125"/>
                    </a:xfrm>
                    <a:prstGeom prst="rect">
                      <a:avLst/>
                    </a:prstGeom>
                  </pic:spPr>
                </pic:pic>
              </a:graphicData>
            </a:graphic>
          </wp:inline>
        </w:drawing>
      </w:r>
      <w:r>
        <w:rPr/>
        <w:drawing>
          <wp:inline distT="0" distB="0" distL="0" distR="0">
            <wp:extent cx="5777865" cy="7477125"/>
            <wp:effectExtent l="0" t="0" r="0" b="0"/>
            <wp:docPr id="7"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Interfaz de usuario gráfica, Texto, Aplicación, Correo electrónico&#10;&#10;Descripción generada automáticamente"/>
                    <pic:cNvPicPr>
                      <a:picLocks noChangeAspect="1" noChangeArrowheads="1"/>
                    </pic:cNvPicPr>
                  </pic:nvPicPr>
                  <pic:blipFill>
                    <a:blip r:embed="rId9"/>
                    <a:stretch>
                      <a:fillRect/>
                    </a:stretch>
                  </pic:blipFill>
                  <pic:spPr bwMode="auto">
                    <a:xfrm>
                      <a:off x="0" y="0"/>
                      <a:ext cx="5777865" cy="7477125"/>
                    </a:xfrm>
                    <a:prstGeom prst="rect">
                      <a:avLst/>
                    </a:prstGeom>
                  </pic:spPr>
                </pic:pic>
              </a:graphicData>
            </a:graphic>
          </wp:inline>
        </w:drawing>
      </w:r>
    </w:p>
    <w:p>
      <w:pPr>
        <w:pStyle w:val="Normal"/>
        <w:jc w:val="center"/>
        <w:rPr>
          <w:b/>
          <w:b/>
          <w:bCs/>
        </w:rPr>
      </w:pPr>
      <w:r>
        <w:rPr>
          <w:b/>
          <w:bCs/>
        </w:rPr>
      </w:r>
    </w:p>
    <w:p>
      <w:pPr>
        <w:pStyle w:val="Normal"/>
        <w:jc w:val="center"/>
        <w:rPr>
          <w:b/>
          <w:b/>
          <w:bCs/>
        </w:rPr>
      </w:pPr>
      <w:r>
        <w:rPr>
          <w:b/>
          <w:bCs/>
        </w:rPr>
      </w:r>
    </w:p>
    <w:p>
      <w:pPr>
        <w:pStyle w:val="Normal"/>
        <w:jc w:val="center"/>
        <w:rPr>
          <w:b/>
          <w:b/>
          <w:bCs/>
          <w:sz w:val="20"/>
          <w:szCs w:val="20"/>
        </w:rPr>
      </w:pPr>
      <w:r>
        <w:rPr>
          <w:b/>
          <w:bCs/>
          <w:sz w:val="20"/>
          <w:szCs w:val="20"/>
        </w:rPr>
        <w:t>REPORTE DE TURNITIN 02</w:t>
      </w:r>
      <w:r>
        <w:rPr/>
        <w:drawing>
          <wp:inline distT="0" distB="0" distL="0" distR="0">
            <wp:extent cx="5400040" cy="6988175"/>
            <wp:effectExtent l="0" t="0" r="0" b="0"/>
            <wp:docPr id="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Interfaz de usuario gráfica, Texto, Aplicación&#10;&#10;Descripción generada automáticamente"/>
                    <pic:cNvPicPr>
                      <a:picLocks noChangeAspect="1" noChangeArrowheads="1"/>
                    </pic:cNvPicPr>
                  </pic:nvPicPr>
                  <pic:blipFill>
                    <a:blip r:embed="rId10"/>
                    <a:stretch>
                      <a:fillRect/>
                    </a:stretch>
                  </pic:blipFill>
                  <pic:spPr bwMode="auto">
                    <a:xfrm>
                      <a:off x="0" y="0"/>
                      <a:ext cx="5400040" cy="6988175"/>
                    </a:xfrm>
                    <a:prstGeom prst="rect">
                      <a:avLst/>
                    </a:prstGeom>
                  </pic:spPr>
                </pic:pic>
              </a:graphicData>
            </a:graphic>
          </wp:inline>
        </w:drawing>
      </w:r>
      <w:r>
        <w:rPr>
          <w:b/>
          <w:bCs/>
          <w:sz w:val="20"/>
          <w:szCs w:val="20"/>
        </w:rPr>
        <w:t>G 02</w:t>
      </w:r>
    </w:p>
    <w:p>
      <w:pPr>
        <w:pStyle w:val="Normal"/>
        <w:jc w:val="center"/>
        <w:rPr>
          <w:b/>
          <w:b/>
          <w:bCs/>
        </w:rPr>
      </w:pPr>
      <w:r>
        <w:rPr/>
        <w:drawing>
          <wp:inline distT="0" distB="0" distL="0" distR="0">
            <wp:extent cx="5777865" cy="7477125"/>
            <wp:effectExtent l="0" t="0" r="0" b="0"/>
            <wp:docPr id="9"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descr="Interfaz de usuario gráfica&#10;&#10;Descripción generada automáticamente"/>
                    <pic:cNvPicPr>
                      <a:picLocks noChangeAspect="1" noChangeArrowheads="1"/>
                    </pic:cNvPicPr>
                  </pic:nvPicPr>
                  <pic:blipFill>
                    <a:blip r:embed="rId11"/>
                    <a:stretch>
                      <a:fillRect/>
                    </a:stretch>
                  </pic:blipFill>
                  <pic:spPr bwMode="auto">
                    <a:xfrm>
                      <a:off x="0" y="0"/>
                      <a:ext cx="5777865" cy="7477125"/>
                    </a:xfrm>
                    <a:prstGeom prst="rect">
                      <a:avLst/>
                    </a:prstGeom>
                  </pic:spPr>
                </pic:pic>
              </a:graphicData>
            </a:graphic>
          </wp:inline>
        </w:drawing>
      </w:r>
    </w:p>
    <w:sectPr>
      <w:type w:val="nextPage"/>
      <w:pgSz w:w="12240" w:h="15840"/>
      <w:pgMar w:left="1701"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Tms Rmn">
    <w:altName w:val="Times New Roman"/>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b w:val="false"/>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540" w:hanging="540"/>
      </w:pPr>
      <w:rPr/>
    </w:lvl>
    <w:lvl w:ilvl="1">
      <w:start w:val="2"/>
      <w:numFmt w:val="decimal"/>
      <w:lvlText w:val="%1.%2."/>
      <w:lvlJc w:val="left"/>
      <w:pPr>
        <w:tabs>
          <w:tab w:val="num" w:pos="0"/>
        </w:tabs>
        <w:ind w:left="900" w:hanging="54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2"/>
      <w:numFmt w:val="decimal"/>
      <w:lvlText w:val="%1."/>
      <w:lvlJc w:val="left"/>
      <w:pPr>
        <w:tabs>
          <w:tab w:val="num" w:pos="0"/>
        </w:tabs>
        <w:ind w:left="360" w:hanging="360"/>
      </w:pPr>
      <w:rPr/>
    </w:lvl>
    <w:lvl w:ilvl="1">
      <w:start w:val="2"/>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6">
    <w:lvl w:ilvl="0">
      <w:start w:val="7"/>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7">
    <w:lvl w:ilvl="0">
      <w:start w:val="1"/>
      <w:numFmt w:val="decimal"/>
      <w:lvlText w:val="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5"/>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s-PE" w:eastAsia="es-MX"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0f51"/>
    <w:pPr>
      <w:widowControl/>
      <w:suppressAutoHyphens w:val="true"/>
      <w:bidi w:val="0"/>
      <w:spacing w:lineRule="auto" w:line="480" w:before="0" w:after="0"/>
      <w:jc w:val="left"/>
    </w:pPr>
    <w:rPr>
      <w:rFonts w:ascii="Times New Roman" w:hAnsi="Times New Roman" w:eastAsia="Times New Roman" w:cs="Times New Roman"/>
      <w:color w:val="auto"/>
      <w:kern w:val="0"/>
      <w:sz w:val="24"/>
      <w:szCs w:val="24"/>
      <w:lang w:val="es-PE" w:eastAsia="es-MX" w:bidi="ar-SA"/>
    </w:rPr>
  </w:style>
  <w:style w:type="paragraph" w:styleId="Heading1">
    <w:name w:val="Heading 1"/>
    <w:basedOn w:val="Normal"/>
    <w:next w:val="Normal"/>
    <w:link w:val="Heading1Char"/>
    <w:uiPriority w:val="9"/>
    <w:qFormat/>
    <w:rsid w:val="00b354ed"/>
    <w:pPr>
      <w:keepNext w:val="true"/>
      <w:keepLines/>
      <w:ind w:left="1080" w:hanging="720"/>
      <w:jc w:val="both"/>
      <w:outlineLvl w:val="0"/>
    </w:pPr>
    <w:rPr>
      <w:rFonts w:eastAsia="" w:cs="" w:cstheme="majorBidi" w:eastAsiaTheme="majorEastAsia"/>
      <w:b/>
      <w:szCs w:val="32"/>
    </w:rPr>
  </w:style>
  <w:style w:type="paragraph" w:styleId="Heading2">
    <w:name w:val="Heading 2"/>
    <w:basedOn w:val="Normal"/>
    <w:next w:val="Normal"/>
    <w:link w:val="Heading2Char"/>
    <w:uiPriority w:val="9"/>
    <w:unhideWhenUsed/>
    <w:qFormat/>
    <w:rsid w:val="00556305"/>
    <w:pPr>
      <w:keepNext w:val="true"/>
      <w:keepLines/>
      <w:ind w:left="720" w:hanging="36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a03bf3"/>
    <w:pPr>
      <w:keepNext w:val="true"/>
      <w:keepLines/>
      <w:numPr>
        <w:ilvl w:val="2"/>
        <w:numId w:val="1"/>
      </w:numPr>
      <w:outlineLvl w:val="2"/>
    </w:pPr>
    <w:rPr>
      <w:rFonts w:eastAsia="" w:cs="" w:cstheme="majorBidi" w:eastAsiaTheme="majorEastAsia"/>
      <w:b/>
      <w:i/>
    </w:rPr>
  </w:style>
  <w:style w:type="paragraph" w:styleId="Heading4">
    <w:name w:val="Heading 4"/>
    <w:basedOn w:val="Normal"/>
    <w:next w:val="Normal"/>
    <w:link w:val="Heading4Char"/>
    <w:uiPriority w:val="9"/>
    <w:unhideWhenUsed/>
    <w:qFormat/>
    <w:rsid w:val="003002d8"/>
    <w:pPr>
      <w:keepNext w:val="true"/>
      <w:keepLines/>
      <w:numPr>
        <w:ilvl w:val="3"/>
        <w:numId w:val="1"/>
      </w:numPr>
      <w:outlineLvl w:val="3"/>
    </w:pPr>
    <w:rPr>
      <w:rFonts w:eastAsia="" w:cs="" w:cstheme="majorBidi" w:eastAsiaTheme="majorEastAsia"/>
      <w:b/>
      <w:iCs/>
    </w:rPr>
  </w:style>
  <w:style w:type="paragraph" w:styleId="Heading5">
    <w:name w:val="Heading 5"/>
    <w:basedOn w:val="Normal"/>
    <w:next w:val="Normal"/>
    <w:link w:val="Heading5Char"/>
    <w:uiPriority w:val="9"/>
    <w:semiHidden/>
    <w:unhideWhenUsed/>
    <w:qFormat/>
    <w:rsid w:val="00e80dab"/>
    <w:pPr>
      <w:keepNext w:val="true"/>
      <w:keepLines/>
      <w:numPr>
        <w:ilvl w:val="4"/>
        <w:numId w:val="1"/>
      </w:numPr>
      <w:outlineLvl w:val="4"/>
    </w:pPr>
    <w:rPr>
      <w:rFonts w:eastAsia="" w:cs="" w:cstheme="majorBidi" w:eastAsiaTheme="majorEastAsia"/>
      <w:b/>
      <w:i/>
    </w:rPr>
  </w:style>
  <w:style w:type="paragraph" w:styleId="Heading6">
    <w:name w:val="Heading 6"/>
    <w:basedOn w:val="Normal"/>
    <w:next w:val="Normal"/>
    <w:link w:val="Heading6Char"/>
    <w:uiPriority w:val="9"/>
    <w:semiHidden/>
    <w:unhideWhenUsed/>
    <w:qFormat/>
    <w:rsid w:val="00e80dab"/>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e80dab"/>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e80dab"/>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e80dab"/>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APAPrrafoCar" w:customStyle="1">
    <w:name w:val="APA Párrafo Car"/>
    <w:basedOn w:val="DefaultParagraphFont"/>
    <w:link w:val="APAPrrafo"/>
    <w:qFormat/>
    <w:rsid w:val="0082755b"/>
    <w:rPr>
      <w:rFonts w:eastAsia="Courier" w:cs="Courier New"/>
    </w:rPr>
  </w:style>
  <w:style w:type="character" w:styleId="Strong">
    <w:name w:val="Strong"/>
    <w:basedOn w:val="DefaultParagraphFont"/>
    <w:uiPriority w:val="22"/>
    <w:qFormat/>
    <w:rsid w:val="00e80dab"/>
    <w:rPr>
      <w:b/>
      <w:bCs/>
    </w:rPr>
  </w:style>
  <w:style w:type="character" w:styleId="Heading1Char" w:customStyle="1">
    <w:name w:val="Heading 1 Char"/>
    <w:basedOn w:val="DefaultParagraphFont"/>
    <w:link w:val="Heading1"/>
    <w:uiPriority w:val="9"/>
    <w:qFormat/>
    <w:rsid w:val="002c7354"/>
    <w:rPr>
      <w:rFonts w:eastAsia="" w:cs="" w:cstheme="majorBidi" w:eastAsiaTheme="majorEastAsia"/>
      <w:b/>
      <w:szCs w:val="32"/>
    </w:rPr>
  </w:style>
  <w:style w:type="character" w:styleId="Heading2Char" w:customStyle="1">
    <w:name w:val="Heading 2 Char"/>
    <w:basedOn w:val="DefaultParagraphFont"/>
    <w:link w:val="Heading2"/>
    <w:uiPriority w:val="9"/>
    <w:qFormat/>
    <w:rsid w:val="00556305"/>
    <w:rPr>
      <w:rFonts w:eastAsia="" w:cs="" w:cstheme="majorBidi" w:eastAsiaTheme="majorEastAsia"/>
      <w:b/>
      <w:szCs w:val="26"/>
    </w:rPr>
  </w:style>
  <w:style w:type="character" w:styleId="Heading3Char" w:customStyle="1">
    <w:name w:val="Heading 3 Char"/>
    <w:basedOn w:val="DefaultParagraphFont"/>
    <w:link w:val="Heading3"/>
    <w:uiPriority w:val="9"/>
    <w:qFormat/>
    <w:rsid w:val="00e80dab"/>
    <w:rPr>
      <w:rFonts w:eastAsia="" w:cs="" w:cstheme="majorBidi" w:eastAsiaTheme="majorEastAsia"/>
      <w:b/>
      <w:i/>
    </w:rPr>
  </w:style>
  <w:style w:type="character" w:styleId="Heading4Char" w:customStyle="1">
    <w:name w:val="Heading 4 Char"/>
    <w:basedOn w:val="DefaultParagraphFont"/>
    <w:link w:val="Heading4"/>
    <w:uiPriority w:val="9"/>
    <w:qFormat/>
    <w:rsid w:val="00e80dab"/>
    <w:rPr>
      <w:rFonts w:eastAsia="" w:cs="" w:cstheme="majorBidi" w:eastAsiaTheme="majorEastAsia"/>
      <w:b/>
      <w:iCs/>
    </w:rPr>
  </w:style>
  <w:style w:type="character" w:styleId="Heading5Char" w:customStyle="1">
    <w:name w:val="Heading 5 Char"/>
    <w:basedOn w:val="DefaultParagraphFont"/>
    <w:link w:val="Heading5"/>
    <w:uiPriority w:val="9"/>
    <w:qFormat/>
    <w:rsid w:val="00e80dab"/>
    <w:rPr>
      <w:rFonts w:eastAsia="" w:cs="" w:cstheme="majorBidi" w:eastAsiaTheme="majorEastAsia"/>
      <w:b/>
      <w:i/>
    </w:rPr>
  </w:style>
  <w:style w:type="character" w:styleId="Heading6Char" w:customStyle="1">
    <w:name w:val="Heading 6 Char"/>
    <w:basedOn w:val="DefaultParagraphFont"/>
    <w:link w:val="Heading6"/>
    <w:uiPriority w:val="9"/>
    <w:semiHidden/>
    <w:qFormat/>
    <w:rsid w:val="00e80dab"/>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e80dab"/>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e80dab"/>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e80dab"/>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CaptionChar" w:customStyle="1">
    <w:name w:val="Caption Char"/>
    <w:basedOn w:val="DefaultParagraphFont"/>
    <w:link w:val="Caption1"/>
    <w:uiPriority w:val="35"/>
    <w:qFormat/>
    <w:rsid w:val="00e80dab"/>
    <w:rPr>
      <w:rFonts w:ascii="Times New Roman" w:hAnsi="Times New Roman"/>
      <w:i/>
      <w:iCs/>
      <w:color w:val="44546A" w:themeColor="text2"/>
      <w:sz w:val="18"/>
      <w:szCs w:val="18"/>
    </w:rPr>
  </w:style>
  <w:style w:type="character" w:styleId="TITULOTablasyFigurasCar" w:customStyle="1">
    <w:name w:val="TITULO. Tablas y Figuras Car"/>
    <w:basedOn w:val="CaptionChar"/>
    <w:link w:val="TITULOTablasyFiguras"/>
    <w:qFormat/>
    <w:rsid w:val="00e80dab"/>
    <w:rPr>
      <w:rFonts w:ascii="Times New Roman" w:hAnsi="Times New Roman"/>
      <w:i/>
      <w:iCs/>
      <w:color w:val="44546A" w:themeColor="text2"/>
      <w:sz w:val="24"/>
      <w:szCs w:val="18"/>
    </w:rPr>
  </w:style>
  <w:style w:type="character" w:styleId="NotasAPACar" w:customStyle="1">
    <w:name w:val="Notas APA Car"/>
    <w:basedOn w:val="DefaultParagraphFont"/>
    <w:link w:val="NotasAPA"/>
    <w:qFormat/>
    <w:rsid w:val="00e80dab"/>
    <w:rPr>
      <w:rFonts w:ascii="Times New Roman" w:hAnsi="Times New Roman"/>
      <w:sz w:val="20"/>
    </w:rPr>
  </w:style>
  <w:style w:type="character" w:styleId="HeaderChar" w:customStyle="1">
    <w:name w:val="Header Char"/>
    <w:basedOn w:val="DefaultParagraphFont"/>
    <w:link w:val="Header"/>
    <w:uiPriority w:val="99"/>
    <w:qFormat/>
    <w:rsid w:val="00501bf5"/>
    <w:rPr>
      <w:rFonts w:ascii="Times New Roman" w:hAnsi="Times New Roman"/>
      <w:sz w:val="24"/>
    </w:rPr>
  </w:style>
  <w:style w:type="character" w:styleId="FooterChar" w:customStyle="1">
    <w:name w:val="Footer Char"/>
    <w:basedOn w:val="DefaultParagraphFont"/>
    <w:link w:val="Footer"/>
    <w:uiPriority w:val="99"/>
    <w:qFormat/>
    <w:rsid w:val="00501bf5"/>
    <w:rPr>
      <w:rFonts w:ascii="Times New Roman" w:hAnsi="Times New Roman"/>
      <w:sz w:val="24"/>
    </w:rPr>
  </w:style>
  <w:style w:type="character" w:styleId="InternetLink">
    <w:name w:val="Hyperlink"/>
    <w:basedOn w:val="DefaultParagraphFont"/>
    <w:uiPriority w:val="99"/>
    <w:unhideWhenUsed/>
    <w:rsid w:val="004515e8"/>
    <w:rPr>
      <w:color w:val="0563C1" w:themeColor="hyperlink"/>
      <w:u w:val="single"/>
    </w:rPr>
  </w:style>
  <w:style w:type="character" w:styleId="EstiloAPACar" w:customStyle="1">
    <w:name w:val="Estilo APA Car"/>
    <w:basedOn w:val="DefaultParagraphFont"/>
    <w:link w:val="EstiloAPA"/>
    <w:qFormat/>
    <w:rsid w:val="00f67ea0"/>
    <w:rPr>
      <w:rFonts w:eastAsia="Calibri" w:eastAsiaTheme="minorHAnsi"/>
      <w:lang w:eastAsia="en-US"/>
    </w:rPr>
  </w:style>
  <w:style w:type="character" w:styleId="UnresolvedMention">
    <w:name w:val="Unresolved Mention"/>
    <w:basedOn w:val="DefaultParagraphFont"/>
    <w:uiPriority w:val="99"/>
    <w:semiHidden/>
    <w:unhideWhenUsed/>
    <w:qFormat/>
    <w:rsid w:val="007833ed"/>
    <w:rPr>
      <w:color w:val="605E5C"/>
      <w:shd w:fill="E1DFDD" w:val="clear"/>
    </w:rPr>
  </w:style>
  <w:style w:type="character" w:styleId="HTMLPreformattedChar" w:customStyle="1">
    <w:name w:val="HTML Preformatted Char"/>
    <w:basedOn w:val="DefaultParagraphFont"/>
    <w:link w:val="HTMLPreformatted"/>
    <w:uiPriority w:val="99"/>
    <w:semiHidden/>
    <w:qFormat/>
    <w:rsid w:val="0078113d"/>
    <w:rPr>
      <w:rFonts w:ascii="Courier New" w:hAnsi="Courier New" w:cs="Courier New"/>
      <w:sz w:val="20"/>
      <w:szCs w:val="20"/>
      <w:lang w:val="es-MX"/>
    </w:rPr>
  </w:style>
  <w:style w:type="character" w:styleId="BalloonTextChar" w:customStyle="1">
    <w:name w:val="Balloon Text Char"/>
    <w:basedOn w:val="DefaultParagraphFont"/>
    <w:link w:val="BalloonText"/>
    <w:uiPriority w:val="99"/>
    <w:semiHidden/>
    <w:qFormat/>
    <w:rsid w:val="0049681d"/>
    <w:rPr>
      <w:rFonts w:ascii="Segoe UI" w:hAnsi="Segoe UI" w:cs="Segoe UI"/>
      <w:sz w:val="18"/>
      <w:szCs w:val="18"/>
    </w:rPr>
  </w:style>
  <w:style w:type="character" w:styleId="PlaceholderText">
    <w:name w:val="Placeholder Text"/>
    <w:basedOn w:val="DefaultParagraphFont"/>
    <w:uiPriority w:val="99"/>
    <w:semiHidden/>
    <w:qFormat/>
    <w:rsid w:val="00af5d15"/>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next w:val="Normal"/>
    <w:uiPriority w:val="10"/>
    <w:qFormat/>
    <w:pPr>
      <w:keepNext w:val="true"/>
      <w:keepLines/>
      <w:spacing w:before="480" w:after="120"/>
    </w:pPr>
    <w:rPr>
      <w:b/>
      <w:sz w:val="72"/>
      <w:szCs w:val="72"/>
    </w:rPr>
  </w:style>
  <w:style w:type="paragraph" w:styleId="APAPrrafo" w:customStyle="1">
    <w:name w:val="APA Párrafo"/>
    <w:basedOn w:val="Normal"/>
    <w:link w:val="APAPrrafoCar"/>
    <w:qFormat/>
    <w:rsid w:val="0082755b"/>
    <w:pPr>
      <w:ind w:firstLine="720"/>
      <w:jc w:val="both"/>
    </w:pPr>
    <w:rPr>
      <w:rFonts w:eastAsia="Courier" w:cs="Courier New"/>
      <w:shd w:fill="FFFFFF" w:val="clear"/>
    </w:rPr>
  </w:style>
  <w:style w:type="paragraph" w:styleId="Caption1">
    <w:name w:val="caption"/>
    <w:basedOn w:val="Normal"/>
    <w:next w:val="Normal"/>
    <w:link w:val="CaptionChar"/>
    <w:uiPriority w:val="35"/>
    <w:unhideWhenUsed/>
    <w:qFormat/>
    <w:rsid w:val="00e80dab"/>
    <w:pPr>
      <w:spacing w:lineRule="auto" w:line="240" w:before="0" w:after="200"/>
    </w:pPr>
    <w:rPr>
      <w:i/>
      <w:iCs/>
      <w:color w:val="44546A" w:themeColor="text2"/>
      <w:sz w:val="18"/>
      <w:szCs w:val="18"/>
    </w:rPr>
  </w:style>
  <w:style w:type="paragraph" w:styleId="TITULOTablasyFiguras" w:customStyle="1">
    <w:name w:val="TITULO. Tablas y Figuras"/>
    <w:basedOn w:val="Caption1"/>
    <w:link w:val="TITULOTablasyFigurasCar"/>
    <w:qFormat/>
    <w:rsid w:val="00e80dab"/>
    <w:pPr>
      <w:keepNext w:val="true"/>
      <w:spacing w:lineRule="auto" w:line="480" w:before="0" w:after="0"/>
      <w:ind w:left="720" w:hanging="0"/>
    </w:pPr>
    <w:rPr>
      <w:sz w:val="24"/>
    </w:rPr>
  </w:style>
  <w:style w:type="paragraph" w:styleId="NotasAPA" w:customStyle="1">
    <w:name w:val="Notas APA"/>
    <w:basedOn w:val="Normal"/>
    <w:link w:val="NotasAPACar"/>
    <w:qFormat/>
    <w:rsid w:val="00e80dab"/>
    <w:pPr>
      <w:ind w:left="720" w:hanging="0"/>
    </w:pPr>
    <w:rPr>
      <w:sz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501bf5"/>
    <w:pPr>
      <w:tabs>
        <w:tab w:val="clear" w:pos="720"/>
        <w:tab w:val="center" w:pos="4252" w:leader="none"/>
        <w:tab w:val="right" w:pos="8504" w:leader="none"/>
      </w:tabs>
      <w:spacing w:lineRule="auto" w:line="240"/>
    </w:pPr>
    <w:rPr/>
  </w:style>
  <w:style w:type="paragraph" w:styleId="Footer">
    <w:name w:val="Footer"/>
    <w:basedOn w:val="Normal"/>
    <w:link w:val="FooterChar"/>
    <w:uiPriority w:val="99"/>
    <w:unhideWhenUsed/>
    <w:rsid w:val="00501bf5"/>
    <w:pPr>
      <w:tabs>
        <w:tab w:val="clear" w:pos="720"/>
        <w:tab w:val="center" w:pos="4252" w:leader="none"/>
        <w:tab w:val="right" w:pos="8504" w:leader="none"/>
      </w:tabs>
      <w:spacing w:lineRule="auto" w:line="240"/>
    </w:pPr>
    <w:rPr/>
  </w:style>
  <w:style w:type="paragraph" w:styleId="Tableoffigures">
    <w:name w:val="table of figures"/>
    <w:basedOn w:val="Normal"/>
    <w:next w:val="Normal"/>
    <w:uiPriority w:val="99"/>
    <w:unhideWhenUsed/>
    <w:qFormat/>
    <w:rsid w:val="004515e8"/>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80dab"/>
    <w:pPr>
      <w:spacing w:lineRule="auto" w:line="259" w:before="240" w:after="0"/>
      <w:ind w:left="0" w:hanging="0"/>
      <w:jc w:val="left"/>
      <w:outlineLvl w:val="9"/>
    </w:pPr>
    <w:rPr>
      <w:rFonts w:ascii="Calibri Light" w:hAnsi="Calibri Light" w:asciiTheme="majorHAnsi" w:hAnsiTheme="majorHAnsi"/>
      <w:b w:val="false"/>
      <w:color w:val="2F5496" w:themeColor="accent1" w:themeShade="bf"/>
      <w:sz w:val="32"/>
      <w:lang w:eastAsia="es-PE"/>
    </w:rPr>
  </w:style>
  <w:style w:type="paragraph" w:styleId="Contents1">
    <w:name w:val="TOC 1"/>
    <w:basedOn w:val="Normal"/>
    <w:next w:val="Normal"/>
    <w:autoRedefine/>
    <w:uiPriority w:val="39"/>
    <w:unhideWhenUsed/>
    <w:rsid w:val="00b90779"/>
    <w:pPr>
      <w:tabs>
        <w:tab w:val="clear" w:pos="720"/>
        <w:tab w:val="left" w:pos="480" w:leader="none"/>
        <w:tab w:val="right" w:pos="8297" w:leader="dot"/>
      </w:tabs>
      <w:spacing w:before="0" w:after="100"/>
      <w:jc w:val="both"/>
    </w:pPr>
    <w:rPr/>
  </w:style>
  <w:style w:type="paragraph" w:styleId="Contents2">
    <w:name w:val="TOC 2"/>
    <w:basedOn w:val="Normal"/>
    <w:next w:val="Normal"/>
    <w:autoRedefine/>
    <w:uiPriority w:val="39"/>
    <w:unhideWhenUsed/>
    <w:rsid w:val="004515e8"/>
    <w:pPr>
      <w:spacing w:before="0" w:after="100"/>
      <w:ind w:left="240" w:hanging="0"/>
    </w:pPr>
    <w:rPr/>
  </w:style>
  <w:style w:type="paragraph" w:styleId="Contents3">
    <w:name w:val="TOC 3"/>
    <w:basedOn w:val="Normal"/>
    <w:next w:val="Normal"/>
    <w:autoRedefine/>
    <w:uiPriority w:val="39"/>
    <w:unhideWhenUsed/>
    <w:rsid w:val="004515e8"/>
    <w:pPr>
      <w:spacing w:before="0" w:after="100"/>
      <w:ind w:left="480" w:hanging="0"/>
    </w:pPr>
    <w:rPr/>
  </w:style>
  <w:style w:type="paragraph" w:styleId="ListParagraph">
    <w:name w:val="List Paragraph"/>
    <w:basedOn w:val="Normal"/>
    <w:uiPriority w:val="34"/>
    <w:qFormat/>
    <w:rsid w:val="00e80dab"/>
    <w:pPr>
      <w:spacing w:before="0" w:after="0"/>
      <w:ind w:left="720" w:hanging="0"/>
      <w:contextualSpacing/>
    </w:pPr>
    <w:rPr/>
  </w:style>
  <w:style w:type="paragraph" w:styleId="Bibliography">
    <w:name w:val="Bibliography"/>
    <w:basedOn w:val="Normal"/>
    <w:next w:val="Normal"/>
    <w:uiPriority w:val="37"/>
    <w:unhideWhenUsed/>
    <w:qFormat/>
    <w:rsid w:val="003a4462"/>
    <w:pPr/>
    <w:rPr/>
  </w:style>
  <w:style w:type="paragraph" w:styleId="Subtitle">
    <w:name w:val="Subtitle"/>
    <w:basedOn w:val="Normal"/>
    <w:next w:val="Normal"/>
    <w:uiPriority w:val="11"/>
    <w:qFormat/>
    <w:pPr>
      <w:keepNext w:val="true"/>
      <w:keepLines/>
      <w:spacing w:before="360" w:after="80"/>
    </w:pPr>
    <w:rPr>
      <w:rFonts w:ascii="Tms Rmn" w:hAnsi="Tms Rmn" w:eastAsia="Tms Rmn" w:cs="Tms Rmn"/>
      <w:i/>
      <w:color w:val="666666"/>
      <w:sz w:val="48"/>
      <w:szCs w:val="48"/>
    </w:rPr>
  </w:style>
  <w:style w:type="paragraph" w:styleId="EstiloAPA" w:customStyle="1">
    <w:name w:val="Estilo APA"/>
    <w:basedOn w:val="Normal"/>
    <w:link w:val="EstiloAPACar"/>
    <w:autoRedefine/>
    <w:qFormat/>
    <w:rsid w:val="00f67ea0"/>
    <w:pPr>
      <w:ind w:firstLine="720"/>
      <w:jc w:val="both"/>
    </w:pPr>
    <w:rPr>
      <w:rFonts w:eastAsia="Calibri" w:eastAsiaTheme="minorHAnsi"/>
      <w:lang w:eastAsia="en-US"/>
    </w:rPr>
  </w:style>
  <w:style w:type="paragraph" w:styleId="HTMLPreformatted">
    <w:name w:val="HTML Preformatted"/>
    <w:basedOn w:val="Normal"/>
    <w:link w:val="HTMLPreformattedChar"/>
    <w:uiPriority w:val="99"/>
    <w:semiHidden/>
    <w:unhideWhenUsed/>
    <w:qFormat/>
    <w:rsid w:val="004f28f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cs="Courier New"/>
      <w:sz w:val="20"/>
      <w:szCs w:val="20"/>
      <w:lang w:val="es-MX"/>
    </w:rPr>
  </w:style>
  <w:style w:type="paragraph" w:styleId="Contents4">
    <w:name w:val="TOC 4"/>
    <w:basedOn w:val="Normal"/>
    <w:next w:val="Normal"/>
    <w:autoRedefine/>
    <w:uiPriority w:val="39"/>
    <w:unhideWhenUsed/>
    <w:rsid w:val="0021013a"/>
    <w:pPr>
      <w:spacing w:before="0" w:after="100"/>
      <w:ind w:left="720" w:hanging="0"/>
    </w:pPr>
    <w:rPr/>
  </w:style>
  <w:style w:type="paragraph" w:styleId="Revision">
    <w:name w:val="Revision"/>
    <w:uiPriority w:val="99"/>
    <w:semiHidden/>
    <w:qFormat/>
    <w:rsid w:val="0049681d"/>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PE" w:eastAsia="es-MX" w:bidi="ar-SA"/>
    </w:rPr>
  </w:style>
  <w:style w:type="paragraph" w:styleId="BalloonText">
    <w:name w:val="Balloon Text"/>
    <w:basedOn w:val="Normal"/>
    <w:link w:val="BalloonTextChar"/>
    <w:uiPriority w:val="99"/>
    <w:semiHidden/>
    <w:unhideWhenUsed/>
    <w:qFormat/>
    <w:rsid w:val="0049681d"/>
    <w:pPr>
      <w:spacing w:lineRule="auto" w:line="24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asAPAseptimaedicion">
    <w:name w:val="Tablas APA septima edicion"/>
    <w:basedOn w:val="TableNormal"/>
    <w:uiPriority w:val="99"/>
    <w:rsid w:val="000a59a3"/>
    <w:pPr>
      <w:spacing w:line="240" w:lineRule="auto"/>
      <w:jc w:val="center"/>
    </w:pPr>
    <w:tblPr>
      <w:tblBorders>
        <w:top w:val="single" w:color="auto" w:sz="4" w:space="0"/>
        <w:bottom w:val="single" w:color="auto" w:sz="4" w:space="0"/>
      </w:tblBorders>
    </w:tblPr>
    <w:tcPr>
      <w:vAlign w:val="center"/>
    </w:tcPr>
    <w:tblStylePr w:type="firstRow">
      <w:tblPr/>
      <w:tcPr>
        <w:tcBorders>
          <w:bottom w:val="single" w:color="auto" w:sz="4" w:space="0"/>
        </w:tcBorders>
      </w:tcPr>
    </w:tblStylePr>
    <w:tblStylePr w:type="firstCol">
      <w:pPr>
        <w:jc w:val="left"/>
      </w:pPr>
      <w:rPr>
        <w:color w:val="auto"/>
      </w:rPr>
      <w:tblPr/>
    </w:tblStylePr>
  </w:style>
  <w:style w:type="table" w:styleId="TableGrid">
    <w:name w:val="Table Grid"/>
    <w:basedOn w:val="TableNormal"/>
    <w:uiPriority w:val="39"/>
    <w:rsid w:val="0068214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chart" Target="charts/chart1.xml"/><Relationship Id="rId4" Type="http://schemas.openxmlformats.org/officeDocument/2006/relationships/chart" Target="charts/chart2.xml"/><Relationship Id="rId5" Type="http://schemas.openxmlformats.org/officeDocument/2006/relationships/chart" Target="charts/chart3.xml"/><Relationship Id="rId6" Type="http://schemas.openxmlformats.org/officeDocument/2006/relationships/hyperlink" Target="https://economipedia.com/definiciones/desigualdad-economica.html"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glossaryDocument" Target="glossary/document.xml"/><Relationship Id="rId17" Type="http://schemas.openxmlformats.org/officeDocument/2006/relationships/customXml" Target="../customXml/item1.xml"/><Relationship Id="rId18" Type="http://schemas.openxmlformats.org/officeDocument/2006/relationships/customXml" Target="../customXml/item2.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046125"/>
          <c:y val="0.0634444444444444"/>
          <c:w val="0.9149375"/>
          <c:h val="0.864333333333333"/>
        </c:manualLayout>
      </c:layout>
      <c:lineChart>
        <c:grouping val="standard"/>
        <c:varyColors val="0"/>
        <c:ser>
          <c:idx val="0"/>
          <c:order val="0"/>
          <c:tx>
            <c:strRef>
              <c:f>label 0</c:f>
              <c:strCache>
                <c:ptCount val="1"/>
                <c:pt idx="0">
                  <c:v>Series1</c:v>
                </c:pt>
              </c:strCache>
            </c:strRef>
          </c:tx>
          <c:spPr>
            <a:solidFill>
              <a:srgbClr val="002060"/>
            </a:solidFill>
            <a:ln cap="rnd" w="31680">
              <a:solidFill>
                <a:srgbClr val="002060"/>
              </a:solidFill>
              <a:round/>
            </a:ln>
          </c:spPr>
          <c:marker>
            <c:symbol val="none"/>
          </c:marker>
          <c:dLbls>
            <c:numFmt formatCode="General" sourceLinked="0"/>
            <c:txPr>
              <a:bodyPr wrap="square"/>
              <a:lstStyle/>
              <a:p>
                <a:pPr>
                  <a:defRPr b="0" sz="900" spc="-1" strike="noStrike">
                    <a:solidFill>
                      <a:srgbClr val="000000"/>
                    </a:solidFill>
                    <a:latin typeface="Calibri"/>
                  </a:defRPr>
                </a:pPr>
              </a:p>
            </c:txPr>
            <c:dLblPos val="t"/>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strCache>
            </c:strRef>
          </c:cat>
          <c:val>
            <c:numRef>
              <c:f>0</c:f>
              <c:numCache>
                <c:formatCode>General</c:formatCode>
                <c:ptCount val="16"/>
                <c:pt idx="0">
                  <c:v>58.7</c:v>
                </c:pt>
                <c:pt idx="1">
                  <c:v>55.6</c:v>
                </c:pt>
                <c:pt idx="2">
                  <c:v>49.2</c:v>
                </c:pt>
                <c:pt idx="3">
                  <c:v>42.4</c:v>
                </c:pt>
                <c:pt idx="4">
                  <c:v>37.3</c:v>
                </c:pt>
                <c:pt idx="5">
                  <c:v>33.5</c:v>
                </c:pt>
                <c:pt idx="6">
                  <c:v>30.8</c:v>
                </c:pt>
                <c:pt idx="7">
                  <c:v>27.8</c:v>
                </c:pt>
                <c:pt idx="8">
                  <c:v>25.8</c:v>
                </c:pt>
                <c:pt idx="9">
                  <c:v>23.9</c:v>
                </c:pt>
                <c:pt idx="10">
                  <c:v>22.7</c:v>
                </c:pt>
                <c:pt idx="11">
                  <c:v>21.8</c:v>
                </c:pt>
                <c:pt idx="12">
                  <c:v>20.7</c:v>
                </c:pt>
                <c:pt idx="13">
                  <c:v>21.7</c:v>
                </c:pt>
                <c:pt idx="14">
                  <c:v>20.5</c:v>
                </c:pt>
                <c:pt idx="15">
                  <c:v>20.2</c:v>
                </c:pt>
              </c:numCache>
            </c:numRef>
          </c:val>
          <c:smooth val="0"/>
        </c:ser>
        <c:hiLowLines>
          <c:spPr>
            <a:ln w="0">
              <a:noFill/>
            </a:ln>
          </c:spPr>
        </c:hiLowLines>
        <c:marker val="0"/>
        <c:axId val="8780992"/>
        <c:axId val="91500321"/>
      </c:lineChart>
      <c:catAx>
        <c:axId val="8780992"/>
        <c:scaling>
          <c:orientation val="minMax"/>
        </c:scaling>
        <c:delete val="0"/>
        <c:axPos val="b"/>
        <c:numFmt formatCode="General" sourceLinked="0"/>
        <c:majorTickMark val="out"/>
        <c:minorTickMark val="none"/>
        <c:tickLblPos val="nextTo"/>
        <c:spPr>
          <a:ln w="9360">
            <a:solidFill>
              <a:srgbClr val="e0e5eb"/>
            </a:solidFill>
            <a:round/>
          </a:ln>
        </c:spPr>
        <c:txPr>
          <a:bodyPr/>
          <a:lstStyle/>
          <a:p>
            <a:pPr>
              <a:defRPr b="0" sz="900" spc="-1" strike="noStrike">
                <a:solidFill>
                  <a:srgbClr val="000000"/>
                </a:solidFill>
                <a:latin typeface="Calibri"/>
              </a:defRPr>
            </a:pPr>
          </a:p>
        </c:txPr>
        <c:crossAx val="91500321"/>
        <c:crosses val="autoZero"/>
        <c:auto val="1"/>
        <c:lblAlgn val="ctr"/>
        <c:lblOffset val="100"/>
        <c:noMultiLvlLbl val="0"/>
      </c:catAx>
      <c:valAx>
        <c:axId val="91500321"/>
        <c:scaling>
          <c:orientation val="minMax"/>
        </c:scaling>
        <c:delete val="0"/>
        <c:axPos val="l"/>
        <c:numFmt formatCode="General" sourceLinked="0"/>
        <c:majorTickMark val="none"/>
        <c:minorTickMark val="none"/>
        <c:tickLblPos val="nextTo"/>
        <c:spPr>
          <a:ln w="6480">
            <a:noFill/>
          </a:ln>
        </c:spPr>
        <c:txPr>
          <a:bodyPr/>
          <a:lstStyle/>
          <a:p>
            <a:pPr>
              <a:defRPr b="0" sz="900" spc="-1" strike="noStrike">
                <a:solidFill>
                  <a:srgbClr val="000000"/>
                </a:solidFill>
                <a:latin typeface="Calibri"/>
              </a:defRPr>
            </a:pPr>
          </a:p>
        </c:txPr>
        <c:crossAx val="8780992"/>
        <c:crosses val="autoZero"/>
        <c:crossBetween val="between"/>
      </c:valAx>
      <c:spPr>
        <a:noFill/>
        <a:ln w="0">
          <a:noFill/>
        </a:ln>
      </c:spPr>
    </c:plotArea>
    <c:plotVisOnly val="1"/>
    <c:dispBlanksAs val="gap"/>
  </c:chart>
  <c:spPr>
    <a:no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c:v>
                </c:pt>
              </c:strCache>
            </c:strRef>
          </c:tx>
          <c:spPr>
            <a:solidFill>
              <a:srgbClr val="002060"/>
            </a:solidFill>
            <a:ln w="0">
              <a:noFill/>
            </a:ln>
          </c:spPr>
          <c:invertIfNegative val="0"/>
          <c:dLbls>
            <c:numFmt formatCode="0.0%" sourceLinked="0"/>
            <c:txPr>
              <a:bodyPr wrap="square"/>
              <a:lstStyle/>
              <a:p>
                <a:pPr>
                  <a:defRPr b="0" sz="900" spc="-1" strike="noStrike">
                    <a:solidFill>
                      <a:srgbClr val="000000"/>
                    </a:solidFill>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2001</c:v>
                </c:pt>
                <c:pt idx="1">
                  <c:v>2002</c:v>
                </c:pt>
                <c:pt idx="2">
                  <c:v>2003</c:v>
                </c:pt>
                <c:pt idx="3">
                  <c:v>2004</c:v>
                </c:pt>
                <c:pt idx="4">
                  <c:v>2005</c:v>
                </c:pt>
                <c:pt idx="5">
                  <c:v>2006</c:v>
                </c:pt>
                <c:pt idx="6">
                  <c:v>2007</c:v>
                </c:pt>
                <c:pt idx="7">
                  <c:v>2008</c:v>
                </c:pt>
                <c:pt idx="8">
                  <c:v>2009</c:v>
                </c:pt>
                <c:pt idx="9">
                  <c:v>2010</c:v>
                </c:pt>
              </c:strCache>
            </c:strRef>
          </c:cat>
          <c:val>
            <c:numRef>
              <c:f>0</c:f>
              <c:numCache>
                <c:formatCode>General</c:formatCode>
                <c:ptCount val="10"/>
                <c:pt idx="0">
                  <c:v>0.548</c:v>
                </c:pt>
                <c:pt idx="1">
                  <c:v>0.543</c:v>
                </c:pt>
                <c:pt idx="2">
                  <c:v>0.523</c:v>
                </c:pt>
                <c:pt idx="3">
                  <c:v>0.486</c:v>
                </c:pt>
                <c:pt idx="4">
                  <c:v>0.487</c:v>
                </c:pt>
                <c:pt idx="5">
                  <c:v>0.445</c:v>
                </c:pt>
                <c:pt idx="6">
                  <c:v>0.393</c:v>
                </c:pt>
                <c:pt idx="7">
                  <c:v>0.362</c:v>
                </c:pt>
                <c:pt idx="8">
                  <c:v>0.348</c:v>
                </c:pt>
                <c:pt idx="9">
                  <c:v>0.313</c:v>
                </c:pt>
              </c:numCache>
            </c:numRef>
          </c:val>
        </c:ser>
        <c:gapWidth val="100"/>
        <c:overlap val="-24"/>
        <c:axId val="33824738"/>
        <c:axId val="90658689"/>
      </c:barChart>
      <c:catAx>
        <c:axId val="33824738"/>
        <c:scaling>
          <c:orientation val="minMax"/>
        </c:scaling>
        <c:delete val="0"/>
        <c:axPos val="b"/>
        <c:numFmt formatCode="General" sourceLinked="0"/>
        <c:majorTickMark val="none"/>
        <c:minorTickMark val="none"/>
        <c:tickLblPos val="nextTo"/>
        <c:spPr>
          <a:ln w="9360">
            <a:solidFill>
              <a:srgbClr val="e0e5eb"/>
            </a:solidFill>
            <a:round/>
          </a:ln>
        </c:spPr>
        <c:txPr>
          <a:bodyPr/>
          <a:lstStyle/>
          <a:p>
            <a:pPr>
              <a:defRPr b="0" sz="900" spc="-1" strike="noStrike">
                <a:solidFill>
                  <a:srgbClr val="000000"/>
                </a:solidFill>
                <a:latin typeface="Calibri"/>
              </a:defRPr>
            </a:pPr>
          </a:p>
        </c:txPr>
        <c:crossAx val="90658689"/>
        <c:crosses val="autoZero"/>
        <c:auto val="1"/>
        <c:lblAlgn val="ctr"/>
        <c:lblOffset val="100"/>
        <c:noMultiLvlLbl val="0"/>
      </c:catAx>
      <c:valAx>
        <c:axId val="90658689"/>
        <c:scaling>
          <c:orientation val="minMax"/>
        </c:scaling>
        <c:delete val="0"/>
        <c:axPos val="l"/>
        <c:numFmt formatCode="0.0%" sourceLinked="0"/>
        <c:majorTickMark val="none"/>
        <c:minorTickMark val="none"/>
        <c:tickLblPos val="nextTo"/>
        <c:spPr>
          <a:ln w="6480">
            <a:noFill/>
          </a:ln>
        </c:spPr>
        <c:txPr>
          <a:bodyPr/>
          <a:lstStyle/>
          <a:p>
            <a:pPr>
              <a:defRPr b="0" sz="900" spc="-1" strike="noStrike">
                <a:solidFill>
                  <a:srgbClr val="000000"/>
                </a:solidFill>
                <a:latin typeface="Calibri"/>
              </a:defRPr>
            </a:pPr>
          </a:p>
        </c:txPr>
        <c:crossAx val="33824738"/>
        <c:crosses val="autoZero"/>
        <c:crossBetween val="between"/>
      </c:valAx>
      <c:spPr>
        <a:noFill/>
        <a:ln w="0">
          <a:noFill/>
        </a:ln>
      </c:spPr>
    </c:plotArea>
    <c:plotVisOnly val="1"/>
    <c:dispBlanksAs val="gap"/>
  </c:chart>
  <c:spPr>
    <a:no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c:v>
                </c:pt>
              </c:strCache>
            </c:strRef>
          </c:tx>
          <c:spPr>
            <a:solidFill>
              <a:srgbClr val="002060"/>
            </a:solidFill>
            <a:ln w="0">
              <a:noFill/>
            </a:ln>
          </c:spPr>
          <c:invertIfNegative val="0"/>
          <c:dLbls>
            <c:numFmt formatCode="0.0%" sourceLinked="0"/>
            <c:txPr>
              <a:bodyPr wrap="square"/>
              <a:lstStyle/>
              <a:p>
                <a:pPr>
                  <a:defRPr b="0" sz="900" spc="-1" strike="noStrike">
                    <a:solidFill>
                      <a:srgbClr val="000000"/>
                    </a:solidFill>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9"/>
                <c:pt idx="0">
                  <c:v>2011</c:v>
                </c:pt>
                <c:pt idx="1">
                  <c:v>2012</c:v>
                </c:pt>
                <c:pt idx="2">
                  <c:v>2013</c:v>
                </c:pt>
                <c:pt idx="3">
                  <c:v>2014</c:v>
                </c:pt>
                <c:pt idx="4">
                  <c:v>2015</c:v>
                </c:pt>
                <c:pt idx="5">
                  <c:v>2016</c:v>
                </c:pt>
                <c:pt idx="6">
                  <c:v>2017</c:v>
                </c:pt>
                <c:pt idx="7">
                  <c:v>2018</c:v>
                </c:pt>
                <c:pt idx="8">
                  <c:v>2019</c:v>
                </c:pt>
              </c:strCache>
            </c:strRef>
          </c:cat>
          <c:val>
            <c:numRef>
              <c:f>0</c:f>
              <c:numCache>
                <c:formatCode>General</c:formatCode>
                <c:ptCount val="9"/>
                <c:pt idx="0">
                  <c:v>0.278</c:v>
                </c:pt>
                <c:pt idx="1">
                  <c:v>0.258</c:v>
                </c:pt>
                <c:pt idx="2">
                  <c:v>0.239</c:v>
                </c:pt>
                <c:pt idx="3">
                  <c:v>0.227</c:v>
                </c:pt>
                <c:pt idx="4">
                  <c:v>0.218</c:v>
                </c:pt>
                <c:pt idx="5">
                  <c:v>0.207</c:v>
                </c:pt>
                <c:pt idx="6">
                  <c:v>0.217</c:v>
                </c:pt>
                <c:pt idx="7">
                  <c:v>0.205</c:v>
                </c:pt>
                <c:pt idx="8">
                  <c:v>0.202</c:v>
                </c:pt>
              </c:numCache>
            </c:numRef>
          </c:val>
        </c:ser>
        <c:gapWidth val="100"/>
        <c:overlap val="-24"/>
        <c:axId val="67551680"/>
        <c:axId val="46243502"/>
      </c:barChart>
      <c:catAx>
        <c:axId val="67551680"/>
        <c:scaling>
          <c:orientation val="minMax"/>
        </c:scaling>
        <c:delete val="0"/>
        <c:axPos val="b"/>
        <c:numFmt formatCode="General" sourceLinked="0"/>
        <c:majorTickMark val="none"/>
        <c:minorTickMark val="none"/>
        <c:tickLblPos val="nextTo"/>
        <c:spPr>
          <a:ln w="9360">
            <a:solidFill>
              <a:srgbClr val="e0e5eb"/>
            </a:solidFill>
            <a:round/>
          </a:ln>
        </c:spPr>
        <c:txPr>
          <a:bodyPr/>
          <a:lstStyle/>
          <a:p>
            <a:pPr>
              <a:defRPr b="0" sz="900" spc="-1" strike="noStrike">
                <a:solidFill>
                  <a:srgbClr val="000000"/>
                </a:solidFill>
                <a:latin typeface="Calibri"/>
              </a:defRPr>
            </a:pPr>
          </a:p>
        </c:txPr>
        <c:crossAx val="46243502"/>
        <c:crosses val="autoZero"/>
        <c:auto val="1"/>
        <c:lblAlgn val="ctr"/>
        <c:lblOffset val="100"/>
        <c:noMultiLvlLbl val="0"/>
      </c:catAx>
      <c:valAx>
        <c:axId val="46243502"/>
        <c:scaling>
          <c:orientation val="minMax"/>
        </c:scaling>
        <c:delete val="0"/>
        <c:axPos val="l"/>
        <c:numFmt formatCode="0.0%" sourceLinked="0"/>
        <c:majorTickMark val="none"/>
        <c:minorTickMark val="none"/>
        <c:tickLblPos val="nextTo"/>
        <c:spPr>
          <a:ln w="6480">
            <a:noFill/>
          </a:ln>
        </c:spPr>
        <c:txPr>
          <a:bodyPr/>
          <a:lstStyle/>
          <a:p>
            <a:pPr>
              <a:defRPr b="0" sz="900" spc="-1" strike="noStrike">
                <a:solidFill>
                  <a:srgbClr val="000000"/>
                </a:solidFill>
                <a:latin typeface="Calibri"/>
              </a:defRPr>
            </a:pPr>
          </a:p>
        </c:txPr>
        <c:crossAx val="67551680"/>
        <c:crosses val="autoZero"/>
        <c:crossBetween val="between"/>
      </c:valAx>
      <c:spPr>
        <a:noFill/>
        <a:ln w="0">
          <a:noFill/>
        </a:ln>
      </c:spPr>
    </c:plotArea>
    <c:plotVisOnly val="1"/>
    <c:dispBlanksAs val="gap"/>
  </c:chart>
  <c:spPr>
    <a:noFill/>
    <a:ln w="9360">
      <a:noFill/>
    </a:ln>
  </c:spPr>
</c:chartSpace>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09AC8A-0FE4-4ABF-9C41-4E620B77683B}"/>
      </w:docPartPr>
      <w:docPartBody>
        <w:p w:rsidR="009505E1" w:rsidRDefault="000B1560">
          <w:r w:rsidRPr="001C56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60"/>
    <w:rsid w:val="000B1560"/>
    <w:rsid w:val="007E3D46"/>
    <w:rsid w:val="009505E1"/>
    <w:rsid w:val="00B475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5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OCD18</b:Tag>
    <b:SourceType>Book</b:SourceType>
    <b:Guid>{1474D400-1AF0-4F1B-A930-AC70CB1A7F68}</b:Guid>
    <b:Author>
      <b:Author>
        <b:Corporate>OCDE</b:Corporate>
      </b:Author>
    </b:Author>
    <b:Title>Desigualdad económica en el mundo</b:Title>
    <b:Year>2018</b:Year>
    <b:RefOrder>1</b:RefOrder>
  </b:Source>
  <b:Source>
    <b:Tag>Lus11</b:Tag>
    <b:SourceType>Book</b:SourceType>
    <b:Guid>{AA0FA232-6DB0-4FC0-95B9-BBD03E10C7AC}</b:Guid>
    <b:Title>América Latina: ¿Menos desigual?</b:Title>
    <b:Year>2011</b:Year>
    <b:Publisher>En Nexos</b:Publisher>
    <b:Author>
      <b:Author>
        <b:NameList>
          <b:Person>
            <b:Last>Lustig</b:Last>
            <b:First>Nora</b:First>
          </b:Person>
        </b:NameList>
      </b:Author>
    </b:Author>
    <b:RefOrder>2</b:RefOrder>
  </b:Source>
  <b:Source>
    <b:Tag>Rav</b:Tag>
    <b:SourceType>JournalArticle</b:SourceType>
    <b:Guid>{516DEE42-BA81-4432-B798-91C608329416}</b:Guid>
    <b:Title>Quantifying absolute poverty in the developing world</b:Title>
    <b:Author>
      <b:Author>
        <b:NameList>
          <b:Person>
            <b:First>Ravallion, M., G.</b:First>
          </b:Person>
          <b:Person>
            <b:First>Datt y D. Van de Walle</b:First>
          </b:Person>
        </b:NameList>
      </b:Author>
    </b:Author>
    <b:DOI>https://doi.org/10.1111/j.1475-4991.1991.tb00378.x.</b:DOI>
    <b:Year>1991</b:Year>
    <b:JournalName>Review of Income and Wealth</b:JournalName>
    <b:Pages>37</b:Pages>
    <b:RefOrder>3</b:RefOrder>
  </b:Source>
  <b:Source>
    <b:Tag>Ari11</b:Tag>
    <b:SourceType>Book</b:SourceType>
    <b:Guid>{3ED82314-36E8-4132-AAD8-5D333110BE7D}</b:Guid>
    <b:Author>
      <b:Author>
        <b:NameList>
          <b:Person>
            <b:Last>Arias</b:Last>
            <b:First>R.</b:First>
          </b:Person>
        </b:NameList>
      </b:Author>
    </b:Author>
    <b:Title>Análisis de la desigualdad Socioeconómica en Costa Rica</b:Title>
    <b:Year>2011</b:Year>
    <b:City>Costa Rica</b:City>
    <b:Publisher>Economía Sociedad</b:Publisher>
    <b:RefOrder>4</b:RefOrder>
  </b:Source>
  <b:Source>
    <b:Tag>Web78</b:Tag>
    <b:SourceType>Book</b:SourceType>
    <b:Guid>{D3D5C360-2200-4769-85C1-A2252445E321}</b:Guid>
    <b:Author>
      <b:Author>
        <b:NameList>
          <b:Person>
            <b:Last>Weber</b:Last>
            <b:First>Max</b:First>
          </b:Person>
        </b:NameList>
      </b:Author>
    </b:Author>
    <b:Title>Economy and Society</b:Title>
    <b:Year>1978</b:Year>
    <b:City>Londres</b:City>
    <b:Publisher>University of California Press</b:Publisher>
    <b:RefOrder>5</b:RefOrder>
  </b:Source>
  <b:Source>
    <b:Tag>CEP00</b:Tag>
    <b:SourceType>Book</b:SourceType>
    <b:Guid>{8DAB4C55-47BB-4A2D-A98A-8EAF1C74965D}</b:Guid>
    <b:Author>
      <b:Author>
        <b:Corporate>CEPAL</b:Corporate>
      </b:Author>
    </b:Author>
    <b:Title>Transformación productiva con equidad</b:Title>
    <b:Year>2009</b:Year>
    <b:City>Santiago de Chile</b:City>
    <b:RefOrder>6</b:RefOrder>
  </b:Source>
  <b:Source>
    <b:Tag>CEP001</b:Tag>
    <b:SourceType>Book</b:SourceType>
    <b:Guid>{081ECCE9-9EB6-4DCB-8ADB-6E2CDC074C6D}</b:Guid>
    <b:Author>
      <b:Author>
        <b:Corporate>CEPAL</b:Corporate>
      </b:Author>
    </b:Author>
    <b:Title>La brecha de la equidad</b:Title>
    <b:Year>2000</b:Year>
    <b:City>Santiago de Chile</b:City>
    <b:RefOrder>7</b:RefOrder>
  </b:Source>
  <b:Source>
    <b:Tag>DeL84</b:Tag>
    <b:SourceType>Book</b:SourceType>
    <b:Guid>{128D85EC-2EF4-47B7-9C0E-E375EB870FE1}</b:Guid>
    <b:Title>La pobreza: diversidad de enfoques para un solo problema.</b:Title>
    <b:Year>1984</b:Year>
    <b:City>Chile</b:City>
    <b:Author>
      <b:Author>
        <b:NameList>
          <b:Person>
            <b:Last>De La Piedra</b:Last>
            <b:First>Enrique</b:First>
          </b:Person>
        </b:NameList>
      </b:Author>
    </b:Author>
    <b:RefOrder>8</b:RefOrder>
  </b:Source>
  <b:Source>
    <b:Tag>Mur93</b:Tag>
    <b:SourceType>Book</b:SourceType>
    <b:Guid>{EF8D14F6-848D-4FE2-A506-C2FC9168596B}</b:Guid>
    <b:Title>Perú: mapa de necesidades básicas insatisfechas de los hogares a nivel distrital</b:Title>
    <b:Year>1993</b:Year>
    <b:City>Callao</b:City>
    <b:Author>
      <b:Author>
        <b:NameList>
          <b:Person>
            <b:Last>Murillo Alfaro</b:Last>
            <b:First>Felix</b:First>
          </b:Person>
        </b:NameList>
      </b:Author>
    </b:Author>
    <b:RefOrder>9</b:RefOrder>
  </b:Source>
  <b:Source>
    <b:Tag>Tow62</b:Tag>
    <b:SourceType>Book</b:SourceType>
    <b:Guid>{B85C8276-CABC-48F2-A39E-C0668B3CBE6B}</b:Guid>
    <b:Author>
      <b:Author>
        <b:NameList>
          <b:Person>
            <b:Last>Townsend</b:Last>
            <b:First>P.</b:First>
          </b:Person>
        </b:NameList>
      </b:Author>
    </b:Author>
    <b:Title>The Meaning of Poverty</b:Title>
    <b:Year>1962</b:Year>
    <b:City>Londres</b:City>
    <b:Publisher>British Journal of Sociology</b:Publisher>
    <b:RefOrder>10</b:RefOrder>
  </b:Source>
  <b:Source>
    <b:Tag>Sen81</b:Tag>
    <b:SourceType>Book</b:SourceType>
    <b:Guid>{A9853832-E47F-4EF7-886F-2781666EF0DC}</b:Guid>
    <b:Author>
      <b:Author>
        <b:NameList>
          <b:Person>
            <b:Last>Sen</b:Last>
            <b:First>A.</b:First>
          </b:Person>
        </b:NameList>
      </b:Author>
    </b:Author>
    <b:Title>Poverty and famines. An essay on entitlements and deprivation</b:Title>
    <b:Year>1981</b:Year>
    <b:Publisher>Oxford: OIT-Clarendon Press</b:Publisher>
    <b:RefOrder>11</b:RefOrder>
  </b:Source>
  <b:Source>
    <b:Tag>Pis90</b:Tag>
    <b:SourceType>Book</b:SourceType>
    <b:Guid>{2F3CDE7C-66EC-4D52-8DD6-27A07530ED52}</b:Guid>
    <b:Title>Equilibrium unemployment theory</b:Title>
    <b:Year>1990</b:Year>
    <b:City>Oxford</b:City>
    <b:Publisher>Basil Blackwell</b:Publisher>
    <b:Author>
      <b:Author>
        <b:NameList>
          <b:Person>
            <b:Last>Pissarides</b:Last>
            <b:First>Cristóbal</b:First>
          </b:Person>
        </b:NameList>
      </b:Author>
    </b:Author>
    <b:RefOrder>12</b:RefOrder>
  </b:Source>
  <b:Source>
    <b:Tag>DeG07</b:Tag>
    <b:SourceType>Book</b:SourceType>
    <b:Guid>{FF0B2C12-35AF-43E5-9041-BC844D2E072E}</b:Guid>
    <b:Title>Macroeconomía: teorías y políticas</b:Title>
    <b:Year>2007</b:Year>
    <b:City>Mexico</b:City>
    <b:Publisher>Prentice-Hall</b:Publisher>
    <b:Author>
      <b:Author>
        <b:NameList>
          <b:Person>
            <b:Last>De Gregorio</b:Last>
            <b:First>José</b:First>
          </b:Person>
        </b:NameList>
      </b:Author>
    </b:Author>
    <b:RefOrder>13</b:RefOrder>
  </b:Source>
  <b:Source>
    <b:Tag>Mod99</b:Tag>
    <b:SourceType>Book</b:SourceType>
    <b:Guid>{3042CB4B-BE64-4814-985D-11FF28554FC4}</b:Guid>
    <b:Title>An economists manifesto on unemploment in the European Union</b:Title>
    <b:Year>1999</b:Year>
    <b:Publisher>University of Bozen-Bolzano</b:Publisher>
    <b:Author>
      <b:Author>
        <b:NameList>
          <b:Person>
            <b:Last>Modigliani</b:Last>
            <b:First>Franco</b:First>
          </b:Person>
          <b:Person>
            <b:Last>Fitoussi</b:Last>
            <b:First>Jean-Paul</b:First>
          </b:Person>
          <b:Person>
            <b:Last>Moro</b:Last>
            <b:First>Beniamino</b:First>
          </b:Person>
          <b:Person>
            <b:Last>Snower</b:Last>
            <b:First>Dennis</b:First>
          </b:Person>
          <b:Person>
            <b:Last>Solow</b:Last>
            <b:First>Robert</b:First>
          </b:Person>
        </b:NameList>
      </b:Author>
    </b:Author>
    <b:RefOrder>14</b:RefOrder>
  </b:Source>
  <b:Source>
    <b:Tag>Jim16</b:Tag>
    <b:SourceType>Book</b:SourceType>
    <b:Guid>{3F680950-D1F5-4271-A999-3B96B740B70F}</b:Guid>
    <b:Title>Crecimiento económico: enfoques y modelos</b:Title>
    <b:Year>2016</b:Year>
    <b:City>Lima</b:City>
    <b:Publisher>Fondo editorial PUCP</b:Publisher>
    <b:Author>
      <b:Author>
        <b:NameList>
          <b:Person>
            <b:Last>Jimenez</b:Last>
            <b:First>Felix</b:First>
          </b:Person>
        </b:NameList>
      </b:Author>
    </b:Author>
    <b:RefOrder>15</b:RefOrder>
  </b:Source>
  <b:Source>
    <b:Tag>Fig01</b:Tag>
    <b:SourceType>Book</b:SourceType>
    <b:Guid>{1B1C64FD-3CC6-4E1E-A3FA-00789B01FBF0}</b:Guid>
    <b:Title>Reformas en sociedades desiguales</b:Title>
    <b:Year>2001</b:Year>
    <b:City>Lima</b:City>
    <b:Publisher>Fondo editorial PUCP</b:Publisher>
    <b:Author>
      <b:Author>
        <b:NameList>
          <b:Person>
            <b:Last>Figueroa</b:Last>
            <b:First>Adolfo</b:First>
          </b:Person>
        </b:NameList>
      </b:Author>
    </b:Author>
    <b:RefOrder>16</b:RefOrder>
  </b:Source>
  <b:Source>
    <b:Tag>Mon21</b:Tag>
    <b:SourceType>InternetSite</b:SourceType>
    <b:Guid>{95AD82DB-B42A-4861-B0EC-59BD15CBA8A2}</b:Guid>
    <b:Title>Relación entre la curva de Lorenz y el índice de Gini</b:Title>
    <b:Year>2021</b:Year>
    <b:Author>
      <b:Author>
        <b:NameList>
          <b:Person>
            <b:Last>Montero Castellanos</b:Last>
            <b:First>Yago</b:First>
          </b:Person>
        </b:NameList>
      </b:Author>
    </b:Author>
    <b:InternetSiteTitle>Economipedia</b:InternetSiteTitle>
    <b:Month>noviembre</b:Month>
    <b:Day>15</b:Day>
    <b:URL>https://economipedia.com/author/y.montero</b:URL>
    <b:RefOrder>17</b:RefOrder>
  </b:Source>
  <b:Source>
    <b:Tag>ONU21</b:Tag>
    <b:SourceType>InternetSite</b:SourceType>
    <b:Guid>{51901723-4730-472A-A59D-3618E59A726F}</b:Guid>
    <b:Author>
      <b:Author>
        <b:Corporate>ONU</b:Corporate>
      </b:Author>
    </b:Author>
    <b:Title>Naciones Unidas</b:Title>
    <b:Year>2021</b:Year>
    <b:Month>noviembre</b:Month>
    <b:Day>10</b:Day>
    <b:URL>https://www.un.org/es/global-issues/ending-poverty</b:URL>
    <b:RefOrder>18</b:RefOrder>
  </b:Source>
  <b:Source>
    <b:Tag>BID</b:Tag>
    <b:SourceType>Book</b:SourceType>
    <b:Guid>{DCDBF90E-D4B8-4CCA-AA52-0EE1F8665284}</b:Guid>
    <b:Title>Pobreza, desigualdad y movilidad social</b:Title>
    <b:Author>
      <b:Author>
        <b:Corporate>BID</b:Corporate>
      </b:Author>
    </b:Author>
    <b:RefOrder>19</b:RefOrder>
  </b:Source>
  <b:Source>
    <b:Tag>Bna18</b:Tag>
    <b:SourceType>Book</b:SourceType>
    <b:Guid>{D298EC5F-6F94-478A-9DFB-A8128C339676}</b:Guid>
    <b:Author>
      <b:Author>
        <b:Corporate>Banco Mundial</b:Corporate>
      </b:Author>
    </b:Author>
    <b:Title>La pobreza y la prosperidad compartida 2018: Armando el rompecabezas de la pobreza, panorama general del informe.</b:Title>
    <b:Year>2018</b:Year>
    <b:City>Washington, DC</b:City>
    <b:Publisher>Creative Commons de Reconocimiento CC BY 3.0 IGO.</b:Publisher>
    <b:RefOrder>20</b:RefOrder>
  </b:Source>
  <b:Source>
    <b:Tag>INE07</b:Tag>
    <b:SourceType>Book</b:SourceType>
    <b:Guid>{0ACD088A-5EF7-4A66-85A6-892245EDEFD4}</b:Guid>
    <b:Author>
      <b:Author>
        <b:Corporate>INEI</b:Corporate>
      </b:Author>
    </b:Author>
    <b:Title>Aspectos metodológicos de la medición de la pobreza</b:Title>
    <b:Year>2007</b:Year>
    <b:City>Lima</b:City>
    <b:RefOrder>21</b:RefOrder>
  </b:Source>
  <b:Source>
    <b:Tag>PNU21</b:Tag>
    <b:SourceType>InternetSite</b:SourceType>
    <b:Guid>{1A724F21-36FC-4E4A-8377-25677A1B3714}</b:Guid>
    <b:Author>
      <b:Author>
        <b:Corporate>PNUD</b:Corporate>
      </b:Author>
    </b:Author>
    <b:Title>Instituto Peruano de Economía</b:Title>
    <b:Year>2021</b:Year>
    <b:Month>noviembre</b:Month>
    <b:Day>08</b:Day>
    <b:URL>https://www.ipe.org.pe/portal/indice-de-desarrollo-humano-idh/</b:URL>
    <b:RefOrder>22</b:RefOrder>
  </b:Source>
  <b:Source>
    <b:Tag>UNS14</b:Tag>
    <b:SourceType>JournalArticle</b:SourceType>
    <b:Guid>{0D4A732F-DE63-4045-8336-F68928264C9C}</b:Guid>
    <b:Title>El indice de desarrollo humano</b:Title>
    <b:Year>2014</b:Year>
    <b:Author>
      <b:Author>
        <b:Corporate>UNSM</b:Corporate>
      </b:Author>
    </b:Author>
    <b:JournalName>Observatorio de economia mundial</b:JournalName>
    <b:Pages>1</b:Pages>
    <b:RefOrder>23</b:RefOrder>
  </b:Source>
  <b:Source>
    <b:Tag>Ric59</b:Tag>
    <b:SourceType>Book</b:SourceType>
    <b:Guid>{A13DF747-5F7C-4FAC-9E84-32C421EA47C9}</b:Guid>
    <b:Title>Principios de Economía Política y de Tributación</b:Title>
    <b:Year>1959</b:Year>
    <b:Author>
      <b:Author>
        <b:NameList>
          <b:Person>
            <b:Last>Ricardo</b:Last>
            <b:First>David</b:First>
          </b:Person>
        </b:NameList>
      </b:Author>
    </b:Author>
    <b:City>Madrid</b:City>
    <b:Publisher>Aguilar</b:Publisher>
    <b:RefOrder>24</b:RefOrder>
  </b:Source>
  <b:Source>
    <b:Tag>Dir10</b:Tag>
    <b:SourceType>JournalArticle</b:SourceType>
    <b:Guid>{EEC9A612-093C-44EF-9ED2-C979CD07ABC7}</b:Guid>
    <b:Title>Método de medición de la pobreza conceptos y aplicaciones en América Latina</b:Title>
    <b:Year>2010</b:Year>
    <b:Author>
      <b:Author>
        <b:Corporate>Dirección Provincial de Estadística de la provincia de Buenos Aires</b:Corporate>
      </b:Author>
    </b:Author>
    <b:JournalName>Entre líneas de política económica</b:JournalName>
    <b:Pages>31 - 41</b:Pages>
    <b:RefOrder>25</b:RefOrder>
  </b:Source>
  <b:Source>
    <b:Tag>Ser15</b:Tag>
    <b:SourceType>JournalArticle</b:SourceType>
    <b:Guid>{6D49C1B5-8D57-4471-B7FD-58649883B4FC}</b:Guid>
    <b:Author>
      <b:Author>
        <b:Corporate>Serie de Estudios Económicos</b:Corporate>
      </b:Author>
    </b:Author>
    <b:Title>Empleo</b:Title>
    <b:Year>2015</b:Year>
    <b:City>México</b:City>
    <b:JournalName>México ¿cómo vamos?</b:JournalName>
    <b:Pages>9</b:Pages>
    <b:RefOrder>26</b:RefOrder>
  </b:Source>
  <b:Source>
    <b:Tag>Wik21</b:Tag>
    <b:SourceType>InternetSite</b:SourceType>
    <b:Guid>{61EDBDAE-EDD6-4F11-A46F-0EB66DB4027A}</b:Guid>
    <b:Author>
      <b:Author>
        <b:NameList>
          <b:Person>
            <b:Last>Wikipedia</b:Last>
          </b:Person>
        </b:NameList>
      </b:Author>
    </b:Author>
    <b:Title>Índice de Theil - Theil index Índice de Theil</b:Title>
    <b:Year>2021</b:Year>
    <b:Month>11</b:Month>
    <b:Day>13</b:Day>
    <b:URL>https://es.abcdef.wiki/wiki/Theil_index</b:URL>
    <b:RefOrder>27</b:RefOrder>
  </b:Source>
  <b:Source>
    <b:Tag>Cas13</b:Tag>
    <b:SourceType>ArticleInAPeriodical</b:SourceType>
    <b:Guid>{E2E9DABF-E589-4ABE-B0F9-3E4E78692BC0}</b:Guid>
    <b:Title>¿Cómo se mide la desigualdad y por qué es importante saberlo?</b:Title>
    <b:Year>2013</b:Year>
    <b:Month>diceimbre</b:Month>
    <b:Day>1</b:Day>
    <b:Author>
      <b:Author>
        <b:NameList>
          <b:Person>
            <b:Last>Casatañeda</b:Last>
            <b:First>Diego</b:First>
          </b:Person>
        </b:NameList>
      </b:Author>
    </b:Author>
    <b:RefOrder>28</b:RefOrder>
  </b:Source>
  <b:Source>
    <b:Tag>Dam17</b:Tag>
    <b:SourceType>JournalArticle</b:SourceType>
    <b:Guid>{A1F314D6-B9A6-4DA0-A732-4F1E8F0D82F8}</b:Guid>
    <b:Title>Los grados de la pobreza</b:Title>
    <b:Year>2017</b:Year>
    <b:JournalName>Guillermo Barba</b:JournalName>
    <b:Author>
      <b:Author>
        <b:NameList>
          <b:Person>
            <b:Last>Damm Arnal</b:Last>
            <b:First>Arturo</b:First>
          </b:Person>
        </b:NameList>
      </b:Author>
    </b:Author>
    <b:RefOrder>29</b:RefOrder>
  </b:Source>
  <b:Source>
    <b:Tag>INE00</b:Tag>
    <b:SourceType>JournalArticle</b:SourceType>
    <b:Guid>{17036CDF-997F-4A63-8512-C0FC5D773305}</b:Guid>
    <b:Author>
      <b:Author>
        <b:Corporate>INEI</b:Corporate>
      </b:Author>
    </b:Author>
    <b:Title>Metodología para la Medición de la pobreza en el Perú</b:Title>
    <b:JournalName>Colección de Metodologías Estadísticas</b:JournalName>
    <b:Year>2000</b:Year>
    <b:Pages>2</b:Pages>
    <b:RefOrder>30</b:RefOrder>
  </b:Source>
  <b:Source>
    <b:Tag>Edi21</b:Tag>
    <b:SourceType>InternetSite</b:SourceType>
    <b:Guid>{1F519715-B36B-4661-96ED-444CA3E98C7C}</b:Guid>
    <b:Author>
      <b:Author>
        <b:NameList>
          <b:Person>
            <b:Last>Etecé</b:Last>
            <b:First>Editorial</b:First>
          </b:Person>
        </b:NameList>
      </b:Author>
    </b:Author>
    <b:Title>Concepto</b:Title>
    <b:Year>2021</b:Year>
    <b:Month>Agosto</b:Month>
    <b:Day>05</b:Day>
    <b:URL>https://concepto.de/desigualdad-social/</b:URL>
    <b:RefOrder>31</b:RefOrder>
  </b:Source>
  <b:Source>
    <b:Tag>PNU00</b:Tag>
    <b:SourceType>Report</b:SourceType>
    <b:Guid>{EF60F34C-B42C-4767-9FC3-F7D5325EE5B4}</b:Guid>
    <b:Title>Pobreza Humana</b:Title>
    <b:Year>2000</b:Year>
    <b:Author>
      <b:Author>
        <b:Corporate>PNUD</b:Corporate>
      </b:Author>
    </b:Author>
    <b:RefOrder>32</b:RefOrder>
  </b:Source>
  <b:Source>
    <b:Tag>Cór06</b:Tag>
    <b:SourceType>Book</b:SourceType>
    <b:Guid>{056354C2-0A13-4AC1-9879-0A107E4B467D}</b:Guid>
    <b:Title>Estadística inferencial</b:Title>
    <b:Year>2006</b:Year>
    <b:City>Lima</b:City>
    <b:Publisher>MOSHERA S. R. L.</b:Publisher>
    <b:Author>
      <b:Author>
        <b:NameList>
          <b:Person>
            <b:Last>Córdova Zamora</b:Last>
            <b:First>Manuel</b:First>
          </b:Person>
        </b:NameList>
      </b:Author>
    </b:Author>
    <b:RefOrder>33</b:RefOrder>
  </b:Source>
  <b:Source>
    <b:Tag>Hil20</b:Tag>
    <b:SourceType>Book</b:SourceType>
    <b:Guid>{8B487CC1-2B1D-4AB3-A464-9F8DC3F7E51F}</b:Guid>
    <b:Title>La lógica en la investigación científica</b:Title>
    <b:Year>2020</b:Year>
    <b:City>Ayacucho</b:City>
    <b:Author>
      <b:Author>
        <b:NameList>
          <b:Person>
            <b:Last>Hilario Valenzuela</b:Last>
            <b:First>Pelayo</b:First>
          </b:Person>
        </b:NameList>
      </b:Author>
    </b:Author>
    <b:RefOrder>34</b:RefOrder>
  </b:Source>
</b:Sources>
</file>

<file path=customXml/item2.xml><?xml version="1.0" encoding="utf-8"?>
<go:gDocsCustomXmlDataStorage xmlns:go="http://customooxmlschemas.google.com/" xmlns:r="http://schemas.openxmlformats.org/officeDocument/2006/relationships">
  <go:docsCustomData roundtripDataSignature="AMtx7mhVd2JAH0U7OoXTYr8j+UI6iXPlVQ==">AMUW2mVgjvLHVAcJHj/GIlcm0GNobJJFRd7UV8NOxWi4vtbR0WMbeNCI4KO/S+hNaajv4Nzwafp/mE24gScKeNaxx3CMNwGO9JKodIuwYrIKnPlJfgXUmn3fiHLcN7Rt2idi4A17LsAhhJk6cSHj0Ze8bHGuwD+40Nai5e7pJfRSakVJIXm49P4JAwwnpyX6S2NNmVgvF0Jphnb3urC/VHZbbyq//cYPgGDWPXg7A9Jd6gT6sMk4bPZfOdQTa6qD5YgiWKyjwTaT7IeQOl3GMzmdO1k97EjkHuBM5/CH0G1+rXnYWk/j3H4aPUswvPCs90hWVsIYoNzvHxaqGwS2gpy0FscTLEBoOuGQUerRSmEQZzsM+nuz3/eNPV/XKLFEsQMBNKs8rLBhJjCOwvERFEukvQ83iVlVI4tzXHLMAhp2I9zQZGgKPv9s81uJaoeogWNp6tWugooU</go:docsCustomData>
</go:gDocsCustomXmlDataStorage>
</file>

<file path=customXml/itemProps1.xml><?xml version="1.0" encoding="utf-8"?>
<ds:datastoreItem xmlns:ds="http://schemas.openxmlformats.org/officeDocument/2006/customXml" ds:itemID="{45343FC0-4799-4F4A-BEB8-9180BA0D2C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3381</TotalTime>
  <Application>LibreOffice/7.3.3.2$Linux_X86_64 LibreOffice_project/30$Build-2</Application>
  <AppVersion>15.0000</AppVersion>
  <Pages>41</Pages>
  <Words>5595</Words>
  <Characters>30283</Characters>
  <CharactersWithSpaces>35489</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2021-10-05T00:20:00Z</dcterms:created>
  <dc:creator>E. Edison Achalma Mendoza</dc:creator>
  <dc:description/>
  <dc:language>en-US</dc:language>
  <cp:lastModifiedBy/>
  <cp:lastPrinted>2021-12-28T07:22:00Z</cp:lastPrinted>
  <dcterms:modified xsi:type="dcterms:W3CDTF">2022-05-18T01:32:42Z</dcterms:modified>
  <cp:revision>1131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195e8e89-a2bd-3411-bfa5-0839558ef752</vt:lpwstr>
  </property>
</Properties>
</file>