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F56F" w14:textId="77777777" w:rsidR="0020539A" w:rsidRPr="003231A4" w:rsidRDefault="0020539A" w:rsidP="00477D12">
      <w:pPr>
        <w:pStyle w:val="Ttulo2"/>
        <w:rPr>
          <w:rFonts w:asciiTheme="majorHAnsi" w:hAnsiTheme="majorHAnsi" w:cstheme="majorHAnsi"/>
          <w:color w:val="000000" w:themeColor="text1"/>
          <w:lang w:val="es-MX"/>
        </w:rPr>
      </w:pPr>
    </w:p>
    <w:p w14:paraId="3D765C7F" w14:textId="77777777" w:rsidR="00C77DB7" w:rsidRPr="003231A4" w:rsidRDefault="00154196" w:rsidP="00477D12">
      <w:pPr>
        <w:pStyle w:val="Ttulo2"/>
        <w:rPr>
          <w:rFonts w:asciiTheme="majorHAnsi" w:hAnsiTheme="majorHAnsi" w:cstheme="majorHAnsi"/>
          <w:color w:val="000000" w:themeColor="text1"/>
        </w:rPr>
      </w:pPr>
      <w:r w:rsidRPr="003231A4">
        <w:rPr>
          <w:rFonts w:asciiTheme="majorHAnsi" w:hAnsiTheme="majorHAnsi" w:cstheme="majorHAnsi"/>
          <w:color w:val="000000" w:themeColor="text1"/>
        </w:rPr>
        <w:t>CASO COMPAÑÍA DE PASTELES RICOS (*)</w:t>
      </w:r>
    </w:p>
    <w:p w14:paraId="00C73E52" w14:textId="77777777" w:rsidR="003A6894" w:rsidRPr="003231A4" w:rsidRDefault="003A6894" w:rsidP="003A6894">
      <w:pPr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76AE7C85" w14:textId="77777777" w:rsidR="003A6894" w:rsidRPr="003231A4" w:rsidRDefault="003A6894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 xml:space="preserve">La compañía Pasteles Ricos posee una cadena de tienda donde vende sus pastelillos, los que han adquirido un bien ganado prestigio de calidad, a un precio razonable. Hace dos años, para iniciar sus operaciones, la compañía </w:t>
      </w:r>
      <w:r w:rsidR="00154196" w:rsidRPr="003231A4">
        <w:rPr>
          <w:rFonts w:asciiTheme="majorHAnsi" w:hAnsiTheme="majorHAnsi" w:cstheme="majorHAnsi"/>
          <w:b w:val="0"/>
          <w:color w:val="000000" w:themeColor="text1"/>
          <w:sz w:val="24"/>
        </w:rPr>
        <w:t>adquirió una</w:t>
      </w: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 xml:space="preserve"> maquina con una inversión de S/. 100,000, cuya vida útil estimo en 6 años y su valor residual en S/. 10,000.</w:t>
      </w:r>
    </w:p>
    <w:p w14:paraId="1EEBE505" w14:textId="77777777" w:rsidR="003A6894" w:rsidRPr="003231A4" w:rsidRDefault="003A6894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5ABDA2A4" w14:textId="77777777" w:rsidR="003A6894" w:rsidRPr="003231A4" w:rsidRDefault="003A6894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>Actualmente, ha salido al mercado un nuevo modelo de maquina, mas eficiente que la que posee, cuyo costo asciende a S/. 160,000, con una vida útil de 4 años y un valor residual estimado de S/. 20,000.</w:t>
      </w:r>
    </w:p>
    <w:p w14:paraId="381565C4" w14:textId="77777777" w:rsidR="00C77DB7" w:rsidRPr="003231A4" w:rsidRDefault="00C77DB7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27EDD12B" w14:textId="77777777" w:rsidR="003A6894" w:rsidRPr="003231A4" w:rsidRDefault="000345DA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 xml:space="preserve">La gerencia esta evaluando si le conviene adquirir la maquina nueva o seguir operando con la maquina actual durante los siguientes 4 años. De adquirir el nuevo modelo, la maquina actual podría venderse de </w:t>
      </w:r>
      <w:r w:rsidR="00154196" w:rsidRPr="003231A4">
        <w:rPr>
          <w:rFonts w:asciiTheme="majorHAnsi" w:hAnsiTheme="majorHAnsi" w:cstheme="majorHAnsi"/>
          <w:b w:val="0"/>
          <w:color w:val="000000" w:themeColor="text1"/>
          <w:sz w:val="24"/>
        </w:rPr>
        <w:t>inmediato por</w:t>
      </w:r>
      <w:r w:rsidR="0063250D" w:rsidRPr="003231A4">
        <w:rPr>
          <w:rFonts w:asciiTheme="majorHAnsi" w:hAnsiTheme="majorHAnsi" w:cstheme="majorHAnsi"/>
          <w:b w:val="0"/>
          <w:color w:val="000000" w:themeColor="text1"/>
          <w:sz w:val="24"/>
        </w:rPr>
        <w:t xml:space="preserve"> S/. 60,000; en cambio, si se co</w:t>
      </w: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>ntinuara con la maquina actual, esta podría venderse al final de su vida útil por S/. 15,000. En e</w:t>
      </w:r>
      <w:r w:rsidR="0063250D" w:rsidRPr="003231A4">
        <w:rPr>
          <w:rFonts w:asciiTheme="majorHAnsi" w:hAnsiTheme="majorHAnsi" w:cstheme="majorHAnsi"/>
          <w:b w:val="0"/>
          <w:color w:val="000000" w:themeColor="text1"/>
          <w:sz w:val="24"/>
        </w:rPr>
        <w:t>l caso de optarse por adquirir e</w:t>
      </w: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>l nuevo modelo, la maquina nueva podría venderse al final de los 4 años por S/. 20,000</w:t>
      </w:r>
    </w:p>
    <w:p w14:paraId="697E249A" w14:textId="77777777" w:rsidR="000345DA" w:rsidRPr="003231A4" w:rsidRDefault="000345DA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274F1AD0" w14:textId="77777777" w:rsidR="000345DA" w:rsidRPr="003231A4" w:rsidRDefault="000345DA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>La empresa estima que podrá vender 200,000 pastelillos anuales en los próximos 4 años a un precio promedio de S/. 1.00. Los costos de producción y de ventas que generan salidas de efectivo son los siguientes:</w:t>
      </w:r>
    </w:p>
    <w:p w14:paraId="20C46280" w14:textId="77777777" w:rsidR="000345DA" w:rsidRPr="003231A4" w:rsidRDefault="000345DA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1985"/>
      </w:tblGrid>
      <w:tr w:rsidR="00185D11" w:rsidRPr="003231A4" w14:paraId="7BD982D6" w14:textId="77777777" w:rsidTr="00107E61">
        <w:trPr>
          <w:jc w:val="center"/>
        </w:trPr>
        <w:tc>
          <w:tcPr>
            <w:tcW w:w="2660" w:type="dxa"/>
            <w:shd w:val="pct12" w:color="auto" w:fill="auto"/>
          </w:tcPr>
          <w:p w14:paraId="2903802C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Costos</w:t>
            </w:r>
          </w:p>
        </w:tc>
        <w:tc>
          <w:tcPr>
            <w:tcW w:w="1984" w:type="dxa"/>
            <w:shd w:val="pct12" w:color="auto" w:fill="auto"/>
          </w:tcPr>
          <w:p w14:paraId="0658F041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Maquina Actual</w:t>
            </w:r>
          </w:p>
        </w:tc>
        <w:tc>
          <w:tcPr>
            <w:tcW w:w="1985" w:type="dxa"/>
            <w:shd w:val="pct12" w:color="auto" w:fill="auto"/>
          </w:tcPr>
          <w:p w14:paraId="1D05A00B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Maquina nueva</w:t>
            </w:r>
          </w:p>
        </w:tc>
      </w:tr>
      <w:tr w:rsidR="00185D11" w:rsidRPr="003231A4" w14:paraId="2B2FBCA6" w14:textId="77777777" w:rsidTr="00107E61">
        <w:trPr>
          <w:jc w:val="center"/>
        </w:trPr>
        <w:tc>
          <w:tcPr>
            <w:tcW w:w="2660" w:type="dxa"/>
            <w:shd w:val="clear" w:color="auto" w:fill="auto"/>
          </w:tcPr>
          <w:p w14:paraId="627D3876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Costo variable unitario</w:t>
            </w:r>
          </w:p>
        </w:tc>
        <w:tc>
          <w:tcPr>
            <w:tcW w:w="1984" w:type="dxa"/>
            <w:shd w:val="clear" w:color="auto" w:fill="auto"/>
          </w:tcPr>
          <w:p w14:paraId="78EBF648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S/. 0.25</w:t>
            </w:r>
          </w:p>
        </w:tc>
        <w:tc>
          <w:tcPr>
            <w:tcW w:w="1985" w:type="dxa"/>
            <w:shd w:val="clear" w:color="auto" w:fill="auto"/>
          </w:tcPr>
          <w:p w14:paraId="0F542C2F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S/.  0,15</w:t>
            </w:r>
          </w:p>
        </w:tc>
      </w:tr>
      <w:tr w:rsidR="003231A4" w:rsidRPr="003231A4" w14:paraId="2011E525" w14:textId="77777777" w:rsidTr="00107E61">
        <w:trPr>
          <w:jc w:val="center"/>
        </w:trPr>
        <w:tc>
          <w:tcPr>
            <w:tcW w:w="2660" w:type="dxa"/>
            <w:shd w:val="clear" w:color="auto" w:fill="auto"/>
          </w:tcPr>
          <w:p w14:paraId="61650146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Costos fijos anuales</w:t>
            </w:r>
          </w:p>
        </w:tc>
        <w:tc>
          <w:tcPr>
            <w:tcW w:w="1984" w:type="dxa"/>
            <w:shd w:val="clear" w:color="auto" w:fill="auto"/>
          </w:tcPr>
          <w:p w14:paraId="7AEEB384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S/. 20,000</w:t>
            </w:r>
          </w:p>
        </w:tc>
        <w:tc>
          <w:tcPr>
            <w:tcW w:w="1985" w:type="dxa"/>
            <w:shd w:val="clear" w:color="auto" w:fill="auto"/>
          </w:tcPr>
          <w:p w14:paraId="3269CE08" w14:textId="77777777" w:rsidR="000345DA" w:rsidRPr="003231A4" w:rsidRDefault="000345DA" w:rsidP="00107E61">
            <w:pPr>
              <w:jc w:val="both"/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</w:pPr>
            <w:r w:rsidRPr="003231A4">
              <w:rPr>
                <w:rFonts w:asciiTheme="majorHAnsi" w:hAnsiTheme="majorHAnsi" w:cstheme="majorHAnsi"/>
                <w:b w:val="0"/>
                <w:color w:val="000000" w:themeColor="text1"/>
                <w:sz w:val="24"/>
              </w:rPr>
              <w:t>S/. 15,000</w:t>
            </w:r>
          </w:p>
        </w:tc>
      </w:tr>
    </w:tbl>
    <w:p w14:paraId="699086EB" w14:textId="77777777" w:rsidR="000345DA" w:rsidRPr="003231A4" w:rsidRDefault="000345DA" w:rsidP="003A6894">
      <w:pPr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6894D456" w14:textId="77777777" w:rsidR="000345DA" w:rsidRPr="003231A4" w:rsidRDefault="00C77DB7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>La tasa de impuesto a la renta es de 30%, la tasa de descuento apropiado para este tipo de proyecto es de 20% y el método de depreciación utilizado es el de depreciación lineal. ¿Qué le conviene a la empresa?</w:t>
      </w:r>
    </w:p>
    <w:p w14:paraId="30A2E7D2" w14:textId="77777777" w:rsidR="00C77DB7" w:rsidRPr="003231A4" w:rsidRDefault="00C77DB7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74A43170" w14:textId="77777777" w:rsidR="00C77DB7" w:rsidRPr="003231A4" w:rsidRDefault="00C77DB7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5A0980D5" w14:textId="77777777" w:rsidR="00154196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39A061FE" w14:textId="77777777" w:rsidR="00154196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58DC155A" w14:textId="77777777" w:rsidR="00154196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0E2C13DC" w14:textId="77777777" w:rsidR="00154196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4C02A38E" w14:textId="77777777" w:rsidR="00154196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1C49671D" w14:textId="77777777" w:rsidR="00154196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</w:p>
    <w:p w14:paraId="470585EC" w14:textId="77777777" w:rsidR="00C77DB7" w:rsidRPr="003231A4" w:rsidRDefault="00154196" w:rsidP="00C77DB7">
      <w:p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  <w:sz w:val="24"/>
        </w:rPr>
      </w:pPr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 xml:space="preserve">(*) caso tomado de Jesús </w:t>
      </w:r>
      <w:proofErr w:type="spellStart"/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>Tong</w:t>
      </w:r>
      <w:proofErr w:type="spellEnd"/>
      <w:r w:rsidRPr="003231A4">
        <w:rPr>
          <w:rFonts w:asciiTheme="majorHAnsi" w:hAnsiTheme="majorHAnsi" w:cstheme="majorHAnsi"/>
          <w:b w:val="0"/>
          <w:color w:val="000000" w:themeColor="text1"/>
          <w:sz w:val="24"/>
        </w:rPr>
        <w:t xml:space="preserve"> (2007) Finanzas Empresariales: la decisión de inversión, Universidad del Pacífico, Lima Perú. Pp. 135-144.</w:t>
      </w:r>
    </w:p>
    <w:sectPr w:rsidR="00C77DB7" w:rsidRPr="003231A4">
      <w:pgSz w:w="11907" w:h="16840" w:code="9"/>
      <w:pgMar w:top="1418" w:right="1701" w:bottom="1418" w:left="1701" w:header="709" w:footer="709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5CF2" w14:textId="77777777" w:rsidR="000E5916" w:rsidRDefault="000E5916" w:rsidP="00DD0710">
      <w:r>
        <w:separator/>
      </w:r>
    </w:p>
  </w:endnote>
  <w:endnote w:type="continuationSeparator" w:id="0">
    <w:p w14:paraId="3C8A5C73" w14:textId="77777777" w:rsidR="000E5916" w:rsidRDefault="000E5916" w:rsidP="00DD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sney 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A4B4C" w14:textId="77777777" w:rsidR="000E5916" w:rsidRDefault="000E5916" w:rsidP="00DD0710">
      <w:r>
        <w:separator/>
      </w:r>
    </w:p>
  </w:footnote>
  <w:footnote w:type="continuationSeparator" w:id="0">
    <w:p w14:paraId="1008AABB" w14:textId="77777777" w:rsidR="000E5916" w:rsidRDefault="000E5916" w:rsidP="00DD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29D1"/>
    <w:multiLevelType w:val="hybridMultilevel"/>
    <w:tmpl w:val="EF58947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803"/>
    <w:multiLevelType w:val="hybridMultilevel"/>
    <w:tmpl w:val="0A32A142"/>
    <w:lvl w:ilvl="0" w:tplc="2A600764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4D2F1B"/>
    <w:multiLevelType w:val="hybridMultilevel"/>
    <w:tmpl w:val="99200BA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drawingGridHorizontalSpacing w:val="723"/>
  <w:drawingGridVerticalSpacing w:val="9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94"/>
    <w:rsid w:val="00024E97"/>
    <w:rsid w:val="00025E49"/>
    <w:rsid w:val="000345DA"/>
    <w:rsid w:val="000A4B21"/>
    <w:rsid w:val="000E5916"/>
    <w:rsid w:val="00107E61"/>
    <w:rsid w:val="00154196"/>
    <w:rsid w:val="00185D11"/>
    <w:rsid w:val="0020539A"/>
    <w:rsid w:val="002B1247"/>
    <w:rsid w:val="003231A4"/>
    <w:rsid w:val="00356BCC"/>
    <w:rsid w:val="003A6894"/>
    <w:rsid w:val="00464499"/>
    <w:rsid w:val="00477D12"/>
    <w:rsid w:val="00557292"/>
    <w:rsid w:val="005C58BA"/>
    <w:rsid w:val="0063250D"/>
    <w:rsid w:val="007D706F"/>
    <w:rsid w:val="00922E0B"/>
    <w:rsid w:val="00AA4E28"/>
    <w:rsid w:val="00B02C48"/>
    <w:rsid w:val="00BE7EE1"/>
    <w:rsid w:val="00C21766"/>
    <w:rsid w:val="00C77DB7"/>
    <w:rsid w:val="00DD0710"/>
    <w:rsid w:val="00EC54C3"/>
    <w:rsid w:val="00F6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561F"/>
  <w15:chartTrackingRefBased/>
  <w15:docId w15:val="{40388A24-111C-4845-9034-B3F6F61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isney Print" w:hAnsi="Disney Print"/>
      <w:b/>
      <w:sz w:val="7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07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D0710"/>
    <w:rPr>
      <w:rFonts w:ascii="Disney Print" w:hAnsi="Disney Print"/>
      <w:b/>
      <w:sz w:val="7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unhideWhenUsed/>
    <w:rsid w:val="00DD07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D0710"/>
    <w:rPr>
      <w:rFonts w:ascii="Disney Print" w:hAnsi="Disney Print"/>
      <w:b/>
      <w:sz w:val="7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EDISON ACHALMA</cp:lastModifiedBy>
  <cp:revision>4</cp:revision>
  <dcterms:created xsi:type="dcterms:W3CDTF">2021-08-02T16:51:00Z</dcterms:created>
  <dcterms:modified xsi:type="dcterms:W3CDTF">2021-08-11T17:07:00Z</dcterms:modified>
</cp:coreProperties>
</file>