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26EB9" w14:textId="48A52EC1" w:rsidR="003D0C60" w:rsidRDefault="00BA7226" w:rsidP="00BA7226">
      <w:pPr>
        <w:jc w:val="center"/>
        <w:rPr>
          <w:b/>
          <w:bCs/>
          <w:sz w:val="28"/>
          <w:szCs w:val="28"/>
          <w:lang w:val="es-ES"/>
        </w:rPr>
      </w:pPr>
      <w:r w:rsidRPr="00BA7226">
        <w:rPr>
          <w:b/>
          <w:bCs/>
          <w:sz w:val="28"/>
          <w:szCs w:val="28"/>
          <w:lang w:val="es-ES"/>
        </w:rPr>
        <w:t>CASO EL TALLER DE CHOMPAS DE ALGODÒN</w:t>
      </w:r>
      <w:r w:rsidR="009656C0">
        <w:rPr>
          <w:b/>
          <w:bCs/>
          <w:sz w:val="28"/>
          <w:szCs w:val="28"/>
          <w:lang w:val="es-ES"/>
        </w:rPr>
        <w:t xml:space="preserve"> (*)</w:t>
      </w:r>
    </w:p>
    <w:p w14:paraId="69DC75F5" w14:textId="7D49C059" w:rsidR="00BA7226" w:rsidRPr="005C6C89" w:rsidRDefault="00BA7226" w:rsidP="005C6C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C6C89">
        <w:rPr>
          <w:rFonts w:ascii="Times New Roman" w:hAnsi="Times New Roman" w:cs="Times New Roman"/>
          <w:sz w:val="24"/>
          <w:szCs w:val="24"/>
          <w:lang w:val="es-ES"/>
        </w:rPr>
        <w:t xml:space="preserve">La </w:t>
      </w:r>
      <w:proofErr w:type="spellStart"/>
      <w:r w:rsidRPr="005C6C89">
        <w:rPr>
          <w:rFonts w:ascii="Times New Roman" w:hAnsi="Times New Roman" w:cs="Times New Roman"/>
          <w:sz w:val="24"/>
          <w:szCs w:val="24"/>
          <w:lang w:val="es-ES"/>
        </w:rPr>
        <w:t>srta.</w:t>
      </w:r>
      <w:proofErr w:type="spellEnd"/>
      <w:r w:rsidRPr="005C6C89">
        <w:rPr>
          <w:rFonts w:ascii="Times New Roman" w:hAnsi="Times New Roman" w:cs="Times New Roman"/>
          <w:sz w:val="24"/>
          <w:szCs w:val="24"/>
          <w:lang w:val="es-ES"/>
        </w:rPr>
        <w:t xml:space="preserve"> Cecilia </w:t>
      </w:r>
      <w:r w:rsidR="00EC637D" w:rsidRPr="005C6C89">
        <w:rPr>
          <w:rFonts w:ascii="Times New Roman" w:hAnsi="Times New Roman" w:cs="Times New Roman"/>
          <w:sz w:val="24"/>
          <w:szCs w:val="24"/>
          <w:lang w:val="es-ES"/>
        </w:rPr>
        <w:t>Ramírez</w:t>
      </w:r>
      <w:r w:rsidRPr="005C6C89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EC637D" w:rsidRPr="005C6C89">
        <w:rPr>
          <w:rFonts w:ascii="Times New Roman" w:hAnsi="Times New Roman" w:cs="Times New Roman"/>
          <w:sz w:val="24"/>
          <w:szCs w:val="24"/>
          <w:lang w:val="es-ES"/>
        </w:rPr>
        <w:t>está</w:t>
      </w:r>
      <w:r w:rsidRPr="005C6C89">
        <w:rPr>
          <w:rFonts w:ascii="Times New Roman" w:hAnsi="Times New Roman" w:cs="Times New Roman"/>
          <w:sz w:val="24"/>
          <w:szCs w:val="24"/>
          <w:lang w:val="es-ES"/>
        </w:rPr>
        <w:t xml:space="preserve"> evaluando la posibilidad de instalar un taller de chompas de algodón. Para ello, necesita adquirir un equipo de tejido muy sofisticado que </w:t>
      </w:r>
      <w:r w:rsidR="009A25D6" w:rsidRPr="005C6C89">
        <w:rPr>
          <w:rFonts w:ascii="Times New Roman" w:hAnsi="Times New Roman" w:cs="Times New Roman"/>
          <w:sz w:val="24"/>
          <w:szCs w:val="24"/>
          <w:lang w:val="es-ES"/>
        </w:rPr>
        <w:t>cuesta US</w:t>
      </w:r>
      <w:r w:rsidRPr="005C6C89">
        <w:rPr>
          <w:rFonts w:ascii="Times New Roman" w:hAnsi="Times New Roman" w:cs="Times New Roman"/>
          <w:sz w:val="24"/>
          <w:szCs w:val="24"/>
          <w:lang w:val="es-ES"/>
        </w:rPr>
        <w:t xml:space="preserve"> $ 5,000 sin IGV. Dicha maquinaria tiene una vida útil de tres años y un valor contable al final de la misma de US$ 2,000.</w:t>
      </w:r>
    </w:p>
    <w:p w14:paraId="30A744EE" w14:textId="21BDAA1C" w:rsidR="00BA7226" w:rsidRPr="005C6C89" w:rsidRDefault="00BA7226" w:rsidP="005C6C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C6C89">
        <w:rPr>
          <w:rFonts w:ascii="Times New Roman" w:hAnsi="Times New Roman" w:cs="Times New Roman"/>
          <w:sz w:val="24"/>
          <w:szCs w:val="24"/>
          <w:lang w:val="es-ES"/>
        </w:rPr>
        <w:t xml:space="preserve">Toda la información contable preparada por Cecilia se </w:t>
      </w:r>
      <w:r w:rsidR="00FF0573" w:rsidRPr="005C6C89">
        <w:rPr>
          <w:rFonts w:ascii="Times New Roman" w:hAnsi="Times New Roman" w:cs="Times New Roman"/>
          <w:sz w:val="24"/>
          <w:szCs w:val="24"/>
          <w:lang w:val="es-ES"/>
        </w:rPr>
        <w:t>observa</w:t>
      </w:r>
      <w:r w:rsidRPr="005C6C89">
        <w:rPr>
          <w:rFonts w:ascii="Times New Roman" w:hAnsi="Times New Roman" w:cs="Times New Roman"/>
          <w:sz w:val="24"/>
          <w:szCs w:val="24"/>
          <w:lang w:val="es-ES"/>
        </w:rPr>
        <w:t xml:space="preserve"> en el siguiente cuadro, el Estado de Resultados. Como se puede apreciar, </w:t>
      </w:r>
      <w:r w:rsidR="009A25D6" w:rsidRPr="005C6C89">
        <w:rPr>
          <w:rFonts w:ascii="Times New Roman" w:hAnsi="Times New Roman" w:cs="Times New Roman"/>
          <w:sz w:val="24"/>
          <w:szCs w:val="24"/>
          <w:lang w:val="es-ES"/>
        </w:rPr>
        <w:t>ha supuesto</w:t>
      </w:r>
      <w:r w:rsidRPr="005C6C89">
        <w:rPr>
          <w:rFonts w:ascii="Times New Roman" w:hAnsi="Times New Roman" w:cs="Times New Roman"/>
          <w:sz w:val="24"/>
          <w:szCs w:val="24"/>
          <w:lang w:val="es-ES"/>
        </w:rPr>
        <w:t xml:space="preserve"> que la vida útil del proyecto es igual que la de la maquinaria.</w:t>
      </w:r>
    </w:p>
    <w:p w14:paraId="63105A51" w14:textId="75688294" w:rsidR="00BA7226" w:rsidRPr="005C6C89" w:rsidRDefault="00BA7226" w:rsidP="005C6C8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s-ES"/>
        </w:rPr>
      </w:pPr>
      <w:r w:rsidRPr="005C6C89">
        <w:rPr>
          <w:rFonts w:ascii="Times New Roman" w:hAnsi="Times New Roman" w:cs="Times New Roman"/>
          <w:b/>
          <w:bCs/>
          <w:sz w:val="24"/>
          <w:szCs w:val="24"/>
          <w:lang w:val="es-ES"/>
        </w:rPr>
        <w:t>ESTADO DE RESULTADOS PROYECTADO (US $)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0"/>
        <w:gridCol w:w="1559"/>
        <w:gridCol w:w="1559"/>
        <w:gridCol w:w="1320"/>
      </w:tblGrid>
      <w:tr w:rsidR="00BA7226" w:rsidRPr="005C6C89" w14:paraId="67B30B6C" w14:textId="77777777" w:rsidTr="00FF0573">
        <w:tc>
          <w:tcPr>
            <w:tcW w:w="4390" w:type="dxa"/>
            <w:shd w:val="clear" w:color="auto" w:fill="D9D9D9" w:themeFill="background1" w:themeFillShade="D9"/>
          </w:tcPr>
          <w:p w14:paraId="133A7F29" w14:textId="4B85726E" w:rsidR="00BA7226" w:rsidRPr="005C6C89" w:rsidRDefault="00FF0573" w:rsidP="009656C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5C6C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RUBRO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62CF514" w14:textId="5983D5FA" w:rsidR="00BA7226" w:rsidRPr="005C6C89" w:rsidRDefault="00FF0573" w:rsidP="009656C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5C6C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1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5C2C80C" w14:textId="31B4C6DE" w:rsidR="00BA7226" w:rsidRPr="005C6C89" w:rsidRDefault="00FF0573" w:rsidP="009656C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5C6C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2</w:t>
            </w:r>
          </w:p>
        </w:tc>
        <w:tc>
          <w:tcPr>
            <w:tcW w:w="1320" w:type="dxa"/>
            <w:shd w:val="clear" w:color="auto" w:fill="D9D9D9" w:themeFill="background1" w:themeFillShade="D9"/>
          </w:tcPr>
          <w:p w14:paraId="5C814EA6" w14:textId="7F3DED77" w:rsidR="00BA7226" w:rsidRPr="005C6C89" w:rsidRDefault="00FF0573" w:rsidP="009656C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5C6C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3</w:t>
            </w:r>
          </w:p>
        </w:tc>
      </w:tr>
      <w:tr w:rsidR="00BA7226" w:rsidRPr="005C6C89" w14:paraId="6AF89C27" w14:textId="77777777" w:rsidTr="00FF0573">
        <w:tc>
          <w:tcPr>
            <w:tcW w:w="4390" w:type="dxa"/>
          </w:tcPr>
          <w:p w14:paraId="5ACA1542" w14:textId="477956F3" w:rsidR="00BA7226" w:rsidRPr="005C6C89" w:rsidRDefault="00FF0573" w:rsidP="009656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C6C8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Ingresos (a)</w:t>
            </w:r>
          </w:p>
        </w:tc>
        <w:tc>
          <w:tcPr>
            <w:tcW w:w="1559" w:type="dxa"/>
          </w:tcPr>
          <w:p w14:paraId="159E7BD1" w14:textId="323E1B60" w:rsidR="00BA7226" w:rsidRPr="005C6C89" w:rsidRDefault="00C758F7" w:rsidP="009656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C6C8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5,000</w:t>
            </w:r>
          </w:p>
        </w:tc>
        <w:tc>
          <w:tcPr>
            <w:tcW w:w="1559" w:type="dxa"/>
          </w:tcPr>
          <w:p w14:paraId="7C00B78C" w14:textId="18DED2A2" w:rsidR="00BA7226" w:rsidRPr="005C6C89" w:rsidRDefault="00C758F7" w:rsidP="009656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C6C8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5,000</w:t>
            </w:r>
          </w:p>
        </w:tc>
        <w:tc>
          <w:tcPr>
            <w:tcW w:w="1320" w:type="dxa"/>
          </w:tcPr>
          <w:p w14:paraId="428E5FA9" w14:textId="391AFCB1" w:rsidR="00BA7226" w:rsidRPr="005C6C89" w:rsidRDefault="00C758F7" w:rsidP="009656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C6C8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7,000</w:t>
            </w:r>
          </w:p>
        </w:tc>
      </w:tr>
      <w:tr w:rsidR="00BA7226" w:rsidRPr="005C6C89" w14:paraId="4755C208" w14:textId="77777777" w:rsidTr="00FF0573">
        <w:tc>
          <w:tcPr>
            <w:tcW w:w="4390" w:type="dxa"/>
          </w:tcPr>
          <w:p w14:paraId="5E8B6220" w14:textId="05E0922F" w:rsidR="00BA7226" w:rsidRPr="005C6C89" w:rsidRDefault="00FF0573" w:rsidP="009656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C6C8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Ganancia por venta de activos</w:t>
            </w:r>
          </w:p>
        </w:tc>
        <w:tc>
          <w:tcPr>
            <w:tcW w:w="1559" w:type="dxa"/>
          </w:tcPr>
          <w:p w14:paraId="24405D70" w14:textId="77777777" w:rsidR="00BA7226" w:rsidRPr="005C6C89" w:rsidRDefault="00BA7226" w:rsidP="009656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559" w:type="dxa"/>
          </w:tcPr>
          <w:p w14:paraId="544D562C" w14:textId="77777777" w:rsidR="00BA7226" w:rsidRPr="005C6C89" w:rsidRDefault="00BA7226" w:rsidP="009656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320" w:type="dxa"/>
          </w:tcPr>
          <w:p w14:paraId="35EFB093" w14:textId="77CF6F32" w:rsidR="00BA7226" w:rsidRPr="005C6C89" w:rsidRDefault="00C758F7" w:rsidP="009656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C6C8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2,000</w:t>
            </w:r>
          </w:p>
        </w:tc>
      </w:tr>
      <w:tr w:rsidR="00BA7226" w:rsidRPr="005C6C89" w14:paraId="7A852564" w14:textId="77777777" w:rsidTr="00FF0573">
        <w:tc>
          <w:tcPr>
            <w:tcW w:w="4390" w:type="dxa"/>
          </w:tcPr>
          <w:p w14:paraId="40018373" w14:textId="73E60E70" w:rsidR="00BA7226" w:rsidRPr="005C6C89" w:rsidRDefault="00FF0573" w:rsidP="009656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C6C8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Gastos operativos</w:t>
            </w:r>
          </w:p>
        </w:tc>
        <w:tc>
          <w:tcPr>
            <w:tcW w:w="1559" w:type="dxa"/>
          </w:tcPr>
          <w:p w14:paraId="151CA4C0" w14:textId="52B36532" w:rsidR="00BA7226" w:rsidRPr="005C6C89" w:rsidRDefault="00077EB9" w:rsidP="009656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C6C8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2,400</w:t>
            </w:r>
          </w:p>
        </w:tc>
        <w:tc>
          <w:tcPr>
            <w:tcW w:w="1559" w:type="dxa"/>
          </w:tcPr>
          <w:p w14:paraId="06E928A7" w14:textId="1AFC7CF3" w:rsidR="00BA7226" w:rsidRPr="005C6C89" w:rsidRDefault="00077EB9" w:rsidP="009656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C6C8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2,400</w:t>
            </w:r>
          </w:p>
        </w:tc>
        <w:tc>
          <w:tcPr>
            <w:tcW w:w="1320" w:type="dxa"/>
          </w:tcPr>
          <w:p w14:paraId="39C94C69" w14:textId="6179EA0A" w:rsidR="00BA7226" w:rsidRPr="005C6C89" w:rsidRDefault="00077EB9" w:rsidP="009656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C6C8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3,800</w:t>
            </w:r>
          </w:p>
        </w:tc>
      </w:tr>
      <w:tr w:rsidR="00BA7226" w:rsidRPr="005C6C89" w14:paraId="1425036E" w14:textId="77777777" w:rsidTr="00FF0573">
        <w:tc>
          <w:tcPr>
            <w:tcW w:w="4390" w:type="dxa"/>
          </w:tcPr>
          <w:p w14:paraId="60F877F2" w14:textId="1D575757" w:rsidR="00FF0573" w:rsidRPr="005C6C89" w:rsidRDefault="00FF0573" w:rsidP="009656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C6C8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Amortización de Intangibles</w:t>
            </w:r>
          </w:p>
        </w:tc>
        <w:tc>
          <w:tcPr>
            <w:tcW w:w="1559" w:type="dxa"/>
          </w:tcPr>
          <w:p w14:paraId="371E5A41" w14:textId="2CD53183" w:rsidR="00BA7226" w:rsidRPr="005C6C89" w:rsidRDefault="00077EB9" w:rsidP="009656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C6C8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500</w:t>
            </w:r>
          </w:p>
        </w:tc>
        <w:tc>
          <w:tcPr>
            <w:tcW w:w="1559" w:type="dxa"/>
          </w:tcPr>
          <w:p w14:paraId="22793333" w14:textId="24BB684F" w:rsidR="00BA7226" w:rsidRPr="005C6C89" w:rsidRDefault="00077EB9" w:rsidP="009656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C6C8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500</w:t>
            </w:r>
          </w:p>
        </w:tc>
        <w:tc>
          <w:tcPr>
            <w:tcW w:w="1320" w:type="dxa"/>
          </w:tcPr>
          <w:p w14:paraId="1EADFF39" w14:textId="77777777" w:rsidR="00BA7226" w:rsidRPr="005C6C89" w:rsidRDefault="00BA7226" w:rsidP="009656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A7226" w:rsidRPr="005C6C89" w14:paraId="30EB358B" w14:textId="77777777" w:rsidTr="00FF0573">
        <w:tc>
          <w:tcPr>
            <w:tcW w:w="4390" w:type="dxa"/>
          </w:tcPr>
          <w:p w14:paraId="6B013EA4" w14:textId="32997710" w:rsidR="00BA7226" w:rsidRPr="005C6C89" w:rsidRDefault="00FF0573" w:rsidP="009656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C6C8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Depreciación</w:t>
            </w:r>
          </w:p>
        </w:tc>
        <w:tc>
          <w:tcPr>
            <w:tcW w:w="1559" w:type="dxa"/>
          </w:tcPr>
          <w:p w14:paraId="29CD15D0" w14:textId="329CC23D" w:rsidR="00BA7226" w:rsidRPr="005C6C89" w:rsidRDefault="00077EB9" w:rsidP="009656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C6C8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1,000</w:t>
            </w:r>
          </w:p>
        </w:tc>
        <w:tc>
          <w:tcPr>
            <w:tcW w:w="1559" w:type="dxa"/>
          </w:tcPr>
          <w:p w14:paraId="3BCA8655" w14:textId="435D12BD" w:rsidR="00BA7226" w:rsidRPr="005C6C89" w:rsidRDefault="00077EB9" w:rsidP="009656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C6C8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1,000</w:t>
            </w:r>
          </w:p>
        </w:tc>
        <w:tc>
          <w:tcPr>
            <w:tcW w:w="1320" w:type="dxa"/>
          </w:tcPr>
          <w:p w14:paraId="63904670" w14:textId="01E43E21" w:rsidR="00BA7226" w:rsidRPr="005C6C89" w:rsidRDefault="00077EB9" w:rsidP="009656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C6C8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1,000</w:t>
            </w:r>
          </w:p>
        </w:tc>
      </w:tr>
      <w:tr w:rsidR="00BA7226" w:rsidRPr="005C6C89" w14:paraId="7F3481C3" w14:textId="77777777" w:rsidTr="00FF0573">
        <w:tc>
          <w:tcPr>
            <w:tcW w:w="4390" w:type="dxa"/>
          </w:tcPr>
          <w:p w14:paraId="4A71DCD4" w14:textId="00218FD9" w:rsidR="00BA7226" w:rsidRPr="005C6C89" w:rsidRDefault="00FF0573" w:rsidP="009656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C6C8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Interés</w:t>
            </w:r>
          </w:p>
        </w:tc>
        <w:tc>
          <w:tcPr>
            <w:tcW w:w="1559" w:type="dxa"/>
          </w:tcPr>
          <w:p w14:paraId="0D3187DC" w14:textId="0F7B2899" w:rsidR="00BA7226" w:rsidRPr="005C6C89" w:rsidRDefault="00077EB9" w:rsidP="009656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C6C8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300</w:t>
            </w:r>
          </w:p>
        </w:tc>
        <w:tc>
          <w:tcPr>
            <w:tcW w:w="1559" w:type="dxa"/>
          </w:tcPr>
          <w:p w14:paraId="4035CA67" w14:textId="136B6142" w:rsidR="00BA7226" w:rsidRPr="005C6C89" w:rsidRDefault="00077EB9" w:rsidP="009656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C6C8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200</w:t>
            </w:r>
          </w:p>
        </w:tc>
        <w:tc>
          <w:tcPr>
            <w:tcW w:w="1320" w:type="dxa"/>
          </w:tcPr>
          <w:p w14:paraId="6AA2B632" w14:textId="0E44E64E" w:rsidR="00BA7226" w:rsidRPr="005C6C89" w:rsidRDefault="00077EB9" w:rsidP="009656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C6C8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100</w:t>
            </w:r>
          </w:p>
        </w:tc>
      </w:tr>
      <w:tr w:rsidR="00BA7226" w:rsidRPr="005C6C89" w14:paraId="07474873" w14:textId="77777777" w:rsidTr="00FF0573">
        <w:tc>
          <w:tcPr>
            <w:tcW w:w="4390" w:type="dxa"/>
          </w:tcPr>
          <w:p w14:paraId="1C6321BC" w14:textId="72A348A3" w:rsidR="00BA7226" w:rsidRPr="005C6C89" w:rsidRDefault="00FF0573" w:rsidP="009656C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5C6C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Utilidad Antes de Impuestos</w:t>
            </w:r>
          </w:p>
        </w:tc>
        <w:tc>
          <w:tcPr>
            <w:tcW w:w="1559" w:type="dxa"/>
          </w:tcPr>
          <w:p w14:paraId="2211E192" w14:textId="75BB93DE" w:rsidR="00BA7226" w:rsidRPr="005C6C89" w:rsidRDefault="00077EB9" w:rsidP="009656C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5C6C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800</w:t>
            </w:r>
          </w:p>
        </w:tc>
        <w:tc>
          <w:tcPr>
            <w:tcW w:w="1559" w:type="dxa"/>
          </w:tcPr>
          <w:p w14:paraId="23076154" w14:textId="3A40DD38" w:rsidR="00BA7226" w:rsidRPr="005C6C89" w:rsidRDefault="00077EB9" w:rsidP="009656C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5C6C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900</w:t>
            </w:r>
          </w:p>
        </w:tc>
        <w:tc>
          <w:tcPr>
            <w:tcW w:w="1320" w:type="dxa"/>
          </w:tcPr>
          <w:p w14:paraId="6D2D8B56" w14:textId="5CA9A506" w:rsidR="00BA7226" w:rsidRPr="005C6C89" w:rsidRDefault="00077EB9" w:rsidP="009656C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5C6C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4,100</w:t>
            </w:r>
          </w:p>
        </w:tc>
      </w:tr>
      <w:tr w:rsidR="00FF0573" w:rsidRPr="005C6C89" w14:paraId="1C6C9E22" w14:textId="77777777" w:rsidTr="00FF0573">
        <w:tc>
          <w:tcPr>
            <w:tcW w:w="4390" w:type="dxa"/>
          </w:tcPr>
          <w:p w14:paraId="3E50F005" w14:textId="52B1F559" w:rsidR="00FF0573" w:rsidRPr="005C6C89" w:rsidRDefault="00FF0573" w:rsidP="009656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C6C8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Impuesto a la renta</w:t>
            </w:r>
            <w:r w:rsidR="00077EB9" w:rsidRPr="005C6C8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(</w:t>
            </w:r>
            <w:r w:rsidR="00EC637D" w:rsidRPr="005C6C8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30 </w:t>
            </w:r>
            <w:r w:rsidR="00077EB9" w:rsidRPr="005C6C8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%)</w:t>
            </w:r>
          </w:p>
        </w:tc>
        <w:tc>
          <w:tcPr>
            <w:tcW w:w="1559" w:type="dxa"/>
          </w:tcPr>
          <w:p w14:paraId="4214D066" w14:textId="74F8B25C" w:rsidR="00FF0573" w:rsidRPr="005C6C89" w:rsidRDefault="00EC637D" w:rsidP="009656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C6C8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240</w:t>
            </w:r>
          </w:p>
        </w:tc>
        <w:tc>
          <w:tcPr>
            <w:tcW w:w="1559" w:type="dxa"/>
          </w:tcPr>
          <w:p w14:paraId="338BB811" w14:textId="073A8F25" w:rsidR="00FF0573" w:rsidRPr="005C6C89" w:rsidRDefault="00EC637D" w:rsidP="009656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C6C8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270</w:t>
            </w:r>
          </w:p>
        </w:tc>
        <w:tc>
          <w:tcPr>
            <w:tcW w:w="1320" w:type="dxa"/>
          </w:tcPr>
          <w:p w14:paraId="122123F1" w14:textId="1F6CF5C2" w:rsidR="00FF0573" w:rsidRPr="005C6C89" w:rsidRDefault="00EC637D" w:rsidP="009656C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C6C8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1,230</w:t>
            </w:r>
          </w:p>
        </w:tc>
      </w:tr>
      <w:tr w:rsidR="00FF0573" w:rsidRPr="005C6C89" w14:paraId="0DBDA29E" w14:textId="77777777" w:rsidTr="00FF0573">
        <w:tc>
          <w:tcPr>
            <w:tcW w:w="4390" w:type="dxa"/>
          </w:tcPr>
          <w:p w14:paraId="0B5700D6" w14:textId="7A8A93B0" w:rsidR="00FF0573" w:rsidRPr="005C6C89" w:rsidRDefault="00FF0573" w:rsidP="009656C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5C6C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Utilidad después de impuestos</w:t>
            </w:r>
          </w:p>
        </w:tc>
        <w:tc>
          <w:tcPr>
            <w:tcW w:w="1559" w:type="dxa"/>
          </w:tcPr>
          <w:p w14:paraId="23C7B842" w14:textId="005D1FE6" w:rsidR="00FF0573" w:rsidRPr="005C6C89" w:rsidRDefault="00EC637D" w:rsidP="009656C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5C6C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560</w:t>
            </w:r>
          </w:p>
        </w:tc>
        <w:tc>
          <w:tcPr>
            <w:tcW w:w="1559" w:type="dxa"/>
          </w:tcPr>
          <w:p w14:paraId="3FF47D64" w14:textId="1E0AEBFA" w:rsidR="00FF0573" w:rsidRPr="005C6C89" w:rsidRDefault="00EC637D" w:rsidP="009656C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5C6C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630</w:t>
            </w:r>
          </w:p>
        </w:tc>
        <w:tc>
          <w:tcPr>
            <w:tcW w:w="1320" w:type="dxa"/>
          </w:tcPr>
          <w:p w14:paraId="217B2EC3" w14:textId="13754B62" w:rsidR="00FF0573" w:rsidRPr="005C6C89" w:rsidRDefault="00EC637D" w:rsidP="009656C0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  <w:r w:rsidRPr="005C6C8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  <w:t>2870</w:t>
            </w:r>
          </w:p>
        </w:tc>
      </w:tr>
    </w:tbl>
    <w:p w14:paraId="45666FD6" w14:textId="7156E561" w:rsidR="00BA7226" w:rsidRPr="005C6C89" w:rsidRDefault="00FF0573" w:rsidP="005C6C89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C6C89">
        <w:rPr>
          <w:rFonts w:ascii="Times New Roman" w:hAnsi="Times New Roman" w:cs="Times New Roman"/>
          <w:sz w:val="24"/>
          <w:szCs w:val="24"/>
          <w:lang w:val="es-ES"/>
        </w:rPr>
        <w:t>El 20% de este valor constituye ventas con crédito pagaderas en el siguiente periodo</w:t>
      </w:r>
      <w:r w:rsidR="005C6C89">
        <w:rPr>
          <w:rFonts w:ascii="Times New Roman" w:hAnsi="Times New Roman" w:cs="Times New Roman"/>
          <w:sz w:val="24"/>
          <w:szCs w:val="24"/>
          <w:lang w:val="es-ES"/>
        </w:rPr>
        <w:t>.</w:t>
      </w:r>
    </w:p>
    <w:p w14:paraId="43913E10" w14:textId="14B2BF6F" w:rsidR="00FF0573" w:rsidRPr="005C6C89" w:rsidRDefault="00FF0573" w:rsidP="005C6C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C6C89">
        <w:rPr>
          <w:rFonts w:ascii="Times New Roman" w:hAnsi="Times New Roman" w:cs="Times New Roman"/>
          <w:sz w:val="24"/>
          <w:szCs w:val="24"/>
          <w:lang w:val="es-ES"/>
        </w:rPr>
        <w:t xml:space="preserve">Para realizar esta proyección. Cecilia se </w:t>
      </w:r>
      <w:r w:rsidR="00C758F7" w:rsidRPr="005C6C89">
        <w:rPr>
          <w:rFonts w:ascii="Times New Roman" w:hAnsi="Times New Roman" w:cs="Times New Roman"/>
          <w:sz w:val="24"/>
          <w:szCs w:val="24"/>
          <w:lang w:val="es-ES"/>
        </w:rPr>
        <w:t>basó</w:t>
      </w:r>
      <w:r w:rsidRPr="005C6C89">
        <w:rPr>
          <w:rFonts w:ascii="Times New Roman" w:hAnsi="Times New Roman" w:cs="Times New Roman"/>
          <w:sz w:val="24"/>
          <w:szCs w:val="24"/>
          <w:lang w:val="es-ES"/>
        </w:rPr>
        <w:t xml:space="preserve"> en una serie de supuestos. </w:t>
      </w:r>
      <w:r w:rsidR="00C758F7" w:rsidRPr="005C6C89">
        <w:rPr>
          <w:rFonts w:ascii="Times New Roman" w:hAnsi="Times New Roman" w:cs="Times New Roman"/>
          <w:sz w:val="24"/>
          <w:szCs w:val="24"/>
          <w:lang w:val="es-ES"/>
        </w:rPr>
        <w:t>Así</w:t>
      </w:r>
      <w:r w:rsidRPr="005C6C89">
        <w:rPr>
          <w:rFonts w:ascii="Times New Roman" w:hAnsi="Times New Roman" w:cs="Times New Roman"/>
          <w:sz w:val="24"/>
          <w:szCs w:val="24"/>
          <w:lang w:val="es-ES"/>
        </w:rPr>
        <w:t xml:space="preserve">, asumió una tasa de impuesto a la renta de 30%, un IGV de 18% que grava a todos los ingresos y gastos del negocio, y una depreciación lineal para la maquinaria. Para </w:t>
      </w:r>
      <w:r w:rsidR="00C758F7" w:rsidRPr="005C6C89">
        <w:rPr>
          <w:rFonts w:ascii="Times New Roman" w:hAnsi="Times New Roman" w:cs="Times New Roman"/>
          <w:sz w:val="24"/>
          <w:szCs w:val="24"/>
          <w:lang w:val="es-ES"/>
        </w:rPr>
        <w:t>calcular el</w:t>
      </w:r>
      <w:r w:rsidRPr="005C6C89">
        <w:rPr>
          <w:rFonts w:ascii="Times New Roman" w:hAnsi="Times New Roman" w:cs="Times New Roman"/>
          <w:sz w:val="24"/>
          <w:szCs w:val="24"/>
          <w:lang w:val="es-ES"/>
        </w:rPr>
        <w:t xml:space="preserve"> aumento en el capital de trabajo, supuso que sus gastos operativos</w:t>
      </w:r>
      <w:r w:rsidR="00C758F7" w:rsidRPr="005C6C89">
        <w:rPr>
          <w:rFonts w:ascii="Times New Roman" w:hAnsi="Times New Roman" w:cs="Times New Roman"/>
          <w:sz w:val="24"/>
          <w:szCs w:val="24"/>
          <w:lang w:val="es-ES"/>
        </w:rPr>
        <w:t>, con IGV, rotan 12 veces al año.</w:t>
      </w:r>
    </w:p>
    <w:p w14:paraId="1524D043" w14:textId="6D3C436C" w:rsidR="00C758F7" w:rsidRPr="005C6C89" w:rsidRDefault="00C758F7" w:rsidP="005C6C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C6C89">
        <w:rPr>
          <w:rFonts w:ascii="Times New Roman" w:hAnsi="Times New Roman" w:cs="Times New Roman"/>
          <w:sz w:val="24"/>
          <w:szCs w:val="24"/>
          <w:lang w:val="es-ES"/>
        </w:rPr>
        <w:t xml:space="preserve">Finalmente, Cecilia prevé su necesidad de financiamiento externo, </w:t>
      </w:r>
      <w:r w:rsidR="00470F6D" w:rsidRPr="005C6C89">
        <w:rPr>
          <w:rFonts w:ascii="Times New Roman" w:hAnsi="Times New Roman" w:cs="Times New Roman"/>
          <w:sz w:val="24"/>
          <w:szCs w:val="24"/>
          <w:lang w:val="es-ES"/>
        </w:rPr>
        <w:t>a través</w:t>
      </w:r>
      <w:r w:rsidRPr="005C6C89">
        <w:rPr>
          <w:rFonts w:ascii="Times New Roman" w:hAnsi="Times New Roman" w:cs="Times New Roman"/>
          <w:sz w:val="24"/>
          <w:szCs w:val="24"/>
          <w:lang w:val="es-ES"/>
        </w:rPr>
        <w:t xml:space="preserve"> de un préstamo por US$ 3,000, con cuotas fijas de amortización a lo largo de tres años y un interés de 10%</w:t>
      </w:r>
    </w:p>
    <w:p w14:paraId="09B630FD" w14:textId="03FF894B" w:rsidR="00BA7226" w:rsidRDefault="00C758F7" w:rsidP="005C6C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5C6C89">
        <w:rPr>
          <w:rFonts w:ascii="Times New Roman" w:hAnsi="Times New Roman" w:cs="Times New Roman"/>
          <w:sz w:val="24"/>
          <w:szCs w:val="24"/>
          <w:lang w:val="es-ES"/>
        </w:rPr>
        <w:t xml:space="preserve">A partir de toda la información que se presenta, se le pide que ayude a Cecilia construir </w:t>
      </w:r>
      <w:r w:rsidR="005C6C89">
        <w:rPr>
          <w:rFonts w:ascii="Times New Roman" w:hAnsi="Times New Roman" w:cs="Times New Roman"/>
          <w:sz w:val="24"/>
          <w:szCs w:val="24"/>
          <w:lang w:val="es-ES"/>
        </w:rPr>
        <w:t>l</w:t>
      </w:r>
      <w:r w:rsidRPr="005C6C89">
        <w:rPr>
          <w:rFonts w:ascii="Times New Roman" w:hAnsi="Times New Roman" w:cs="Times New Roman"/>
          <w:sz w:val="24"/>
          <w:szCs w:val="24"/>
          <w:lang w:val="es-ES"/>
        </w:rPr>
        <w:t>os Flujos de Caja del Proyecto.</w:t>
      </w:r>
    </w:p>
    <w:p w14:paraId="7D42BA4A" w14:textId="6BE0D7C6" w:rsidR="009656C0" w:rsidRPr="009656C0" w:rsidRDefault="009656C0" w:rsidP="009656C0">
      <w:pPr>
        <w:spacing w:line="240" w:lineRule="auto"/>
        <w:jc w:val="both"/>
        <w:rPr>
          <w:rFonts w:ascii="Times New Roman" w:hAnsi="Times New Roman" w:cs="Times New Roman"/>
          <w:b/>
          <w:bCs/>
          <w:lang w:val="es-ES"/>
        </w:rPr>
      </w:pPr>
      <w:r w:rsidRPr="009656C0">
        <w:rPr>
          <w:rFonts w:ascii="Times New Roman" w:hAnsi="Times New Roman" w:cs="Times New Roman"/>
          <w:lang w:val="es-ES"/>
        </w:rPr>
        <w:t xml:space="preserve">(*) Caso adaptado del libro de Arlette Beltrán y </w:t>
      </w:r>
      <w:proofErr w:type="spellStart"/>
      <w:r w:rsidRPr="009656C0">
        <w:rPr>
          <w:rFonts w:ascii="Times New Roman" w:hAnsi="Times New Roman" w:cs="Times New Roman"/>
          <w:lang w:val="es-ES"/>
        </w:rPr>
        <w:t>Hanny</w:t>
      </w:r>
      <w:proofErr w:type="spellEnd"/>
      <w:r w:rsidRPr="009656C0">
        <w:rPr>
          <w:rFonts w:ascii="Times New Roman" w:hAnsi="Times New Roman" w:cs="Times New Roman"/>
          <w:lang w:val="es-ES"/>
        </w:rPr>
        <w:t xml:space="preserve"> Cueva (2012) Ejercicios de Evaluación Privada de Proyectos, cuarta edición (</w:t>
      </w:r>
      <w:proofErr w:type="spellStart"/>
      <w:r w:rsidRPr="009656C0">
        <w:rPr>
          <w:rFonts w:ascii="Times New Roman" w:hAnsi="Times New Roman" w:cs="Times New Roman"/>
          <w:lang w:val="es-ES"/>
        </w:rPr>
        <w:t>pàgs</w:t>
      </w:r>
      <w:proofErr w:type="spellEnd"/>
      <w:r w:rsidRPr="009656C0">
        <w:rPr>
          <w:rFonts w:ascii="Times New Roman" w:hAnsi="Times New Roman" w:cs="Times New Roman"/>
          <w:lang w:val="es-ES"/>
        </w:rPr>
        <w:t>. 48 al 51)</w:t>
      </w:r>
      <w:bookmarkStart w:id="0" w:name="_GoBack"/>
      <w:bookmarkEnd w:id="0"/>
    </w:p>
    <w:sectPr w:rsidR="009656C0" w:rsidRPr="009656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E3E9A"/>
    <w:multiLevelType w:val="hybridMultilevel"/>
    <w:tmpl w:val="37F65B9C"/>
    <w:lvl w:ilvl="0" w:tplc="AC76B42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AF4"/>
    <w:rsid w:val="00077EB9"/>
    <w:rsid w:val="003D0C60"/>
    <w:rsid w:val="00470F6D"/>
    <w:rsid w:val="005C6C89"/>
    <w:rsid w:val="009656C0"/>
    <w:rsid w:val="009A25D6"/>
    <w:rsid w:val="009D5AF4"/>
    <w:rsid w:val="00BA7226"/>
    <w:rsid w:val="00C758F7"/>
    <w:rsid w:val="00EC637D"/>
    <w:rsid w:val="00FF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A6613C"/>
  <w15:chartTrackingRefBased/>
  <w15:docId w15:val="{E7C3164F-B0C5-41EB-B7D3-27E51C6B5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A7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F0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2019-11-22T20:44:00Z</dcterms:created>
  <dcterms:modified xsi:type="dcterms:W3CDTF">2019-11-22T20:44:00Z</dcterms:modified>
</cp:coreProperties>
</file>