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C1FE" w14:textId="231A8C4F" w:rsidR="00BD5838" w:rsidRPr="00913F5F" w:rsidRDefault="00913F5F" w:rsidP="00476E4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CASO: </w:t>
      </w:r>
      <w:r w:rsidR="00BD5838" w:rsidRPr="00913F5F">
        <w:rPr>
          <w:rFonts w:ascii="Arial" w:hAnsi="Arial" w:cs="Arial"/>
          <w:b/>
        </w:rPr>
        <w:t>FABRICA DE NEUMÁTICOS</w:t>
      </w:r>
    </w:p>
    <w:p w14:paraId="34432370" w14:textId="77777777" w:rsidR="00BD5838" w:rsidRDefault="00913F5F" w:rsidP="00BD58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 empresario</w:t>
      </w:r>
      <w:r w:rsidR="00BD5838">
        <w:rPr>
          <w:rFonts w:ascii="Arial" w:hAnsi="Arial" w:cs="Arial"/>
        </w:rPr>
        <w:t xml:space="preserve"> está evaluando la posibilidad de fabricar en </w:t>
      </w:r>
      <w:r w:rsidR="00C82661">
        <w:rPr>
          <w:rFonts w:ascii="Arial" w:hAnsi="Arial" w:cs="Arial"/>
        </w:rPr>
        <w:t xml:space="preserve">el </w:t>
      </w:r>
      <w:r w:rsidR="00BD5838">
        <w:rPr>
          <w:rFonts w:ascii="Arial" w:hAnsi="Arial" w:cs="Arial"/>
        </w:rPr>
        <w:t>Perú neumáticos para vehículos deportivos de la más alta calidad.</w:t>
      </w:r>
      <w:r>
        <w:rPr>
          <w:rFonts w:ascii="Arial" w:hAnsi="Arial" w:cs="Arial"/>
        </w:rPr>
        <w:t xml:space="preserve"> </w:t>
      </w:r>
      <w:r w:rsidR="00125587">
        <w:rPr>
          <w:rFonts w:ascii="Arial" w:hAnsi="Arial" w:cs="Arial"/>
        </w:rPr>
        <w:t>El volumen de venta que se estima</w:t>
      </w:r>
      <w:r>
        <w:rPr>
          <w:rFonts w:ascii="Arial" w:hAnsi="Arial" w:cs="Arial"/>
        </w:rPr>
        <w:t xml:space="preserve"> 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993"/>
        <w:gridCol w:w="992"/>
        <w:gridCol w:w="992"/>
        <w:gridCol w:w="992"/>
        <w:gridCol w:w="993"/>
      </w:tblGrid>
      <w:tr w:rsidR="00125587" w14:paraId="5B470AB7" w14:textId="77777777" w:rsidTr="005A35B0">
        <w:trPr>
          <w:jc w:val="center"/>
        </w:trPr>
        <w:tc>
          <w:tcPr>
            <w:tcW w:w="1842" w:type="dxa"/>
            <w:shd w:val="clear" w:color="auto" w:fill="FFFF00"/>
          </w:tcPr>
          <w:p w14:paraId="0EB34453" w14:textId="77777777" w:rsidR="00125587" w:rsidRPr="007540B3" w:rsidRDefault="00125587" w:rsidP="00913F5F">
            <w:pPr>
              <w:jc w:val="center"/>
              <w:rPr>
                <w:rFonts w:ascii="Arial" w:hAnsi="Arial" w:cs="Arial"/>
                <w:b/>
              </w:rPr>
            </w:pPr>
            <w:r w:rsidRPr="007540B3"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993" w:type="dxa"/>
            <w:shd w:val="clear" w:color="auto" w:fill="FFFF00"/>
          </w:tcPr>
          <w:p w14:paraId="0E50E651" w14:textId="439F0B2B" w:rsidR="00125587" w:rsidRPr="007540B3" w:rsidRDefault="00476E42" w:rsidP="00913F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Año 1</w:t>
            </w:r>
          </w:p>
        </w:tc>
        <w:tc>
          <w:tcPr>
            <w:tcW w:w="992" w:type="dxa"/>
            <w:shd w:val="clear" w:color="auto" w:fill="FFFF00"/>
          </w:tcPr>
          <w:p w14:paraId="50A073D0" w14:textId="5F4E4A4C" w:rsidR="00125587" w:rsidRPr="007540B3" w:rsidRDefault="00476E42" w:rsidP="00913F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Año 2</w:t>
            </w:r>
          </w:p>
        </w:tc>
        <w:tc>
          <w:tcPr>
            <w:tcW w:w="992" w:type="dxa"/>
            <w:shd w:val="clear" w:color="auto" w:fill="FFFF00"/>
          </w:tcPr>
          <w:p w14:paraId="3687C9DB" w14:textId="51792164" w:rsidR="00125587" w:rsidRPr="007540B3" w:rsidRDefault="00476E42" w:rsidP="00913F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Año 3</w:t>
            </w:r>
          </w:p>
        </w:tc>
        <w:tc>
          <w:tcPr>
            <w:tcW w:w="992" w:type="dxa"/>
            <w:shd w:val="clear" w:color="auto" w:fill="FFFF00"/>
          </w:tcPr>
          <w:p w14:paraId="1257A17D" w14:textId="6A5A6611" w:rsidR="00125587" w:rsidRPr="007540B3" w:rsidRDefault="00476E42" w:rsidP="00913F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Año 4</w:t>
            </w:r>
          </w:p>
        </w:tc>
        <w:tc>
          <w:tcPr>
            <w:tcW w:w="993" w:type="dxa"/>
            <w:shd w:val="clear" w:color="auto" w:fill="FFFF00"/>
          </w:tcPr>
          <w:p w14:paraId="46DB0476" w14:textId="15E77136" w:rsidR="00125587" w:rsidRPr="007540B3" w:rsidRDefault="00476E42" w:rsidP="00913F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Año 5</w:t>
            </w:r>
          </w:p>
        </w:tc>
      </w:tr>
      <w:tr w:rsidR="00125587" w14:paraId="6AB4F3BE" w14:textId="77777777" w:rsidTr="005A35B0">
        <w:trPr>
          <w:jc w:val="center"/>
        </w:trPr>
        <w:tc>
          <w:tcPr>
            <w:tcW w:w="1842" w:type="dxa"/>
          </w:tcPr>
          <w:p w14:paraId="4F73053E" w14:textId="77777777" w:rsidR="00125587" w:rsidRPr="007540B3" w:rsidRDefault="00125587" w:rsidP="00913F5F">
            <w:pPr>
              <w:jc w:val="both"/>
              <w:rPr>
                <w:rFonts w:ascii="Arial" w:hAnsi="Arial" w:cs="Arial"/>
                <w:b/>
              </w:rPr>
            </w:pPr>
            <w:r w:rsidRPr="007540B3">
              <w:rPr>
                <w:rFonts w:ascii="Arial" w:hAnsi="Arial" w:cs="Arial"/>
                <w:b/>
              </w:rPr>
              <w:t>Venta</w:t>
            </w:r>
            <w:r w:rsidR="00986C0F">
              <w:rPr>
                <w:rFonts w:ascii="Arial" w:hAnsi="Arial" w:cs="Arial"/>
                <w:b/>
              </w:rPr>
              <w:t xml:space="preserve"> (Unid</w:t>
            </w:r>
            <w:r w:rsidR="00913F5F">
              <w:rPr>
                <w:rFonts w:ascii="Arial" w:hAnsi="Arial" w:cs="Arial"/>
                <w:b/>
              </w:rPr>
              <w:t>ad</w:t>
            </w:r>
            <w:r w:rsidR="00986C0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3" w:type="dxa"/>
          </w:tcPr>
          <w:p w14:paraId="0A9CF18B" w14:textId="77777777" w:rsidR="00125587" w:rsidRDefault="00125587" w:rsidP="00913F5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2600</w:t>
            </w:r>
          </w:p>
        </w:tc>
        <w:tc>
          <w:tcPr>
            <w:tcW w:w="992" w:type="dxa"/>
          </w:tcPr>
          <w:p w14:paraId="41EB290E" w14:textId="77777777" w:rsidR="00125587" w:rsidRDefault="00125587" w:rsidP="00913F5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3000</w:t>
            </w:r>
          </w:p>
        </w:tc>
        <w:tc>
          <w:tcPr>
            <w:tcW w:w="992" w:type="dxa"/>
          </w:tcPr>
          <w:p w14:paraId="7592C377" w14:textId="77777777" w:rsidR="00125587" w:rsidRDefault="00125587" w:rsidP="00913F5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3400</w:t>
            </w:r>
          </w:p>
        </w:tc>
        <w:tc>
          <w:tcPr>
            <w:tcW w:w="992" w:type="dxa"/>
          </w:tcPr>
          <w:p w14:paraId="1A61B414" w14:textId="77777777" w:rsidR="00125587" w:rsidRDefault="00125587" w:rsidP="00913F5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3800</w:t>
            </w:r>
          </w:p>
        </w:tc>
        <w:tc>
          <w:tcPr>
            <w:tcW w:w="993" w:type="dxa"/>
          </w:tcPr>
          <w:p w14:paraId="314622E2" w14:textId="77777777" w:rsidR="00125587" w:rsidRDefault="00125587" w:rsidP="00913F5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4100</w:t>
            </w:r>
          </w:p>
        </w:tc>
      </w:tr>
    </w:tbl>
    <w:p w14:paraId="3AF7B057" w14:textId="77777777" w:rsidR="00BD5838" w:rsidRDefault="00BD5838" w:rsidP="008E0524">
      <w:pPr>
        <w:pStyle w:val="Sinespaciado"/>
      </w:pPr>
    </w:p>
    <w:p w14:paraId="4B34DE29" w14:textId="77777777" w:rsidR="007540B3" w:rsidRDefault="00913F5F" w:rsidP="00BD58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proyecto se evaluará a 5</w:t>
      </w:r>
      <w:r w:rsidR="007540B3">
        <w:rPr>
          <w:rFonts w:ascii="Arial" w:hAnsi="Arial" w:cs="Arial"/>
        </w:rPr>
        <w:t xml:space="preserve"> años,</w:t>
      </w:r>
      <w:r w:rsidR="00986C0F">
        <w:rPr>
          <w:rFonts w:ascii="Arial" w:hAnsi="Arial" w:cs="Arial"/>
        </w:rPr>
        <w:t xml:space="preserve"> e</w:t>
      </w:r>
      <w:r w:rsidR="007540B3">
        <w:rPr>
          <w:rFonts w:ascii="Arial" w:hAnsi="Arial" w:cs="Arial"/>
        </w:rPr>
        <w:t>l precio de venta de lo</w:t>
      </w:r>
      <w:r w:rsidR="009C5C7E">
        <w:rPr>
          <w:rFonts w:ascii="Arial" w:hAnsi="Arial" w:cs="Arial"/>
        </w:rPr>
        <w:t xml:space="preserve">s neumáticos se ha estimado en S/. </w:t>
      </w:r>
      <w:r w:rsidR="007540B3">
        <w:rPr>
          <w:rFonts w:ascii="Arial" w:hAnsi="Arial" w:cs="Arial"/>
        </w:rPr>
        <w:t>3</w:t>
      </w:r>
      <w:r w:rsidR="00986C0F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0 cada uno, el que </w:t>
      </w:r>
      <w:r w:rsidR="007540B3">
        <w:rPr>
          <w:rFonts w:ascii="Arial" w:hAnsi="Arial" w:cs="Arial"/>
        </w:rPr>
        <w:t>se mantendrá constante durante el período de la evaluación.</w:t>
      </w:r>
    </w:p>
    <w:p w14:paraId="463B9B98" w14:textId="77777777" w:rsidR="007540B3" w:rsidRDefault="007540B3" w:rsidP="00BD58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estudio técnico del proyecto ha determinado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por cada neumático producido, y considerando las economías de escala</w:t>
      </w:r>
      <w:r w:rsidR="00913F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913F5F">
        <w:rPr>
          <w:rFonts w:ascii="Arial" w:hAnsi="Arial" w:cs="Arial"/>
        </w:rPr>
        <w:t>se incurrirán en los siguientes costos unitarios</w:t>
      </w:r>
      <w:r>
        <w:rPr>
          <w:rFonts w:ascii="Arial" w:hAnsi="Arial" w:cs="Arial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3402"/>
      </w:tblGrid>
      <w:tr w:rsidR="007540B3" w14:paraId="52A01A9C" w14:textId="77777777" w:rsidTr="008E0524">
        <w:trPr>
          <w:jc w:val="center"/>
        </w:trPr>
        <w:tc>
          <w:tcPr>
            <w:tcW w:w="2410" w:type="dxa"/>
            <w:shd w:val="clear" w:color="auto" w:fill="FFFF00"/>
          </w:tcPr>
          <w:p w14:paraId="77CCE1BE" w14:textId="77777777" w:rsidR="007540B3" w:rsidRPr="007540B3" w:rsidRDefault="007540B3" w:rsidP="007540B3">
            <w:pPr>
              <w:jc w:val="center"/>
              <w:rPr>
                <w:rFonts w:ascii="Arial" w:hAnsi="Arial" w:cs="Arial"/>
                <w:b/>
              </w:rPr>
            </w:pPr>
            <w:r w:rsidRPr="007540B3">
              <w:rPr>
                <w:rFonts w:ascii="Arial" w:hAnsi="Arial" w:cs="Arial"/>
                <w:b/>
              </w:rPr>
              <w:t>Insumo</w:t>
            </w:r>
          </w:p>
        </w:tc>
        <w:tc>
          <w:tcPr>
            <w:tcW w:w="3402" w:type="dxa"/>
            <w:shd w:val="clear" w:color="auto" w:fill="FFFF00"/>
          </w:tcPr>
          <w:p w14:paraId="09FD39D3" w14:textId="77777777" w:rsidR="00913F5F" w:rsidRPr="007540B3" w:rsidRDefault="007540B3" w:rsidP="00913F5F">
            <w:pPr>
              <w:jc w:val="center"/>
              <w:rPr>
                <w:rFonts w:ascii="Arial" w:hAnsi="Arial" w:cs="Arial"/>
                <w:b/>
              </w:rPr>
            </w:pPr>
            <w:r w:rsidRPr="007540B3">
              <w:rPr>
                <w:rFonts w:ascii="Arial" w:hAnsi="Arial" w:cs="Arial"/>
                <w:b/>
              </w:rPr>
              <w:t>Costo Unitario</w:t>
            </w:r>
            <w:r w:rsidR="00913F5F">
              <w:rPr>
                <w:rFonts w:ascii="Arial" w:hAnsi="Arial" w:cs="Arial"/>
                <w:b/>
              </w:rPr>
              <w:t xml:space="preserve"> en soles</w:t>
            </w:r>
          </w:p>
        </w:tc>
      </w:tr>
      <w:tr w:rsidR="007540B3" w14:paraId="3E939BF7" w14:textId="77777777" w:rsidTr="008E0524">
        <w:trPr>
          <w:jc w:val="center"/>
        </w:trPr>
        <w:tc>
          <w:tcPr>
            <w:tcW w:w="2410" w:type="dxa"/>
          </w:tcPr>
          <w:p w14:paraId="6329AD09" w14:textId="77777777" w:rsidR="007540B3" w:rsidRDefault="007540B3" w:rsidP="00BD58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Goma</w:t>
            </w:r>
          </w:p>
        </w:tc>
        <w:tc>
          <w:tcPr>
            <w:tcW w:w="3402" w:type="dxa"/>
          </w:tcPr>
          <w:p w14:paraId="50E00E5B" w14:textId="77777777" w:rsidR="007540B3" w:rsidRDefault="007540B3" w:rsidP="00913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62.8</w:t>
            </w:r>
          </w:p>
        </w:tc>
      </w:tr>
      <w:tr w:rsidR="007540B3" w14:paraId="4476B2A1" w14:textId="77777777" w:rsidTr="008E0524">
        <w:trPr>
          <w:jc w:val="center"/>
        </w:trPr>
        <w:tc>
          <w:tcPr>
            <w:tcW w:w="2410" w:type="dxa"/>
          </w:tcPr>
          <w:p w14:paraId="3FD32394" w14:textId="77777777" w:rsidR="007540B3" w:rsidRDefault="007540B3" w:rsidP="00BD58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Fibra de acero</w:t>
            </w:r>
          </w:p>
        </w:tc>
        <w:tc>
          <w:tcPr>
            <w:tcW w:w="3402" w:type="dxa"/>
          </w:tcPr>
          <w:p w14:paraId="2208BE3B" w14:textId="77777777" w:rsidR="007540B3" w:rsidRDefault="007540B3" w:rsidP="00913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85.2</w:t>
            </w:r>
          </w:p>
        </w:tc>
      </w:tr>
      <w:tr w:rsidR="007540B3" w14:paraId="75E41365" w14:textId="77777777" w:rsidTr="008E0524">
        <w:trPr>
          <w:jc w:val="center"/>
        </w:trPr>
        <w:tc>
          <w:tcPr>
            <w:tcW w:w="2410" w:type="dxa"/>
          </w:tcPr>
          <w:p w14:paraId="18AF921F" w14:textId="77777777" w:rsidR="007540B3" w:rsidRDefault="007540B3" w:rsidP="00BD58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Mano de obra directa</w:t>
            </w:r>
          </w:p>
        </w:tc>
        <w:tc>
          <w:tcPr>
            <w:tcW w:w="3402" w:type="dxa"/>
          </w:tcPr>
          <w:p w14:paraId="22857B9E" w14:textId="77777777" w:rsidR="007540B3" w:rsidRDefault="007540B3" w:rsidP="00913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</w:t>
            </w:r>
          </w:p>
        </w:tc>
      </w:tr>
    </w:tbl>
    <w:p w14:paraId="49C8EFF8" w14:textId="77777777" w:rsidR="007540B3" w:rsidRDefault="007540B3" w:rsidP="008E0524">
      <w:pPr>
        <w:pStyle w:val="Sinespaciado"/>
      </w:pPr>
    </w:p>
    <w:p w14:paraId="3CAAD4AF" w14:textId="77777777" w:rsidR="007540B3" w:rsidRDefault="007540B3" w:rsidP="00BD58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estructura de costos fij</w:t>
      </w:r>
      <w:r w:rsidR="007A7AD2">
        <w:rPr>
          <w:rFonts w:ascii="Arial" w:hAnsi="Arial" w:cs="Arial"/>
        </w:rPr>
        <w:t xml:space="preserve">os mensuales está compuesta de S/. </w:t>
      </w:r>
      <w:r>
        <w:rPr>
          <w:rFonts w:ascii="Arial" w:hAnsi="Arial" w:cs="Arial"/>
        </w:rPr>
        <w:t>8</w:t>
      </w:r>
      <w:r w:rsidR="00913F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000 para </w:t>
      </w:r>
      <w:r w:rsidR="00913F5F">
        <w:rPr>
          <w:rFonts w:ascii="Arial" w:hAnsi="Arial" w:cs="Arial"/>
        </w:rPr>
        <w:t xml:space="preserve">gastos de administración </w:t>
      </w:r>
      <w:r>
        <w:rPr>
          <w:rFonts w:ascii="Arial" w:hAnsi="Arial" w:cs="Arial"/>
        </w:rPr>
        <w:t xml:space="preserve">y </w:t>
      </w:r>
      <w:r w:rsidR="007A7AD2">
        <w:rPr>
          <w:rFonts w:ascii="Arial" w:hAnsi="Arial" w:cs="Arial"/>
        </w:rPr>
        <w:t xml:space="preserve">S/. </w:t>
      </w:r>
      <w:r>
        <w:rPr>
          <w:rFonts w:ascii="Arial" w:hAnsi="Arial" w:cs="Arial"/>
        </w:rPr>
        <w:t>3</w:t>
      </w:r>
      <w:r w:rsidR="00913F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000 </w:t>
      </w:r>
      <w:r w:rsidR="00913F5F">
        <w:rPr>
          <w:rFonts w:ascii="Arial" w:hAnsi="Arial" w:cs="Arial"/>
        </w:rPr>
        <w:t>para gasto de</w:t>
      </w:r>
      <w:r w:rsidR="007A7AD2">
        <w:rPr>
          <w:rFonts w:ascii="Arial" w:hAnsi="Arial" w:cs="Arial"/>
        </w:rPr>
        <w:t xml:space="preserve"> ventas</w:t>
      </w:r>
      <w:r>
        <w:rPr>
          <w:rFonts w:ascii="Arial" w:hAnsi="Arial" w:cs="Arial"/>
        </w:rPr>
        <w:t>. El proyecto contempla las siguientes inversiones:</w:t>
      </w:r>
    </w:p>
    <w:tbl>
      <w:tblPr>
        <w:tblStyle w:val="Tablaconcuadrcula"/>
        <w:tblW w:w="7320" w:type="dxa"/>
        <w:jc w:val="center"/>
        <w:tblLook w:val="04A0" w:firstRow="1" w:lastRow="0" w:firstColumn="1" w:lastColumn="0" w:noHBand="0" w:noVBand="1"/>
      </w:tblPr>
      <w:tblGrid>
        <w:gridCol w:w="2366"/>
        <w:gridCol w:w="2675"/>
        <w:gridCol w:w="1158"/>
        <w:gridCol w:w="1121"/>
      </w:tblGrid>
      <w:tr w:rsidR="008E0524" w14:paraId="488BD955" w14:textId="77777777" w:rsidTr="008E0524">
        <w:trPr>
          <w:jc w:val="center"/>
        </w:trPr>
        <w:tc>
          <w:tcPr>
            <w:tcW w:w="2366" w:type="dxa"/>
            <w:shd w:val="clear" w:color="auto" w:fill="FFFF00"/>
          </w:tcPr>
          <w:p w14:paraId="00AE2461" w14:textId="77777777" w:rsidR="008E0524" w:rsidRPr="007540B3" w:rsidRDefault="008E0524" w:rsidP="00BD5838">
            <w:pPr>
              <w:jc w:val="both"/>
              <w:rPr>
                <w:rFonts w:ascii="Arial" w:hAnsi="Arial" w:cs="Arial"/>
                <w:b/>
              </w:rPr>
            </w:pPr>
            <w:r w:rsidRPr="007540B3"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2675" w:type="dxa"/>
            <w:shd w:val="clear" w:color="auto" w:fill="FFFF00"/>
          </w:tcPr>
          <w:p w14:paraId="33B658CF" w14:textId="77777777" w:rsidR="008E0524" w:rsidRPr="007540B3" w:rsidRDefault="008E0524" w:rsidP="00913F5F">
            <w:pPr>
              <w:jc w:val="center"/>
              <w:rPr>
                <w:rFonts w:ascii="Arial" w:hAnsi="Arial" w:cs="Arial"/>
                <w:b/>
              </w:rPr>
            </w:pPr>
            <w:r w:rsidRPr="007540B3">
              <w:rPr>
                <w:rFonts w:ascii="Arial" w:hAnsi="Arial" w:cs="Arial"/>
                <w:b/>
              </w:rPr>
              <w:t>Valor Unitario</w:t>
            </w:r>
            <w:r>
              <w:rPr>
                <w:rFonts w:ascii="Arial" w:hAnsi="Arial" w:cs="Arial"/>
                <w:b/>
              </w:rPr>
              <w:t xml:space="preserve"> en soles</w:t>
            </w:r>
          </w:p>
        </w:tc>
        <w:tc>
          <w:tcPr>
            <w:tcW w:w="1158" w:type="dxa"/>
            <w:shd w:val="clear" w:color="auto" w:fill="FFFF00"/>
          </w:tcPr>
          <w:p w14:paraId="7579C02F" w14:textId="77777777" w:rsidR="008E0524" w:rsidRPr="007540B3" w:rsidRDefault="008E0524" w:rsidP="00BD5838">
            <w:pPr>
              <w:jc w:val="both"/>
              <w:rPr>
                <w:rFonts w:ascii="Arial" w:hAnsi="Arial" w:cs="Arial"/>
                <w:b/>
              </w:rPr>
            </w:pPr>
            <w:r w:rsidRPr="007540B3">
              <w:rPr>
                <w:rFonts w:ascii="Arial" w:hAnsi="Arial" w:cs="Arial"/>
                <w:b/>
              </w:rPr>
              <w:t xml:space="preserve">Cantidad </w:t>
            </w:r>
          </w:p>
        </w:tc>
        <w:tc>
          <w:tcPr>
            <w:tcW w:w="1121" w:type="dxa"/>
            <w:shd w:val="clear" w:color="auto" w:fill="FFFF00"/>
          </w:tcPr>
          <w:p w14:paraId="5ACEBF40" w14:textId="77777777" w:rsidR="008E0524" w:rsidRPr="007540B3" w:rsidRDefault="008E0524" w:rsidP="00BD583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Vida útil</w:t>
            </w:r>
          </w:p>
        </w:tc>
      </w:tr>
      <w:tr w:rsidR="008E0524" w14:paraId="01287DC1" w14:textId="77777777" w:rsidTr="008E0524">
        <w:trPr>
          <w:jc w:val="center"/>
        </w:trPr>
        <w:tc>
          <w:tcPr>
            <w:tcW w:w="2366" w:type="dxa"/>
          </w:tcPr>
          <w:p w14:paraId="381D7EFA" w14:textId="77777777" w:rsidR="008E0524" w:rsidRDefault="008E0524" w:rsidP="00BD58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Líneas de producción</w:t>
            </w:r>
          </w:p>
        </w:tc>
        <w:tc>
          <w:tcPr>
            <w:tcW w:w="2675" w:type="dxa"/>
          </w:tcPr>
          <w:p w14:paraId="5E9D0247" w14:textId="77777777" w:rsidR="008E0524" w:rsidRDefault="008E0524" w:rsidP="007D3A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70,000</w:t>
            </w:r>
          </w:p>
        </w:tc>
        <w:tc>
          <w:tcPr>
            <w:tcW w:w="1158" w:type="dxa"/>
          </w:tcPr>
          <w:p w14:paraId="486D463E" w14:textId="77777777" w:rsidR="008E0524" w:rsidRDefault="008E0524" w:rsidP="007D3A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21" w:type="dxa"/>
          </w:tcPr>
          <w:p w14:paraId="232C9A4F" w14:textId="77777777" w:rsidR="008E0524" w:rsidRDefault="008E0524" w:rsidP="007D3A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años</w:t>
            </w:r>
          </w:p>
        </w:tc>
      </w:tr>
      <w:tr w:rsidR="008E0524" w14:paraId="0E39F1E2" w14:textId="77777777" w:rsidTr="008E0524">
        <w:trPr>
          <w:jc w:val="center"/>
        </w:trPr>
        <w:tc>
          <w:tcPr>
            <w:tcW w:w="2366" w:type="dxa"/>
          </w:tcPr>
          <w:p w14:paraId="096CF94F" w14:textId="77777777" w:rsidR="008E0524" w:rsidRDefault="008E0524" w:rsidP="00BD58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Obras físicas </w:t>
            </w:r>
          </w:p>
        </w:tc>
        <w:tc>
          <w:tcPr>
            <w:tcW w:w="2675" w:type="dxa"/>
          </w:tcPr>
          <w:p w14:paraId="34A4F4E9" w14:textId="77777777" w:rsidR="008E0524" w:rsidRDefault="008E0524" w:rsidP="007D3A96">
            <w:pPr>
              <w:jc w:val="center"/>
              <w:rPr>
                <w:rFonts w:ascii="Arial" w:hAnsi="Arial" w:cs="Arial"/>
              </w:rPr>
            </w:pPr>
            <w:r w:rsidRPr="00C82661">
              <w:rPr>
                <w:rFonts w:ascii="Arial" w:hAnsi="Arial" w:cs="Arial"/>
              </w:rPr>
              <w:t>253</w:t>
            </w:r>
            <w:r>
              <w:rPr>
                <w:rFonts w:ascii="Arial" w:hAnsi="Arial" w:cs="Arial"/>
              </w:rPr>
              <w:t>,</w:t>
            </w:r>
            <w:r w:rsidRPr="00C82661">
              <w:rPr>
                <w:rFonts w:ascii="Arial" w:hAnsi="Arial" w:cs="Arial"/>
              </w:rPr>
              <w:t>000</w:t>
            </w:r>
          </w:p>
        </w:tc>
        <w:tc>
          <w:tcPr>
            <w:tcW w:w="1158" w:type="dxa"/>
          </w:tcPr>
          <w:p w14:paraId="3754703D" w14:textId="77777777" w:rsidR="008E0524" w:rsidRDefault="008E0524" w:rsidP="007D3A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21" w:type="dxa"/>
          </w:tcPr>
          <w:p w14:paraId="3D62B155" w14:textId="77777777" w:rsidR="008E0524" w:rsidRDefault="008E0524" w:rsidP="007D3A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años</w:t>
            </w:r>
          </w:p>
        </w:tc>
      </w:tr>
      <w:tr w:rsidR="008E0524" w14:paraId="7EBE4BAA" w14:textId="77777777" w:rsidTr="008E0524">
        <w:trPr>
          <w:jc w:val="center"/>
        </w:trPr>
        <w:tc>
          <w:tcPr>
            <w:tcW w:w="2366" w:type="dxa"/>
          </w:tcPr>
          <w:p w14:paraId="60012312" w14:textId="77777777" w:rsidR="008E0524" w:rsidRDefault="008E0524" w:rsidP="00BD58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Terreno</w:t>
            </w:r>
          </w:p>
        </w:tc>
        <w:tc>
          <w:tcPr>
            <w:tcW w:w="2675" w:type="dxa"/>
          </w:tcPr>
          <w:p w14:paraId="26AB5DAE" w14:textId="77777777" w:rsidR="008E0524" w:rsidRDefault="008E0524" w:rsidP="007D3A96">
            <w:pPr>
              <w:jc w:val="center"/>
              <w:rPr>
                <w:rFonts w:ascii="Arial" w:hAnsi="Arial" w:cs="Arial"/>
              </w:rPr>
            </w:pPr>
            <w:r w:rsidRPr="00C82661">
              <w:rPr>
                <w:rFonts w:ascii="Arial" w:hAnsi="Arial" w:cs="Arial"/>
              </w:rPr>
              <w:t>109</w:t>
            </w:r>
            <w:r>
              <w:rPr>
                <w:rFonts w:ascii="Arial" w:hAnsi="Arial" w:cs="Arial"/>
              </w:rPr>
              <w:t>,</w:t>
            </w:r>
            <w:r w:rsidRPr="00C82661">
              <w:rPr>
                <w:rFonts w:ascii="Arial" w:hAnsi="Arial" w:cs="Arial"/>
              </w:rPr>
              <w:t>000</w:t>
            </w:r>
          </w:p>
        </w:tc>
        <w:tc>
          <w:tcPr>
            <w:tcW w:w="1158" w:type="dxa"/>
          </w:tcPr>
          <w:p w14:paraId="1735A485" w14:textId="77777777" w:rsidR="008E0524" w:rsidRDefault="008E0524" w:rsidP="007D3A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21" w:type="dxa"/>
          </w:tcPr>
          <w:p w14:paraId="7FF540A7" w14:textId="77777777" w:rsidR="008E0524" w:rsidRDefault="008E0524" w:rsidP="007D3A9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569A27B" w14:textId="77777777" w:rsidR="008E0524" w:rsidRDefault="008E0524" w:rsidP="008E0524">
      <w:pPr>
        <w:pStyle w:val="Sinespaciado"/>
      </w:pPr>
    </w:p>
    <w:p w14:paraId="208B2DEA" w14:textId="20C68F1A" w:rsidR="007D3A96" w:rsidRPr="002456C6" w:rsidRDefault="008E0524" w:rsidP="00BD5838">
      <w:pPr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</w:rPr>
        <w:t>El valor de recupero</w:t>
      </w:r>
      <w:r w:rsidR="00562A7F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>l activo fijo en el momento de liquidación se realiza con el método de valor residual contable.</w:t>
      </w:r>
      <w:r w:rsidR="00562A7F">
        <w:rPr>
          <w:rFonts w:ascii="Arial" w:hAnsi="Arial" w:cs="Arial"/>
        </w:rPr>
        <w:t xml:space="preserve"> </w:t>
      </w:r>
      <w:r w:rsidR="007D3A96">
        <w:rPr>
          <w:rFonts w:ascii="Arial" w:hAnsi="Arial" w:cs="Arial"/>
        </w:rPr>
        <w:t xml:space="preserve">La inversión en capital de trabajo será de tres meses de costos variables de </w:t>
      </w:r>
      <w:r w:rsidR="00476E42">
        <w:rPr>
          <w:rFonts w:ascii="Arial" w:hAnsi="Arial" w:cs="Arial"/>
        </w:rPr>
        <w:t>operación para</w:t>
      </w:r>
      <w:r w:rsidR="00311435">
        <w:rPr>
          <w:rFonts w:ascii="Arial" w:hAnsi="Arial" w:cs="Arial"/>
        </w:rPr>
        <w:t xml:space="preserve"> cada año de acuerdo a</w:t>
      </w:r>
      <w:r w:rsidR="007D3A96">
        <w:rPr>
          <w:rFonts w:ascii="Arial" w:hAnsi="Arial" w:cs="Arial"/>
        </w:rPr>
        <w:t xml:space="preserve"> los incre</w:t>
      </w:r>
      <w:r w:rsidR="00913F5F">
        <w:rPr>
          <w:rFonts w:ascii="Arial" w:hAnsi="Arial" w:cs="Arial"/>
        </w:rPr>
        <w:t>mentos en la demanda proyectada</w:t>
      </w:r>
      <w:r w:rsidR="007D3A96">
        <w:rPr>
          <w:rFonts w:ascii="Arial" w:hAnsi="Arial" w:cs="Arial"/>
        </w:rPr>
        <w:t>.</w:t>
      </w:r>
      <w:r w:rsidR="002456C6" w:rsidRPr="002456C6">
        <w:rPr>
          <w:rFonts w:ascii="Arial" w:hAnsi="Arial" w:cs="Arial"/>
          <w:lang w:val="es-GT"/>
        </w:rPr>
        <w:t xml:space="preserve"> </w:t>
      </w:r>
      <w:r w:rsidR="002456C6">
        <w:rPr>
          <w:rFonts w:ascii="Arial" w:hAnsi="Arial" w:cs="Arial"/>
          <w:lang w:val="es-GT"/>
        </w:rPr>
        <w:t>Asimism</w:t>
      </w:r>
      <w:r w:rsidR="00311435">
        <w:rPr>
          <w:rFonts w:ascii="Arial" w:hAnsi="Arial" w:cs="Arial"/>
          <w:lang w:val="es-GT"/>
        </w:rPr>
        <w:t>o, se incurre en costos de f</w:t>
      </w:r>
      <w:r w:rsidR="002456C6">
        <w:rPr>
          <w:rFonts w:ascii="Arial" w:hAnsi="Arial" w:cs="Arial"/>
          <w:lang w:val="es-GT"/>
        </w:rPr>
        <w:t xml:space="preserve">ormalización de la empresa por S/. 7,000 y </w:t>
      </w:r>
      <w:r w:rsidR="00311435">
        <w:rPr>
          <w:rFonts w:ascii="Arial" w:hAnsi="Arial" w:cs="Arial"/>
          <w:lang w:val="es-GT"/>
        </w:rPr>
        <w:t xml:space="preserve">en la </w:t>
      </w:r>
      <w:r w:rsidR="002456C6">
        <w:rPr>
          <w:rFonts w:ascii="Arial" w:hAnsi="Arial" w:cs="Arial"/>
          <w:lang w:val="es-GT"/>
        </w:rPr>
        <w:t xml:space="preserve">puesta en </w:t>
      </w:r>
      <w:r w:rsidR="00476E42">
        <w:rPr>
          <w:rFonts w:ascii="Arial" w:hAnsi="Arial" w:cs="Arial"/>
          <w:lang w:val="es-GT"/>
        </w:rPr>
        <w:t>marcha del</w:t>
      </w:r>
      <w:r w:rsidR="002456C6">
        <w:rPr>
          <w:rFonts w:ascii="Arial" w:hAnsi="Arial" w:cs="Arial"/>
          <w:lang w:val="es-GT"/>
        </w:rPr>
        <w:t xml:space="preserve"> negocio con un monto igual a S/. 11,000</w:t>
      </w:r>
      <w:r w:rsidR="00476E42">
        <w:rPr>
          <w:rFonts w:ascii="Arial" w:hAnsi="Arial" w:cs="Arial"/>
          <w:lang w:val="es-GT"/>
        </w:rPr>
        <w:t>.</w:t>
      </w:r>
      <w:r w:rsidRPr="008E05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inversión en activo intangible se recupera en horizonte de evaluación del proyecto.</w:t>
      </w:r>
    </w:p>
    <w:p w14:paraId="166D2CB2" w14:textId="1EA3576D" w:rsidR="00986C0F" w:rsidRPr="00DD56E4" w:rsidRDefault="007D3A96" w:rsidP="002456C6">
      <w:pPr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</w:rPr>
        <w:t xml:space="preserve">El </w:t>
      </w:r>
      <w:r w:rsidR="002456C6">
        <w:rPr>
          <w:rFonts w:ascii="Arial" w:hAnsi="Arial" w:cs="Arial"/>
        </w:rPr>
        <w:t xml:space="preserve">60% de la inversión será </w:t>
      </w:r>
      <w:r>
        <w:rPr>
          <w:rFonts w:ascii="Arial" w:hAnsi="Arial" w:cs="Arial"/>
        </w:rPr>
        <w:t>fi</w:t>
      </w:r>
      <w:r w:rsidR="002456C6">
        <w:rPr>
          <w:rFonts w:ascii="Arial" w:hAnsi="Arial" w:cs="Arial"/>
        </w:rPr>
        <w:t xml:space="preserve">nanciado por </w:t>
      </w:r>
      <w:r w:rsidR="00476E42">
        <w:rPr>
          <w:rFonts w:ascii="Arial" w:hAnsi="Arial" w:cs="Arial"/>
        </w:rPr>
        <w:t>el Banco</w:t>
      </w:r>
      <w:r w:rsidR="00C37212">
        <w:rPr>
          <w:rFonts w:ascii="Arial" w:hAnsi="Arial" w:cs="Arial"/>
        </w:rPr>
        <w:t xml:space="preserve"> </w:t>
      </w:r>
      <w:r w:rsidR="002456C6">
        <w:rPr>
          <w:rFonts w:ascii="Arial" w:hAnsi="Arial" w:cs="Arial"/>
        </w:rPr>
        <w:t>Camarón</w:t>
      </w:r>
      <w:r w:rsidR="00986C0F">
        <w:rPr>
          <w:rFonts w:ascii="Arial" w:hAnsi="Arial" w:cs="Arial"/>
        </w:rPr>
        <w:t xml:space="preserve">, </w:t>
      </w:r>
      <w:r w:rsidR="00C37212">
        <w:rPr>
          <w:rFonts w:ascii="Arial" w:hAnsi="Arial" w:cs="Arial"/>
        </w:rPr>
        <w:t xml:space="preserve">quien </w:t>
      </w:r>
      <w:r w:rsidR="00476E42">
        <w:rPr>
          <w:rFonts w:ascii="Arial" w:hAnsi="Arial" w:cs="Arial"/>
        </w:rPr>
        <w:t>financiará</w:t>
      </w:r>
      <w:r w:rsidR="00C37212">
        <w:rPr>
          <w:rFonts w:ascii="Arial" w:hAnsi="Arial" w:cs="Arial"/>
        </w:rPr>
        <w:t xml:space="preserve"> </w:t>
      </w:r>
      <w:r w:rsidR="002456C6">
        <w:rPr>
          <w:rFonts w:ascii="Arial" w:hAnsi="Arial" w:cs="Arial"/>
        </w:rPr>
        <w:t xml:space="preserve">con una </w:t>
      </w:r>
      <w:r w:rsidR="00476E42">
        <w:rPr>
          <w:rFonts w:ascii="Arial" w:hAnsi="Arial" w:cs="Arial"/>
        </w:rPr>
        <w:t>TEA de</w:t>
      </w:r>
      <w:r w:rsidR="008E0524">
        <w:rPr>
          <w:rFonts w:ascii="Arial" w:hAnsi="Arial" w:cs="Arial"/>
          <w:lang w:val="es-GT"/>
        </w:rPr>
        <w:t xml:space="preserve"> 18%</w:t>
      </w:r>
      <w:r w:rsidR="002456C6">
        <w:rPr>
          <w:rFonts w:ascii="Arial" w:hAnsi="Arial" w:cs="Arial"/>
          <w:lang w:val="es-GT"/>
        </w:rPr>
        <w:t>, a ser pagado con cuotas anuales de 3 años</w:t>
      </w:r>
      <w:r w:rsidR="008E0524">
        <w:rPr>
          <w:rFonts w:ascii="Arial" w:hAnsi="Arial" w:cs="Arial"/>
          <w:lang w:val="es-GT"/>
        </w:rPr>
        <w:t xml:space="preserve">. La tasa de inflación proyectada es mínima que no requiere conversión de valores </w:t>
      </w:r>
      <w:r w:rsidR="00476E42">
        <w:rPr>
          <w:rFonts w:ascii="Arial" w:hAnsi="Arial" w:cs="Arial"/>
          <w:lang w:val="es-GT"/>
        </w:rPr>
        <w:t>nominales a</w:t>
      </w:r>
      <w:r w:rsidR="008E0524">
        <w:rPr>
          <w:rFonts w:ascii="Arial" w:hAnsi="Arial" w:cs="Arial"/>
          <w:lang w:val="es-GT"/>
        </w:rPr>
        <w:t xml:space="preserve"> valores reales.</w:t>
      </w:r>
    </w:p>
    <w:p w14:paraId="75587576" w14:textId="06B8EB67" w:rsidR="00572CD1" w:rsidRDefault="001641FA" w:rsidP="00572C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calcular el retorno patrimonial, considere q</w:t>
      </w:r>
      <w:r w:rsidR="004E6346">
        <w:rPr>
          <w:rFonts w:ascii="Arial" w:hAnsi="Arial" w:cs="Arial"/>
        </w:rPr>
        <w:t>ue la tasa libre de riesgos es 4</w:t>
      </w:r>
      <w:r>
        <w:rPr>
          <w:rFonts w:ascii="Arial" w:hAnsi="Arial" w:cs="Arial"/>
        </w:rPr>
        <w:t xml:space="preserve">%, el retorno </w:t>
      </w:r>
      <w:r w:rsidR="00EB45CD">
        <w:rPr>
          <w:rFonts w:ascii="Arial" w:hAnsi="Arial" w:cs="Arial"/>
        </w:rPr>
        <w:t xml:space="preserve">esperado de mercado es 13.5% y </w:t>
      </w:r>
      <w:r w:rsidR="008E0524">
        <w:rPr>
          <w:rFonts w:ascii="Arial" w:hAnsi="Arial" w:cs="Arial"/>
        </w:rPr>
        <w:t>el Beta del sector de parque vehicular</w:t>
      </w:r>
      <w:r w:rsidR="00EB45CD">
        <w:rPr>
          <w:rFonts w:ascii="Arial" w:hAnsi="Arial" w:cs="Arial"/>
        </w:rPr>
        <w:t xml:space="preserve"> es 1.12. </w:t>
      </w:r>
      <w:r w:rsidR="004E6346">
        <w:rPr>
          <w:rFonts w:ascii="Arial" w:hAnsi="Arial" w:cs="Arial"/>
        </w:rPr>
        <w:t xml:space="preserve">La tasa de riesgo </w:t>
      </w:r>
      <w:r w:rsidR="00476E42">
        <w:rPr>
          <w:rFonts w:ascii="Arial" w:hAnsi="Arial" w:cs="Arial"/>
        </w:rPr>
        <w:t xml:space="preserve">país </w:t>
      </w:r>
      <w:r w:rsidR="004E6346">
        <w:rPr>
          <w:rFonts w:ascii="Arial" w:hAnsi="Arial" w:cs="Arial"/>
        </w:rPr>
        <w:t xml:space="preserve">es igual a 1.5. </w:t>
      </w:r>
      <w:r w:rsidR="005A35B0">
        <w:rPr>
          <w:rFonts w:ascii="Arial" w:hAnsi="Arial" w:cs="Arial"/>
        </w:rPr>
        <w:t>Con es</w:t>
      </w:r>
      <w:r w:rsidR="004E6346">
        <w:rPr>
          <w:rFonts w:ascii="Arial" w:hAnsi="Arial" w:cs="Arial"/>
        </w:rPr>
        <w:t>t</w:t>
      </w:r>
      <w:r w:rsidR="005A35B0">
        <w:rPr>
          <w:rFonts w:ascii="Arial" w:hAnsi="Arial" w:cs="Arial"/>
        </w:rPr>
        <w:t>a información se le pide:</w:t>
      </w:r>
    </w:p>
    <w:p w14:paraId="5D9F3709" w14:textId="1CE2EDAF" w:rsidR="008C479F" w:rsidRPr="009C6809" w:rsidRDefault="008C479F" w:rsidP="008C479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</w:rPr>
      </w:pPr>
      <w:r w:rsidRPr="009C6809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laborar el estado de </w:t>
      </w:r>
      <w:r w:rsidR="00476E42">
        <w:rPr>
          <w:rFonts w:ascii="Arial" w:hAnsi="Arial" w:cs="Arial"/>
          <w:sz w:val="22"/>
        </w:rPr>
        <w:t>resultados</w:t>
      </w:r>
      <w:r w:rsidRPr="009C6809">
        <w:rPr>
          <w:rFonts w:ascii="Arial" w:hAnsi="Arial" w:cs="Arial"/>
          <w:sz w:val="22"/>
        </w:rPr>
        <w:t xml:space="preserve"> y </w:t>
      </w:r>
      <w:r>
        <w:rPr>
          <w:rFonts w:ascii="Arial" w:hAnsi="Arial" w:cs="Arial"/>
          <w:sz w:val="22"/>
        </w:rPr>
        <w:t xml:space="preserve">el </w:t>
      </w:r>
      <w:r w:rsidRPr="009C6809">
        <w:rPr>
          <w:rFonts w:ascii="Arial" w:hAnsi="Arial" w:cs="Arial"/>
          <w:sz w:val="22"/>
        </w:rPr>
        <w:t>flujo</w:t>
      </w:r>
      <w:r>
        <w:rPr>
          <w:rFonts w:ascii="Arial" w:hAnsi="Arial" w:cs="Arial"/>
          <w:sz w:val="22"/>
        </w:rPr>
        <w:t xml:space="preserve"> </w:t>
      </w:r>
      <w:r w:rsidRPr="009C6809">
        <w:rPr>
          <w:rFonts w:ascii="Arial" w:hAnsi="Arial" w:cs="Arial"/>
          <w:sz w:val="22"/>
        </w:rPr>
        <w:t xml:space="preserve">de </w:t>
      </w:r>
      <w:r w:rsidR="00476E42" w:rsidRPr="009C6809">
        <w:rPr>
          <w:rFonts w:ascii="Arial" w:hAnsi="Arial" w:cs="Arial"/>
          <w:sz w:val="22"/>
        </w:rPr>
        <w:t xml:space="preserve">caja </w:t>
      </w:r>
      <w:r w:rsidR="00476E42">
        <w:rPr>
          <w:rFonts w:ascii="Arial" w:hAnsi="Arial" w:cs="Arial"/>
          <w:sz w:val="22"/>
        </w:rPr>
        <w:t>(</w:t>
      </w:r>
      <w:r w:rsidR="004E6346">
        <w:rPr>
          <w:rFonts w:ascii="Arial" w:hAnsi="Arial" w:cs="Arial"/>
          <w:sz w:val="22"/>
        </w:rPr>
        <w:t>12</w:t>
      </w:r>
      <w:r w:rsidR="008E0524">
        <w:rPr>
          <w:rFonts w:ascii="Arial" w:hAnsi="Arial" w:cs="Arial"/>
          <w:sz w:val="22"/>
        </w:rPr>
        <w:t xml:space="preserve"> </w:t>
      </w:r>
      <w:proofErr w:type="spellStart"/>
      <w:r w:rsidR="008E0524">
        <w:rPr>
          <w:rFonts w:ascii="Arial" w:hAnsi="Arial" w:cs="Arial"/>
          <w:sz w:val="22"/>
        </w:rPr>
        <w:t>ptos</w:t>
      </w:r>
      <w:proofErr w:type="spellEnd"/>
      <w:r w:rsidR="008E0524">
        <w:rPr>
          <w:rFonts w:ascii="Arial" w:hAnsi="Arial" w:cs="Arial"/>
          <w:sz w:val="22"/>
        </w:rPr>
        <w:t>.)</w:t>
      </w:r>
    </w:p>
    <w:p w14:paraId="400F482F" w14:textId="77777777" w:rsidR="008C479F" w:rsidRPr="009C6809" w:rsidRDefault="008C479F" w:rsidP="008C479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</w:rPr>
      </w:pPr>
      <w:r w:rsidRPr="009C6809">
        <w:rPr>
          <w:rFonts w:ascii="Arial" w:hAnsi="Arial" w:cs="Arial"/>
          <w:sz w:val="22"/>
        </w:rPr>
        <w:t xml:space="preserve">Calcular el VANE, TIRE, VANF, TIRF </w:t>
      </w:r>
      <w:r>
        <w:rPr>
          <w:rFonts w:ascii="Arial" w:hAnsi="Arial" w:cs="Arial"/>
          <w:sz w:val="22"/>
        </w:rPr>
        <w:t>e</w:t>
      </w:r>
      <w:r w:rsidRPr="009C6809">
        <w:rPr>
          <w:rFonts w:ascii="Arial" w:hAnsi="Arial" w:cs="Arial"/>
          <w:sz w:val="22"/>
        </w:rPr>
        <w:t xml:space="preserve"> Interprete </w:t>
      </w:r>
      <w:r>
        <w:rPr>
          <w:rFonts w:ascii="Arial" w:hAnsi="Arial" w:cs="Arial"/>
          <w:sz w:val="22"/>
        </w:rPr>
        <w:t>los resultados</w:t>
      </w:r>
      <w:r w:rsidR="004E6346">
        <w:rPr>
          <w:rFonts w:ascii="Arial" w:hAnsi="Arial" w:cs="Arial"/>
          <w:sz w:val="22"/>
        </w:rPr>
        <w:t xml:space="preserve"> (8 </w:t>
      </w:r>
      <w:proofErr w:type="spellStart"/>
      <w:r w:rsidR="008E0524">
        <w:rPr>
          <w:rFonts w:ascii="Arial" w:hAnsi="Arial" w:cs="Arial"/>
          <w:sz w:val="22"/>
        </w:rPr>
        <w:t>ptos</w:t>
      </w:r>
      <w:proofErr w:type="spellEnd"/>
      <w:r w:rsidR="008E0524">
        <w:rPr>
          <w:rFonts w:ascii="Arial" w:hAnsi="Arial" w:cs="Arial"/>
          <w:sz w:val="22"/>
        </w:rPr>
        <w:t>.)</w:t>
      </w:r>
    </w:p>
    <w:p w14:paraId="25510CD7" w14:textId="77777777" w:rsidR="00F321A7" w:rsidRPr="004E6346" w:rsidRDefault="00F321A7" w:rsidP="00572CD1">
      <w:pPr>
        <w:jc w:val="both"/>
        <w:rPr>
          <w:rFonts w:ascii="Arial" w:hAnsi="Arial" w:cs="Arial"/>
          <w:lang w:val="es-ES"/>
        </w:rPr>
      </w:pPr>
    </w:p>
    <w:sectPr w:rsidR="00F321A7" w:rsidRPr="004E6346" w:rsidSect="00254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DE77" w14:textId="77777777" w:rsidR="008A122D" w:rsidRDefault="008A122D" w:rsidP="006D27B6">
      <w:pPr>
        <w:spacing w:after="0" w:line="240" w:lineRule="auto"/>
      </w:pPr>
      <w:r>
        <w:separator/>
      </w:r>
    </w:p>
  </w:endnote>
  <w:endnote w:type="continuationSeparator" w:id="0">
    <w:p w14:paraId="46C9E9DE" w14:textId="77777777" w:rsidR="008A122D" w:rsidRDefault="008A122D" w:rsidP="006D2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75ADB" w14:textId="77777777" w:rsidR="008A122D" w:rsidRDefault="008A122D" w:rsidP="006D27B6">
      <w:pPr>
        <w:spacing w:after="0" w:line="240" w:lineRule="auto"/>
      </w:pPr>
      <w:r>
        <w:separator/>
      </w:r>
    </w:p>
  </w:footnote>
  <w:footnote w:type="continuationSeparator" w:id="0">
    <w:p w14:paraId="1AD48656" w14:textId="77777777" w:rsidR="008A122D" w:rsidRDefault="008A122D" w:rsidP="006D2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7497"/>
    <w:multiLevelType w:val="hybridMultilevel"/>
    <w:tmpl w:val="D2685E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6835"/>
    <w:multiLevelType w:val="hybridMultilevel"/>
    <w:tmpl w:val="23D618FE"/>
    <w:lvl w:ilvl="0" w:tplc="41AEFF34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5233EE"/>
    <w:multiLevelType w:val="hybridMultilevel"/>
    <w:tmpl w:val="C7964E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C04CC"/>
    <w:multiLevelType w:val="hybridMultilevel"/>
    <w:tmpl w:val="F93E8822"/>
    <w:lvl w:ilvl="0" w:tplc="BB844A4E">
      <w:start w:val="1"/>
      <w:numFmt w:val="lowerLetter"/>
      <w:lvlText w:val="%1.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A0E2C77"/>
    <w:multiLevelType w:val="multilevel"/>
    <w:tmpl w:val="96C223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b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58E1775D"/>
    <w:multiLevelType w:val="hybridMultilevel"/>
    <w:tmpl w:val="C7964E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528F8"/>
    <w:multiLevelType w:val="hybridMultilevel"/>
    <w:tmpl w:val="CB52B736"/>
    <w:lvl w:ilvl="0" w:tplc="C3D2C45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51371"/>
    <w:multiLevelType w:val="hybridMultilevel"/>
    <w:tmpl w:val="87428C8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92"/>
    <w:rsid w:val="00032061"/>
    <w:rsid w:val="00054BC1"/>
    <w:rsid w:val="0005698C"/>
    <w:rsid w:val="0008590E"/>
    <w:rsid w:val="000E32E9"/>
    <w:rsid w:val="00105933"/>
    <w:rsid w:val="001063C8"/>
    <w:rsid w:val="00125587"/>
    <w:rsid w:val="001326C5"/>
    <w:rsid w:val="001641FA"/>
    <w:rsid w:val="00200765"/>
    <w:rsid w:val="002310E4"/>
    <w:rsid w:val="002456C6"/>
    <w:rsid w:val="00253398"/>
    <w:rsid w:val="002544DD"/>
    <w:rsid w:val="002C49A7"/>
    <w:rsid w:val="00311435"/>
    <w:rsid w:val="00341F34"/>
    <w:rsid w:val="003823F0"/>
    <w:rsid w:val="00383ADB"/>
    <w:rsid w:val="00392592"/>
    <w:rsid w:val="003A7159"/>
    <w:rsid w:val="0044745C"/>
    <w:rsid w:val="00476E42"/>
    <w:rsid w:val="00493AE7"/>
    <w:rsid w:val="004C13DE"/>
    <w:rsid w:val="004E6346"/>
    <w:rsid w:val="004F1DD7"/>
    <w:rsid w:val="00544F40"/>
    <w:rsid w:val="00562A7F"/>
    <w:rsid w:val="00572CD1"/>
    <w:rsid w:val="00597092"/>
    <w:rsid w:val="005A35B0"/>
    <w:rsid w:val="00605225"/>
    <w:rsid w:val="00622B30"/>
    <w:rsid w:val="0063533A"/>
    <w:rsid w:val="006A7E30"/>
    <w:rsid w:val="006B4345"/>
    <w:rsid w:val="006D27B6"/>
    <w:rsid w:val="0073792E"/>
    <w:rsid w:val="007540B3"/>
    <w:rsid w:val="007A7AD2"/>
    <w:rsid w:val="007B29B3"/>
    <w:rsid w:val="007D3A96"/>
    <w:rsid w:val="007E7559"/>
    <w:rsid w:val="008231E8"/>
    <w:rsid w:val="00884988"/>
    <w:rsid w:val="00884CD9"/>
    <w:rsid w:val="0088736D"/>
    <w:rsid w:val="0089333A"/>
    <w:rsid w:val="008A122D"/>
    <w:rsid w:val="008C479F"/>
    <w:rsid w:val="008C6DBE"/>
    <w:rsid w:val="008E0524"/>
    <w:rsid w:val="008F6156"/>
    <w:rsid w:val="00913F5F"/>
    <w:rsid w:val="00986C0F"/>
    <w:rsid w:val="009A1F71"/>
    <w:rsid w:val="009C5C7E"/>
    <w:rsid w:val="009C6809"/>
    <w:rsid w:val="00A02704"/>
    <w:rsid w:val="00A2242C"/>
    <w:rsid w:val="00A26A52"/>
    <w:rsid w:val="00A73675"/>
    <w:rsid w:val="00B0026E"/>
    <w:rsid w:val="00B5648D"/>
    <w:rsid w:val="00B61370"/>
    <w:rsid w:val="00B73092"/>
    <w:rsid w:val="00B91196"/>
    <w:rsid w:val="00BD5838"/>
    <w:rsid w:val="00BE2062"/>
    <w:rsid w:val="00C36AB2"/>
    <w:rsid w:val="00C37212"/>
    <w:rsid w:val="00C45FBA"/>
    <w:rsid w:val="00C82661"/>
    <w:rsid w:val="00C9291A"/>
    <w:rsid w:val="00CA687D"/>
    <w:rsid w:val="00CF38A2"/>
    <w:rsid w:val="00D21482"/>
    <w:rsid w:val="00D51B9C"/>
    <w:rsid w:val="00D55F66"/>
    <w:rsid w:val="00D758CB"/>
    <w:rsid w:val="00DB4D83"/>
    <w:rsid w:val="00DD56E4"/>
    <w:rsid w:val="00DF4DC9"/>
    <w:rsid w:val="00E80F40"/>
    <w:rsid w:val="00EB45CD"/>
    <w:rsid w:val="00EC0E61"/>
    <w:rsid w:val="00ED235E"/>
    <w:rsid w:val="00F162D3"/>
    <w:rsid w:val="00F321A7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85E2A"/>
  <w15:docId w15:val="{2973C378-607E-4613-8A09-F5031352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4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23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DD56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DD56E4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C36AB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36AB2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">
    <w:name w:val="Title"/>
    <w:basedOn w:val="Normal"/>
    <w:link w:val="TtuloCar"/>
    <w:uiPriority w:val="99"/>
    <w:qFormat/>
    <w:rsid w:val="00C36AB2"/>
    <w:pPr>
      <w:spacing w:after="0" w:line="240" w:lineRule="auto"/>
      <w:jc w:val="center"/>
    </w:pPr>
    <w:rPr>
      <w:rFonts w:ascii="Times New Roman" w:eastAsia="Times New Roman" w:hAnsi="Times New Roman" w:cs="Times New Roman"/>
      <w:sz w:val="96"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C36AB2"/>
    <w:rPr>
      <w:rFonts w:ascii="Times New Roman" w:eastAsia="Times New Roman" w:hAnsi="Times New Roman" w:cs="Times New Roman"/>
      <w:sz w:val="96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6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A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D2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27B6"/>
  </w:style>
  <w:style w:type="paragraph" w:styleId="Piedepgina">
    <w:name w:val="footer"/>
    <w:basedOn w:val="Normal"/>
    <w:link w:val="PiedepginaCar"/>
    <w:uiPriority w:val="99"/>
    <w:semiHidden/>
    <w:unhideWhenUsed/>
    <w:rsid w:val="006D2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Usuario</cp:lastModifiedBy>
  <cp:revision>2</cp:revision>
  <dcterms:created xsi:type="dcterms:W3CDTF">2021-06-24T13:22:00Z</dcterms:created>
  <dcterms:modified xsi:type="dcterms:W3CDTF">2021-06-24T13:22:00Z</dcterms:modified>
</cp:coreProperties>
</file>