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89" w:rsidRPr="00392C89" w:rsidRDefault="00392C89" w:rsidP="00392C89">
      <w:pPr>
        <w:autoSpaceDE w:val="0"/>
        <w:autoSpaceDN w:val="0"/>
        <w:adjustRightInd w:val="0"/>
        <w:spacing w:line="276" w:lineRule="auto"/>
        <w:jc w:val="center"/>
        <w:rPr>
          <w:rFonts w:eastAsia="Calibri" w:cs="Arial"/>
          <w:b/>
          <w:snapToGrid/>
          <w:sz w:val="24"/>
          <w:szCs w:val="24"/>
          <w:lang w:val="es-PE" w:eastAsia="en-US"/>
        </w:rPr>
      </w:pPr>
      <w:r w:rsidRPr="00392C89">
        <w:rPr>
          <w:rFonts w:eastAsia="Calibri" w:cs="Arial"/>
          <w:b/>
          <w:snapToGrid/>
          <w:sz w:val="24"/>
          <w:szCs w:val="24"/>
          <w:lang w:val="es-PE" w:eastAsia="en-US"/>
        </w:rPr>
        <w:t>CASO DERIVADOS LACTEOS</w:t>
      </w:r>
    </w:p>
    <w:p w:rsidR="00392C89" w:rsidRDefault="00392C89" w:rsidP="00392C89">
      <w:pPr>
        <w:autoSpaceDE w:val="0"/>
        <w:autoSpaceDN w:val="0"/>
        <w:adjustRightInd w:val="0"/>
        <w:spacing w:line="276" w:lineRule="auto"/>
        <w:jc w:val="both"/>
        <w:rPr>
          <w:rFonts w:eastAsia="Calibri" w:cs="Arial"/>
          <w:snapToGrid/>
          <w:sz w:val="24"/>
          <w:szCs w:val="24"/>
          <w:lang w:val="es-PE" w:eastAsia="en-US"/>
        </w:rPr>
      </w:pPr>
    </w:p>
    <w:p w:rsidR="00392C89" w:rsidRPr="00932B93" w:rsidRDefault="00392C89" w:rsidP="00932B93">
      <w:pPr>
        <w:autoSpaceDE w:val="0"/>
        <w:autoSpaceDN w:val="0"/>
        <w:adjustRightInd w:val="0"/>
        <w:jc w:val="both"/>
        <w:rPr>
          <w:rFonts w:eastAsia="Calibri" w:cs="Arial"/>
          <w:snapToGrid/>
          <w:lang w:val="es-PE" w:eastAsia="en-US"/>
        </w:rPr>
      </w:pPr>
      <w:r w:rsidRPr="00932B93">
        <w:rPr>
          <w:rFonts w:eastAsia="Calibri" w:cs="Arial"/>
          <w:snapToGrid/>
          <w:lang w:val="es-PE" w:eastAsia="en-US"/>
        </w:rPr>
        <w:t xml:space="preserve">La presa de </w:t>
      </w:r>
      <w:proofErr w:type="spellStart"/>
      <w:r w:rsidRPr="00932B93">
        <w:rPr>
          <w:rFonts w:eastAsia="Calibri" w:cs="Arial"/>
          <w:snapToGrid/>
          <w:lang w:val="es-PE" w:eastAsia="en-US"/>
        </w:rPr>
        <w:t>Cuchuquesera</w:t>
      </w:r>
      <w:proofErr w:type="spellEnd"/>
      <w:r w:rsidRPr="00932B93">
        <w:rPr>
          <w:rFonts w:eastAsia="Calibri" w:cs="Arial"/>
          <w:snapToGrid/>
          <w:lang w:val="es-PE" w:eastAsia="en-US"/>
        </w:rPr>
        <w:t xml:space="preserve"> ha sido instalada en terrenos de la comunidad de San Juan </w:t>
      </w:r>
      <w:proofErr w:type="spellStart"/>
      <w:r w:rsidRPr="00932B93">
        <w:rPr>
          <w:rFonts w:eastAsia="Calibri" w:cs="Arial"/>
          <w:snapToGrid/>
          <w:lang w:val="es-PE" w:eastAsia="en-US"/>
        </w:rPr>
        <w:t>Cuchuquesera</w:t>
      </w:r>
      <w:proofErr w:type="spellEnd"/>
      <w:r w:rsidRPr="00932B93">
        <w:rPr>
          <w:rFonts w:eastAsia="Calibri" w:cs="Arial"/>
          <w:snapToGrid/>
          <w:lang w:val="es-PE" w:eastAsia="en-US"/>
        </w:rPr>
        <w:t xml:space="preserve">, vaso que antes era dedicado al pastoreo de ganado vacuno criollo de la comunidad. Actualmente la comunidad agropecuaria andina  posee terrenos, la mayoría sin riego, dedicados al pastoreo y producción de avena forrajera para la crianza de ganados vacuno de raza criolla, cruzada con Brown </w:t>
      </w:r>
      <w:proofErr w:type="spellStart"/>
      <w:r w:rsidRPr="00932B93">
        <w:rPr>
          <w:rFonts w:eastAsia="Calibri" w:cs="Arial"/>
          <w:snapToGrid/>
          <w:lang w:val="es-PE" w:eastAsia="en-US"/>
        </w:rPr>
        <w:t>Swiss</w:t>
      </w:r>
      <w:proofErr w:type="spellEnd"/>
      <w:r w:rsidRPr="00932B93">
        <w:rPr>
          <w:rFonts w:eastAsia="Calibri" w:cs="Arial"/>
          <w:snapToGrid/>
          <w:lang w:val="es-PE" w:eastAsia="en-US"/>
        </w:rPr>
        <w:t>, produciendo y comercializando queso fresco de 150grs (cachipa) a los acopiadores locales a un precio de 1.5 nuevos soles la unidad.</w:t>
      </w:r>
    </w:p>
    <w:p w:rsidR="00392C89" w:rsidRPr="00932B93" w:rsidRDefault="00392C89" w:rsidP="00932B93">
      <w:pPr>
        <w:autoSpaceDE w:val="0"/>
        <w:autoSpaceDN w:val="0"/>
        <w:adjustRightInd w:val="0"/>
        <w:jc w:val="both"/>
        <w:rPr>
          <w:rFonts w:eastAsia="Calibri" w:cs="Arial"/>
          <w:snapToGrid/>
          <w:lang w:val="es-PE" w:eastAsia="en-US"/>
        </w:rPr>
      </w:pPr>
    </w:p>
    <w:p w:rsidR="00392C89" w:rsidRPr="00932B93" w:rsidRDefault="00392C89" w:rsidP="00932B93">
      <w:pPr>
        <w:autoSpaceDE w:val="0"/>
        <w:autoSpaceDN w:val="0"/>
        <w:adjustRightInd w:val="0"/>
        <w:jc w:val="both"/>
        <w:rPr>
          <w:rFonts w:eastAsia="Calibri" w:cs="Arial"/>
          <w:snapToGrid/>
          <w:lang w:val="es-PE" w:eastAsia="en-US"/>
        </w:rPr>
      </w:pPr>
      <w:r w:rsidRPr="00932B93">
        <w:rPr>
          <w:rFonts w:eastAsia="Calibri" w:cs="Arial"/>
          <w:snapToGrid/>
          <w:lang w:val="es-PE" w:eastAsia="en-US"/>
        </w:rPr>
        <w:t>La comunidad cuenta en los momentos actuales con recursos como terreno, ganado, infraestructura en construcción de un establo y los recursos humanos en proceso de capacitación en la producción de derivados lácteos por lo que, se hace necesario  mejorar a nivel de competencias y capacidades productivas, empresariales y de articulación al mercado que les permita desarrollar acciones de producción y venta de un portafolio de productos con registro sanitario y marca única para el mercado de la ciudad de Ayacucho.</w:t>
      </w:r>
    </w:p>
    <w:p w:rsidR="00F6153A" w:rsidRPr="00932B93" w:rsidRDefault="00F6153A" w:rsidP="00932B93">
      <w:pPr>
        <w:jc w:val="both"/>
        <w:rPr>
          <w:rFonts w:cs="Arial"/>
        </w:rPr>
      </w:pPr>
    </w:p>
    <w:p w:rsidR="009B1C7C" w:rsidRPr="00932B93" w:rsidRDefault="00EC21B9" w:rsidP="00932B93">
      <w:pPr>
        <w:jc w:val="both"/>
        <w:rPr>
          <w:rFonts w:cs="Arial"/>
        </w:rPr>
      </w:pPr>
      <w:r w:rsidRPr="00932B93">
        <w:rPr>
          <w:rFonts w:cs="Arial"/>
        </w:rPr>
        <w:t xml:space="preserve">En el estudio de mercado se </w:t>
      </w:r>
      <w:proofErr w:type="spellStart"/>
      <w:r w:rsidRPr="00932B93">
        <w:rPr>
          <w:rFonts w:cs="Arial"/>
        </w:rPr>
        <w:t>determino</w:t>
      </w:r>
      <w:proofErr w:type="spellEnd"/>
      <w:r w:rsidRPr="00932B93">
        <w:rPr>
          <w:rFonts w:cs="Arial"/>
        </w:rPr>
        <w:t xml:space="preserve"> la existencia de demanda insatisfecha para 3 </w:t>
      </w:r>
    </w:p>
    <w:p w:rsidR="009B1C7C" w:rsidRPr="00932B93" w:rsidRDefault="00EC21B9" w:rsidP="00932B93">
      <w:pPr>
        <w:jc w:val="both"/>
        <w:rPr>
          <w:rFonts w:cs="Arial"/>
        </w:rPr>
      </w:pPr>
      <w:proofErr w:type="gramStart"/>
      <w:r w:rsidRPr="00932B93">
        <w:rPr>
          <w:rFonts w:cs="Arial"/>
        </w:rPr>
        <w:t>productos</w:t>
      </w:r>
      <w:proofErr w:type="gramEnd"/>
      <w:r w:rsidRPr="00932B93">
        <w:rPr>
          <w:rFonts w:cs="Arial"/>
        </w:rPr>
        <w:t xml:space="preserve"> ( queso </w:t>
      </w:r>
      <w:proofErr w:type="spellStart"/>
      <w:r w:rsidRPr="00932B93">
        <w:rPr>
          <w:rFonts w:cs="Arial"/>
        </w:rPr>
        <w:t>fr</w:t>
      </w:r>
      <w:proofErr w:type="spellEnd"/>
      <w:r w:rsidR="009B1C7C" w:rsidRPr="00932B93">
        <w:rPr>
          <w:rFonts w:cs="Arial"/>
        </w:rPr>
        <w:t xml:space="preserve"> </w:t>
      </w:r>
      <w:proofErr w:type="spellStart"/>
      <w:r w:rsidR="009B1C7C" w:rsidRPr="00932B93">
        <w:rPr>
          <w:rFonts w:cs="Arial"/>
        </w:rPr>
        <w:t>esco</w:t>
      </w:r>
      <w:proofErr w:type="spellEnd"/>
      <w:r w:rsidR="009B1C7C" w:rsidRPr="00932B93">
        <w:rPr>
          <w:rFonts w:cs="Arial"/>
        </w:rPr>
        <w:t xml:space="preserve"> de 150 </w:t>
      </w:r>
      <w:proofErr w:type="spellStart"/>
      <w:r w:rsidR="009B1C7C" w:rsidRPr="00932B93">
        <w:rPr>
          <w:rFonts w:cs="Arial"/>
        </w:rPr>
        <w:t>grs</w:t>
      </w:r>
      <w:proofErr w:type="spellEnd"/>
      <w:r w:rsidR="009B1C7C" w:rsidRPr="00932B93">
        <w:rPr>
          <w:rFonts w:cs="Arial"/>
        </w:rPr>
        <w:t xml:space="preserve">., </w:t>
      </w:r>
      <w:proofErr w:type="spellStart"/>
      <w:r w:rsidR="009B1C7C" w:rsidRPr="00932B93">
        <w:rPr>
          <w:rFonts w:cs="Arial"/>
        </w:rPr>
        <w:t>quesol</w:t>
      </w:r>
      <w:proofErr w:type="spellEnd"/>
      <w:r w:rsidR="009B1C7C" w:rsidRPr="00932B93">
        <w:rPr>
          <w:rFonts w:cs="Arial"/>
        </w:rPr>
        <w:t xml:space="preserve"> en molde  (1 </w:t>
      </w:r>
      <w:proofErr w:type="spellStart"/>
      <w:r w:rsidR="009B1C7C" w:rsidRPr="00932B93">
        <w:rPr>
          <w:rFonts w:cs="Arial"/>
        </w:rPr>
        <w:t>kgr</w:t>
      </w:r>
      <w:proofErr w:type="spellEnd"/>
      <w:r w:rsidR="009B1C7C" w:rsidRPr="00932B93">
        <w:rPr>
          <w:rFonts w:cs="Arial"/>
        </w:rPr>
        <w:t>.) y yogurt de 1 litro).</w:t>
      </w:r>
    </w:p>
    <w:p w:rsidR="009B1C7C" w:rsidRPr="00932B93" w:rsidRDefault="009B1C7C" w:rsidP="00932B93">
      <w:pPr>
        <w:jc w:val="both"/>
        <w:rPr>
          <w:rFonts w:cs="Arial"/>
        </w:rPr>
      </w:pPr>
    </w:p>
    <w:p w:rsidR="009B1C7C" w:rsidRPr="00932B93" w:rsidRDefault="009745BA" w:rsidP="00932B93">
      <w:pPr>
        <w:jc w:val="both"/>
        <w:rPr>
          <w:rFonts w:cs="Arial"/>
        </w:rPr>
      </w:pPr>
      <w:r w:rsidRPr="00932B93">
        <w:rPr>
          <w:rFonts w:cs="Arial"/>
        </w:rPr>
        <w:t>Un programa de Gobierno Regional ha decidido apoyarlos con financiamiento para impulsar el Plan de Negocios, l</w:t>
      </w:r>
      <w:r w:rsidR="009B1C7C" w:rsidRPr="00932B93">
        <w:rPr>
          <w:rFonts w:cs="Arial"/>
        </w:rPr>
        <w:t>a comunidad cuenta con recursos tangibles, lo que se considerara como aporte consistente 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553"/>
      </w:tblGrid>
      <w:tr w:rsidR="009B1C7C" w:rsidRPr="00932B93" w:rsidTr="00932B93">
        <w:tc>
          <w:tcPr>
            <w:tcW w:w="4390" w:type="dxa"/>
            <w:shd w:val="clear" w:color="auto" w:fill="BFBFBF" w:themeFill="background1" w:themeFillShade="BF"/>
          </w:tcPr>
          <w:p w:rsidR="009B1C7C" w:rsidRPr="00932B93" w:rsidRDefault="009B1C7C" w:rsidP="00932B93">
            <w:pPr>
              <w:jc w:val="center"/>
              <w:rPr>
                <w:rFonts w:cs="Arial"/>
                <w:b/>
              </w:rPr>
            </w:pPr>
            <w:r w:rsidRPr="00932B93">
              <w:rPr>
                <w:rFonts w:cs="Arial"/>
                <w:b/>
              </w:rPr>
              <w:t>ACTIVOS FIJOS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9B1C7C" w:rsidRPr="00932B93" w:rsidRDefault="00932B93" w:rsidP="00932B9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:rsidR="009B1C7C" w:rsidRPr="00932B93" w:rsidRDefault="009745BA" w:rsidP="00932B93">
            <w:pPr>
              <w:jc w:val="center"/>
              <w:rPr>
                <w:rFonts w:cs="Arial"/>
                <w:b/>
              </w:rPr>
            </w:pPr>
            <w:r w:rsidRPr="00932B93">
              <w:rPr>
                <w:rFonts w:cs="Arial"/>
                <w:b/>
              </w:rPr>
              <w:t>COSTO</w:t>
            </w:r>
            <w:r w:rsidR="00932B93">
              <w:rPr>
                <w:rFonts w:cs="Arial"/>
                <w:b/>
              </w:rPr>
              <w:t xml:space="preserve"> S/.</w:t>
            </w:r>
          </w:p>
        </w:tc>
      </w:tr>
      <w:tr w:rsidR="009B1C7C" w:rsidRPr="00932B93" w:rsidTr="009745BA">
        <w:tc>
          <w:tcPr>
            <w:tcW w:w="4390" w:type="dxa"/>
          </w:tcPr>
          <w:p w:rsidR="009B1C7C" w:rsidRPr="00932B93" w:rsidRDefault="009745BA" w:rsidP="00932B93">
            <w:pPr>
              <w:jc w:val="both"/>
              <w:rPr>
                <w:rFonts w:cs="Arial"/>
              </w:rPr>
            </w:pPr>
            <w:r w:rsidRPr="00932B93">
              <w:rPr>
                <w:rFonts w:cs="Arial"/>
              </w:rPr>
              <w:t>Instalación de terreno con avena forrajera</w:t>
            </w:r>
          </w:p>
        </w:tc>
        <w:tc>
          <w:tcPr>
            <w:tcW w:w="2551" w:type="dxa"/>
          </w:tcPr>
          <w:p w:rsidR="009B1C7C" w:rsidRPr="00932B93" w:rsidRDefault="009745BA" w:rsidP="00932B93">
            <w:pPr>
              <w:jc w:val="both"/>
              <w:rPr>
                <w:rFonts w:cs="Arial"/>
              </w:rPr>
            </w:pPr>
            <w:r w:rsidRPr="00932B93">
              <w:rPr>
                <w:rFonts w:cs="Arial"/>
              </w:rPr>
              <w:t>15 hectáreas</w:t>
            </w:r>
          </w:p>
        </w:tc>
        <w:tc>
          <w:tcPr>
            <w:tcW w:w="1553" w:type="dxa"/>
          </w:tcPr>
          <w:p w:rsidR="009B1C7C" w:rsidRPr="00932B93" w:rsidRDefault="00932B93" w:rsidP="00932B9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500 </w:t>
            </w:r>
            <w:r w:rsidR="009745BA" w:rsidRPr="00932B93">
              <w:rPr>
                <w:rFonts w:cs="Arial"/>
              </w:rPr>
              <w:t>/</w:t>
            </w:r>
            <w:proofErr w:type="spellStart"/>
            <w:r w:rsidR="009745BA" w:rsidRPr="00932B93">
              <w:rPr>
                <w:rFonts w:cs="Arial"/>
              </w:rPr>
              <w:t>Há</w:t>
            </w:r>
            <w:proofErr w:type="spellEnd"/>
          </w:p>
        </w:tc>
      </w:tr>
      <w:tr w:rsidR="009B1C7C" w:rsidRPr="00932B93" w:rsidTr="009745BA">
        <w:tc>
          <w:tcPr>
            <w:tcW w:w="4390" w:type="dxa"/>
          </w:tcPr>
          <w:p w:rsidR="009B1C7C" w:rsidRPr="00932B93" w:rsidRDefault="009745BA" w:rsidP="00932B93">
            <w:pPr>
              <w:jc w:val="both"/>
              <w:rPr>
                <w:rFonts w:cs="Arial"/>
              </w:rPr>
            </w:pPr>
            <w:r w:rsidRPr="00932B93">
              <w:rPr>
                <w:rFonts w:cs="Arial"/>
              </w:rPr>
              <w:t>Costo de alquiler de terreno en comunidad</w:t>
            </w:r>
          </w:p>
        </w:tc>
        <w:tc>
          <w:tcPr>
            <w:tcW w:w="2551" w:type="dxa"/>
          </w:tcPr>
          <w:p w:rsidR="009B1C7C" w:rsidRPr="00932B93" w:rsidRDefault="009745BA" w:rsidP="00932B93">
            <w:pPr>
              <w:jc w:val="both"/>
              <w:rPr>
                <w:rFonts w:cs="Arial"/>
              </w:rPr>
            </w:pPr>
            <w:r w:rsidRPr="00932B93">
              <w:rPr>
                <w:rFonts w:cs="Arial"/>
              </w:rPr>
              <w:t xml:space="preserve">30 </w:t>
            </w:r>
            <w:r w:rsidR="00932B93" w:rsidRPr="00932B93">
              <w:rPr>
                <w:rFonts w:cs="Arial"/>
              </w:rPr>
              <w:t>hectáreas</w:t>
            </w:r>
          </w:p>
        </w:tc>
        <w:tc>
          <w:tcPr>
            <w:tcW w:w="1553" w:type="dxa"/>
          </w:tcPr>
          <w:p w:rsidR="009B1C7C" w:rsidRPr="00932B93" w:rsidRDefault="00932B93" w:rsidP="00932B9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500 </w:t>
            </w:r>
            <w:r w:rsidR="009745BA" w:rsidRPr="00932B93">
              <w:rPr>
                <w:rFonts w:cs="Arial"/>
              </w:rPr>
              <w:t>./</w:t>
            </w:r>
            <w:proofErr w:type="spellStart"/>
            <w:r w:rsidR="009745BA" w:rsidRPr="00932B93">
              <w:rPr>
                <w:rFonts w:cs="Arial"/>
              </w:rPr>
              <w:t>Há</w:t>
            </w:r>
            <w:proofErr w:type="spellEnd"/>
          </w:p>
        </w:tc>
      </w:tr>
      <w:tr w:rsidR="009B1C7C" w:rsidRPr="00932B93" w:rsidTr="009745BA">
        <w:tc>
          <w:tcPr>
            <w:tcW w:w="4390" w:type="dxa"/>
          </w:tcPr>
          <w:p w:rsidR="009B1C7C" w:rsidRPr="00932B93" w:rsidRDefault="00D1036D" w:rsidP="00932B93">
            <w:pPr>
              <w:jc w:val="both"/>
              <w:rPr>
                <w:rFonts w:cs="Arial"/>
              </w:rPr>
            </w:pPr>
            <w:r w:rsidRPr="00932B93">
              <w:rPr>
                <w:rFonts w:cs="Arial"/>
              </w:rPr>
              <w:t>Valor de g</w:t>
            </w:r>
            <w:r w:rsidR="009745BA" w:rsidRPr="00932B93">
              <w:rPr>
                <w:rFonts w:cs="Arial"/>
              </w:rPr>
              <w:t>anado vacuno de la comunidad</w:t>
            </w:r>
          </w:p>
        </w:tc>
        <w:tc>
          <w:tcPr>
            <w:tcW w:w="2551" w:type="dxa"/>
          </w:tcPr>
          <w:p w:rsidR="009B1C7C" w:rsidRPr="00932B93" w:rsidRDefault="009745BA" w:rsidP="00932B93">
            <w:pPr>
              <w:jc w:val="both"/>
              <w:rPr>
                <w:rFonts w:cs="Arial"/>
              </w:rPr>
            </w:pPr>
            <w:r w:rsidRPr="00932B93">
              <w:rPr>
                <w:rFonts w:cs="Arial"/>
              </w:rPr>
              <w:t>Lote</w:t>
            </w:r>
          </w:p>
        </w:tc>
        <w:tc>
          <w:tcPr>
            <w:tcW w:w="1553" w:type="dxa"/>
          </w:tcPr>
          <w:p w:rsidR="009B1C7C" w:rsidRPr="00932B93" w:rsidRDefault="00932B93" w:rsidP="00932B9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50,000 </w:t>
            </w:r>
          </w:p>
        </w:tc>
      </w:tr>
    </w:tbl>
    <w:p w:rsidR="009745BA" w:rsidRPr="00932B93" w:rsidRDefault="009745BA" w:rsidP="00932B93">
      <w:pPr>
        <w:jc w:val="both"/>
        <w:rPr>
          <w:rFonts w:cs="Arial"/>
        </w:rPr>
      </w:pPr>
    </w:p>
    <w:p w:rsidR="009B1C7C" w:rsidRPr="00932B93" w:rsidRDefault="009745BA" w:rsidP="00932B93">
      <w:pPr>
        <w:jc w:val="both"/>
        <w:rPr>
          <w:rFonts w:cs="Arial"/>
        </w:rPr>
      </w:pPr>
      <w:r w:rsidRPr="00932B93">
        <w:rPr>
          <w:rFonts w:cs="Arial"/>
        </w:rPr>
        <w:t>El Proyecto</w:t>
      </w:r>
      <w:r w:rsidR="00D1036D" w:rsidRPr="00932B93">
        <w:rPr>
          <w:rFonts w:cs="Arial"/>
        </w:rPr>
        <w:t xml:space="preserve"> de la DRA </w:t>
      </w:r>
      <w:r w:rsidRPr="00932B93">
        <w:rPr>
          <w:rFonts w:cs="Arial"/>
        </w:rPr>
        <w:t xml:space="preserve"> aportara con las siguientes inversiones: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1553"/>
      </w:tblGrid>
      <w:tr w:rsidR="00932B93" w:rsidRPr="00932B93" w:rsidTr="00932B93">
        <w:tc>
          <w:tcPr>
            <w:tcW w:w="5098" w:type="dxa"/>
            <w:shd w:val="clear" w:color="auto" w:fill="BFBFBF" w:themeFill="background1" w:themeFillShade="BF"/>
          </w:tcPr>
          <w:p w:rsidR="00932B93" w:rsidRPr="00932B93" w:rsidRDefault="00932B93" w:rsidP="00DE5E7E">
            <w:pPr>
              <w:jc w:val="center"/>
              <w:rPr>
                <w:rFonts w:cs="Arial"/>
                <w:b/>
              </w:rPr>
            </w:pPr>
            <w:r w:rsidRPr="00932B93">
              <w:rPr>
                <w:rFonts w:cs="Arial"/>
                <w:b/>
              </w:rPr>
              <w:t>ACTIVOS FIJOS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32B93" w:rsidRPr="00932B93" w:rsidRDefault="00932B93" w:rsidP="00DE5E7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:rsidR="00932B93" w:rsidRPr="00932B93" w:rsidRDefault="00932B93" w:rsidP="00DE5E7E">
            <w:pPr>
              <w:jc w:val="center"/>
              <w:rPr>
                <w:rFonts w:cs="Arial"/>
                <w:b/>
              </w:rPr>
            </w:pPr>
            <w:r w:rsidRPr="00932B93">
              <w:rPr>
                <w:rFonts w:cs="Arial"/>
                <w:b/>
              </w:rPr>
              <w:t>COSTO</w:t>
            </w:r>
            <w:r>
              <w:rPr>
                <w:rFonts w:cs="Arial"/>
                <w:b/>
              </w:rPr>
              <w:t xml:space="preserve"> S/.</w:t>
            </w:r>
          </w:p>
        </w:tc>
      </w:tr>
      <w:tr w:rsidR="00932B93" w:rsidRPr="00932B93" w:rsidTr="00932B93">
        <w:tc>
          <w:tcPr>
            <w:tcW w:w="5098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Ganado vacuno de raza</w:t>
            </w:r>
          </w:p>
        </w:tc>
        <w:tc>
          <w:tcPr>
            <w:tcW w:w="184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20 vacas</w:t>
            </w:r>
          </w:p>
        </w:tc>
        <w:tc>
          <w:tcPr>
            <w:tcW w:w="155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5000/vaca</w:t>
            </w:r>
          </w:p>
        </w:tc>
      </w:tr>
      <w:tr w:rsidR="00932B93" w:rsidRPr="00932B93" w:rsidTr="00932B93">
        <w:tc>
          <w:tcPr>
            <w:tcW w:w="5098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Equipos y herramientas</w:t>
            </w:r>
          </w:p>
        </w:tc>
        <w:tc>
          <w:tcPr>
            <w:tcW w:w="184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Lote</w:t>
            </w:r>
          </w:p>
        </w:tc>
        <w:tc>
          <w:tcPr>
            <w:tcW w:w="155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20,000 </w:t>
            </w:r>
          </w:p>
        </w:tc>
      </w:tr>
      <w:tr w:rsidR="00932B93" w:rsidRPr="00932B93" w:rsidTr="00932B93">
        <w:tc>
          <w:tcPr>
            <w:tcW w:w="5098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Registros de contribuyente, marca y sanitario</w:t>
            </w:r>
          </w:p>
        </w:tc>
        <w:tc>
          <w:tcPr>
            <w:tcW w:w="184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Global</w:t>
            </w:r>
          </w:p>
        </w:tc>
        <w:tc>
          <w:tcPr>
            <w:tcW w:w="155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2,000</w:t>
            </w:r>
          </w:p>
        </w:tc>
      </w:tr>
      <w:tr w:rsidR="00932B93" w:rsidRPr="00932B93" w:rsidTr="00932B93">
        <w:tc>
          <w:tcPr>
            <w:tcW w:w="5098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Capacitación técnica productiva al personal</w:t>
            </w:r>
          </w:p>
        </w:tc>
        <w:tc>
          <w:tcPr>
            <w:tcW w:w="1843" w:type="dxa"/>
          </w:tcPr>
          <w:p w:rsidR="00932B93" w:rsidRPr="00932B93" w:rsidRDefault="00932B93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Global</w:t>
            </w:r>
          </w:p>
        </w:tc>
        <w:tc>
          <w:tcPr>
            <w:tcW w:w="1553" w:type="dxa"/>
          </w:tcPr>
          <w:p w:rsidR="00932B93" w:rsidRPr="00932B93" w:rsidRDefault="003B6E44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6,000</w:t>
            </w:r>
          </w:p>
        </w:tc>
      </w:tr>
    </w:tbl>
    <w:p w:rsidR="009745BA" w:rsidRPr="00932B93" w:rsidRDefault="009745BA" w:rsidP="00932B93">
      <w:pPr>
        <w:jc w:val="both"/>
        <w:rPr>
          <w:rFonts w:cs="Arial"/>
        </w:rPr>
      </w:pPr>
    </w:p>
    <w:p w:rsidR="00A5086E" w:rsidRPr="00932B93" w:rsidRDefault="00232A75" w:rsidP="00932B93">
      <w:pPr>
        <w:jc w:val="both"/>
        <w:rPr>
          <w:rFonts w:cs="Arial"/>
        </w:rPr>
      </w:pPr>
      <w:r w:rsidRPr="00932B93">
        <w:rPr>
          <w:rFonts w:cs="Arial"/>
        </w:rPr>
        <w:t>Equipo y herramientas tienen una vida útil de 10 años</w:t>
      </w:r>
    </w:p>
    <w:p w:rsidR="00A5086E" w:rsidRPr="00932B93" w:rsidRDefault="00A5086E" w:rsidP="00932B93">
      <w:pPr>
        <w:jc w:val="both"/>
        <w:rPr>
          <w:rFonts w:cs="Arial"/>
        </w:rPr>
      </w:pPr>
      <w:r w:rsidRPr="00932B93">
        <w:rPr>
          <w:rFonts w:cs="Arial"/>
        </w:rPr>
        <w:t>El capital de trabajo requerido es para 30 días de producción y venta de los productos y será financiado mediante un préstamo que realizara la comunidad de una cooperativa local a un interés preferencial de 1% mensual, pagaderos en 2 años</w:t>
      </w:r>
    </w:p>
    <w:p w:rsidR="00A5086E" w:rsidRPr="00932B93" w:rsidRDefault="00A5086E" w:rsidP="00932B93">
      <w:pPr>
        <w:jc w:val="both"/>
        <w:rPr>
          <w:rFonts w:cs="Arial"/>
        </w:rPr>
      </w:pPr>
    </w:p>
    <w:p w:rsidR="003B6E44" w:rsidRDefault="00F45B78" w:rsidP="00932B93">
      <w:pPr>
        <w:jc w:val="both"/>
        <w:rPr>
          <w:rFonts w:cs="Arial"/>
        </w:rPr>
      </w:pPr>
      <w:r>
        <w:rPr>
          <w:rFonts w:cs="Arial"/>
        </w:rPr>
        <w:t xml:space="preserve">Los costos </w:t>
      </w:r>
      <w:r w:rsidR="00A5086E" w:rsidRPr="00932B93">
        <w:rPr>
          <w:rFonts w:cs="Arial"/>
        </w:rPr>
        <w:t xml:space="preserve"> variables</w:t>
      </w:r>
      <w:r>
        <w:rPr>
          <w:rFonts w:cs="Arial"/>
        </w:rPr>
        <w:t xml:space="preserve"> unitarios de producción y precios de venta </w:t>
      </w:r>
      <w:proofErr w:type="gramStart"/>
      <w:r>
        <w:rPr>
          <w:rFonts w:cs="Arial"/>
        </w:rPr>
        <w:t>unitario</w:t>
      </w:r>
      <w:proofErr w:type="gramEnd"/>
      <w:r>
        <w:rPr>
          <w:rFonts w:cs="Arial"/>
        </w:rPr>
        <w:t xml:space="preserve"> son los que se muestran en el siguiente cuadro:</w:t>
      </w:r>
    </w:p>
    <w:p w:rsidR="00F45B78" w:rsidRDefault="00F45B78" w:rsidP="00932B93">
      <w:pPr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1553"/>
      </w:tblGrid>
      <w:tr w:rsidR="00F45B78" w:rsidRPr="00932B93" w:rsidTr="00DE5E7E">
        <w:tc>
          <w:tcPr>
            <w:tcW w:w="5098" w:type="dxa"/>
            <w:shd w:val="clear" w:color="auto" w:fill="BFBFBF" w:themeFill="background1" w:themeFillShade="BF"/>
          </w:tcPr>
          <w:p w:rsidR="00F45B78" w:rsidRPr="00932B93" w:rsidRDefault="00F45B78" w:rsidP="00DE5E7E">
            <w:pPr>
              <w:jc w:val="center"/>
              <w:rPr>
                <w:rFonts w:cs="Arial"/>
                <w:b/>
              </w:rPr>
            </w:pPr>
            <w:r w:rsidRPr="00932B93">
              <w:rPr>
                <w:rFonts w:cs="Arial"/>
                <w:b/>
              </w:rPr>
              <w:t>ACTIVOS FIJOS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45B78" w:rsidRPr="00932B93" w:rsidRDefault="00F45B78" w:rsidP="00DE5E7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:rsidR="00F45B78" w:rsidRPr="00932B93" w:rsidRDefault="00F45B78" w:rsidP="00DE5E7E">
            <w:pPr>
              <w:jc w:val="center"/>
              <w:rPr>
                <w:rFonts w:cs="Arial"/>
                <w:b/>
              </w:rPr>
            </w:pPr>
            <w:r w:rsidRPr="00932B93">
              <w:rPr>
                <w:rFonts w:cs="Arial"/>
                <w:b/>
              </w:rPr>
              <w:t>COSTO</w:t>
            </w:r>
            <w:r>
              <w:rPr>
                <w:rFonts w:cs="Arial"/>
                <w:b/>
              </w:rPr>
              <w:t xml:space="preserve"> S/.</w:t>
            </w:r>
          </w:p>
        </w:tc>
      </w:tr>
      <w:tr w:rsidR="00F45B78" w:rsidRPr="00932B93" w:rsidTr="00DE5E7E">
        <w:tc>
          <w:tcPr>
            <w:tcW w:w="5098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Ganado vac</w:t>
            </w:r>
            <w:bookmarkStart w:id="0" w:name="_GoBack"/>
            <w:bookmarkEnd w:id="0"/>
            <w:r>
              <w:rPr>
                <w:rFonts w:cs="Arial"/>
              </w:rPr>
              <w:t>uno de raza</w:t>
            </w:r>
          </w:p>
        </w:tc>
        <w:tc>
          <w:tcPr>
            <w:tcW w:w="184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20 vacas</w:t>
            </w:r>
          </w:p>
        </w:tc>
        <w:tc>
          <w:tcPr>
            <w:tcW w:w="155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5000/vaca</w:t>
            </w:r>
          </w:p>
        </w:tc>
      </w:tr>
      <w:tr w:rsidR="00F45B78" w:rsidRPr="00932B93" w:rsidTr="00DE5E7E">
        <w:tc>
          <w:tcPr>
            <w:tcW w:w="5098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Equipos y herramientas</w:t>
            </w:r>
          </w:p>
        </w:tc>
        <w:tc>
          <w:tcPr>
            <w:tcW w:w="184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Lote</w:t>
            </w:r>
          </w:p>
        </w:tc>
        <w:tc>
          <w:tcPr>
            <w:tcW w:w="155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20,000 </w:t>
            </w:r>
          </w:p>
        </w:tc>
      </w:tr>
      <w:tr w:rsidR="00F45B78" w:rsidRPr="00932B93" w:rsidTr="00DE5E7E">
        <w:tc>
          <w:tcPr>
            <w:tcW w:w="5098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Registros de contribuyente, marca y sanitario</w:t>
            </w:r>
          </w:p>
        </w:tc>
        <w:tc>
          <w:tcPr>
            <w:tcW w:w="184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Global</w:t>
            </w:r>
          </w:p>
        </w:tc>
        <w:tc>
          <w:tcPr>
            <w:tcW w:w="155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2,000</w:t>
            </w:r>
          </w:p>
        </w:tc>
      </w:tr>
      <w:tr w:rsidR="00F45B78" w:rsidRPr="00932B93" w:rsidTr="00DE5E7E">
        <w:tc>
          <w:tcPr>
            <w:tcW w:w="5098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Capacitación técnica productiva al personal</w:t>
            </w:r>
          </w:p>
        </w:tc>
        <w:tc>
          <w:tcPr>
            <w:tcW w:w="184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Global</w:t>
            </w:r>
          </w:p>
        </w:tc>
        <w:tc>
          <w:tcPr>
            <w:tcW w:w="1553" w:type="dxa"/>
          </w:tcPr>
          <w:p w:rsidR="00F45B78" w:rsidRPr="00932B93" w:rsidRDefault="00F45B78" w:rsidP="00DE5E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6,000</w:t>
            </w:r>
          </w:p>
        </w:tc>
      </w:tr>
    </w:tbl>
    <w:p w:rsidR="003B6E44" w:rsidRDefault="003B6E44" w:rsidP="00932B93">
      <w:pPr>
        <w:jc w:val="both"/>
        <w:rPr>
          <w:rFonts w:cs="Arial"/>
        </w:rPr>
      </w:pPr>
    </w:p>
    <w:p w:rsidR="003B6E44" w:rsidRDefault="003B6E44" w:rsidP="00932B93">
      <w:pPr>
        <w:jc w:val="both"/>
        <w:rPr>
          <w:rFonts w:cs="Arial"/>
        </w:rPr>
      </w:pPr>
    </w:p>
    <w:p w:rsidR="00D1036D" w:rsidRPr="003B6E44" w:rsidRDefault="003B6E44" w:rsidP="003B6E44">
      <w:pPr>
        <w:jc w:val="both"/>
        <w:rPr>
          <w:rFonts w:cs="Arial"/>
        </w:rPr>
      </w:pPr>
      <w:r w:rsidRPr="008B65A6">
        <w:lastRenderedPageBreak/>
        <w:drawing>
          <wp:inline distT="0" distB="0" distL="0" distR="0" wp14:anchorId="64620EA2" wp14:editId="20D85AE2">
            <wp:extent cx="3089189" cy="195960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43" cy="197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6D" w:rsidRDefault="00D1036D"/>
    <w:p w:rsidR="00D1036D" w:rsidRDefault="008B65A6">
      <w:r w:rsidRPr="008B65A6">
        <w:drawing>
          <wp:inline distT="0" distB="0" distL="0" distR="0" wp14:anchorId="55057C54" wp14:editId="4E7F7AB5">
            <wp:extent cx="3159730" cy="2240074"/>
            <wp:effectExtent l="0" t="0" r="317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16" cy="224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93" w:rsidRDefault="00932B93"/>
    <w:p w:rsidR="00932B93" w:rsidRDefault="00932B93">
      <w:r w:rsidRPr="00932B93">
        <w:drawing>
          <wp:inline distT="0" distB="0" distL="0" distR="0">
            <wp:extent cx="3286067" cy="24795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276" cy="25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93" w:rsidRDefault="00932B93"/>
    <w:p w:rsidR="00932B93" w:rsidRDefault="00932B93"/>
    <w:p w:rsidR="00932B93" w:rsidRDefault="00932B93"/>
    <w:p w:rsidR="00932B93" w:rsidRDefault="00932B93"/>
    <w:p w:rsidR="00932B93" w:rsidRDefault="00932B93"/>
    <w:p w:rsidR="00D1036D" w:rsidRDefault="00D1036D"/>
    <w:p w:rsidR="00D1036D" w:rsidRDefault="00D1036D"/>
    <w:p w:rsidR="00D1036D" w:rsidRDefault="00D1036D"/>
    <w:p w:rsidR="00D1036D" w:rsidRDefault="00D1036D"/>
    <w:p w:rsidR="009B1C7C" w:rsidRDefault="009B1C7C"/>
    <w:sectPr w:rsidR="009B1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6519F"/>
    <w:multiLevelType w:val="hybridMultilevel"/>
    <w:tmpl w:val="FEB4D4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49"/>
    <w:rsid w:val="00232A75"/>
    <w:rsid w:val="00392C89"/>
    <w:rsid w:val="003B6E44"/>
    <w:rsid w:val="008B65A6"/>
    <w:rsid w:val="00932B93"/>
    <w:rsid w:val="009745BA"/>
    <w:rsid w:val="009B1C7C"/>
    <w:rsid w:val="009D0B49"/>
    <w:rsid w:val="00A5086E"/>
    <w:rsid w:val="00AE1E6E"/>
    <w:rsid w:val="00D1036D"/>
    <w:rsid w:val="00EC21B9"/>
    <w:rsid w:val="00F45B78"/>
    <w:rsid w:val="00F6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9BC3C2-9236-428B-B8CD-4057C3EC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C89"/>
    <w:pPr>
      <w:spacing w:after="0" w:line="240" w:lineRule="auto"/>
    </w:pPr>
    <w:rPr>
      <w:rFonts w:ascii="Arial" w:eastAsia="Times New Roman" w:hAnsi="Arial" w:cs="Times New Roman"/>
      <w:snapToGrid w:val="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2018-11-19T01:26:00Z</dcterms:created>
  <dcterms:modified xsi:type="dcterms:W3CDTF">2018-11-19T02:02:00Z</dcterms:modified>
</cp:coreProperties>
</file>