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7.png" ContentType="image/png"/>
  <Override PartName="/word/media/rId63.png" ContentType="image/png"/>
  <Override PartName="/word/media/rId199.png" ContentType="image/png"/>
  <Override PartName="/word/media/rId191.png" ContentType="image/png"/>
  <Override PartName="/word/media/rId105.png" ContentType="image/png"/>
  <Override PartName="/word/media/rId73.png" ContentType="image/png"/>
  <Override PartName="/word/media/rId68.png" ContentType="image/png"/>
  <Override PartName="/word/media/rId164.png" ContentType="image/png"/>
  <Override PartName="/word/media/rId157.png" ContentType="image/png"/>
  <Override PartName="/word/media/rId172.png" ContentType="image/png"/>
  <Override PartName="/word/media/rId116.png" ContentType="image/png"/>
  <Override PartName="/word/media/rId112.png" ContentType="image/png"/>
  <Override PartName="/word/media/rId222.png" ContentType="image/png"/>
  <Override PartName="/word/media/rId42.png" ContentType="image/png"/>
  <Override PartName="/word/media/rId187.png" ContentType="image/png"/>
  <Override PartName="/word/media/rId195.png" ContentType="image/png"/>
  <Override PartName="/word/media/rId108.png" ContentType="image/png"/>
  <Override PartName="/word/media/rId219.png" ContentType="image/png"/>
  <Override PartName="/word/media/rId91.png" ContentType="image/png"/>
  <Override PartName="/word/media/rId53.png" ContentType="image/png"/>
  <Override PartName="/word/media/rId167.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Arcoiris: Estrategia de Exportación a los Estados Unidos y Otras Regiones</w:t>
      </w:r>
    </w:p>
    <w:p>
      <w:pPr>
        <w:pStyle w:val="Author"/>
      </w:pPr>
      <w:r>
        <w:t xml:space="preserve"> </w:t>
      </w:r>
    </w:p>
    <w:p>
      <w:pPr>
        <w:pStyle w:val="Author"/>
      </w:pPr>
      <w:r>
        <w:t xml:space="preserve">Edison Achalma</w:t>
      </w:r>
      <w:r>
        <w:rPr>
          <w:vertAlign w:val="superscript"/>
        </w:rPr>
        <w:t xml:space="preserve">1,2</w:t>
      </w:r>
      <w:r>
        <w:t xml:space="preserve">, Félix Bermudo</w:t>
      </w:r>
      <w:r>
        <w:rPr>
          <w:vertAlign w:val="superscript"/>
        </w:rPr>
        <w:t xml:space="preserve">1</w:t>
      </w:r>
      <w:r>
        <w:t xml:space="preserve">, Luis De La Cruz</w:t>
      </w:r>
      <w:r>
        <w:rPr>
          <w:vertAlign w:val="superscript"/>
        </w:rPr>
        <w:t xml:space="preserve">1</w:t>
      </w:r>
      <w:r>
        <w:t xml:space="preserve">, Diana Gutierrez</w:t>
      </w:r>
      <w:r>
        <w:rPr>
          <w:vertAlign w:val="superscript"/>
        </w:rPr>
        <w:t xml:space="preserve">1</w:t>
      </w:r>
      <w:r>
        <w:t xml:space="preserve">, y Brenda Huiza</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 </w:t>
      </w:r>
      <w:r>
        <w:rPr>
          <w:i/>
          <w:iCs/>
        </w:rPr>
        <w:t xml:space="preserve">Diana Gutierrez</w:t>
      </w:r>
      <w:r>
        <w:rPr>
          <w:b/>
          <w:bCs/>
        </w:rPr>
        <w:t xml:space="preserve">: </w:t>
      </w:r>
      <w:r>
        <w:t xml:space="preserve">writing – review &amp; editing y funding acquistion. </w:t>
      </w:r>
      <w:r>
        <w:rPr>
          <w:i/>
          <w:iCs/>
        </w:rPr>
        <w:t xml:space="preserve">Brenda Huiza</w:t>
      </w:r>
      <w:r>
        <w:rPr>
          <w:b/>
          <w:bCs/>
        </w:rPr>
        <w:t xml:space="preserve">: </w:t>
      </w:r>
      <w:r>
        <w:t xml:space="preserve">writing – review &amp; editing y funding acquistion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Arcoiris: Estrategia de Exportación a los Estados Unidos y Otras Regiones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t xml:space="preserve">​</w:t>
      </w:r>
      <w:r>
        <w:t xml:space="preserve"> </w:t>
      </w: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t xml:space="preserve">​</w:t>
      </w:r>
      <w:r>
        <w:t xml:space="preserve"> </w:t>
      </w: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t xml:space="preserve">​</w:t>
      </w:r>
      <w:r>
        <w:t xml:space="preserve"> </w:t>
      </w: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t xml:space="preserve">​</w:t>
      </w:r>
      <w:r>
        <w:t xml:space="preserve"> </w:t>
      </w: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rPr>
          <w:b/>
          <w:bCs/>
        </w:rPr>
        <w:t xml:space="preserve">​ Reclutamiento externo:</w:t>
      </w:r>
      <w:r>
        <w:t xml:space="preserve"> </w:t>
      </w:r>
      <w:r>
        <w:t xml:space="preserve">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 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 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31"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9"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t xml:space="preserve">​</w:t>
      </w:r>
      <w:r>
        <w:t xml:space="preserve"> </w:t>
      </w: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numPr>
          <w:ilvl w:val="0"/>
          <w:numId w:val="1019"/>
        </w:numPr>
      </w:pPr>
      <w:r>
        <w:t xml:space="preserve">​</w:t>
      </w:r>
      <w:r>
        <w:t xml:space="preserve"> </w:t>
      </w: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CaptionedFigure"/>
        <w:numPr>
          <w:ilvl w:val="0"/>
          <w:numId w:val="1000"/>
        </w:numPr>
      </w:pPr>
      <w:r>
        <w:drawing>
          <wp:inline>
            <wp:extent cx="5943600" cy="3978573"/>
            <wp:effectExtent b="0" l="0" r="0" t="0"/>
            <wp:docPr descr="Productos sustitutos de la trucha en el mercado norteamericano" title="" id="117" name="Picture"/>
            <a:graphic>
              <a:graphicData uri="http://schemas.openxmlformats.org/drawingml/2006/picture">
                <pic:pic>
                  <pic:nvPicPr>
                    <pic:cNvPr descr="index_files/figure-html/lu137401d6rd_tmp_8ae05c66.png" id="118" name="Picture"/>
                    <pic:cNvPicPr>
                      <a:picLocks noChangeArrowheads="1" noChangeAspect="1"/>
                    </pic:cNvPicPr>
                  </pic:nvPicPr>
                  <pic:blipFill>
                    <a:blip r:embed="rId116"/>
                    <a:stretch>
                      <a:fillRect/>
                    </a:stretch>
                  </pic:blipFill>
                  <pic:spPr bwMode="auto">
                    <a:xfrm>
                      <a:off x="0" y="0"/>
                      <a:ext cx="5943600" cy="3978573"/>
                    </a:xfrm>
                    <a:prstGeom prst="rect">
                      <a:avLst/>
                    </a:prstGeom>
                    <a:noFill/>
                    <a:ln w="9525">
                      <a:noFill/>
                      <a:headEnd/>
                      <a:tailEnd/>
                    </a:ln>
                  </pic:spPr>
                </pic:pic>
              </a:graphicData>
            </a:graphic>
          </wp:inline>
        </w:drawing>
      </w:r>
    </w:p>
    <w:p>
      <w:pPr>
        <w:pStyle w:val="ImageCaption"/>
        <w:numPr>
          <w:ilvl w:val="0"/>
          <w:numId w:val="1000"/>
        </w:numPr>
      </w:pPr>
      <w:r>
        <w:t xml:space="preserve">Productos sustitutos de la trucha en el mercado norteamericano</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9"/>
    <w:bookmarkStart w:id="123" w:name="tendencia-general-del-consumo"/>
    <w:p>
      <w:pPr>
        <w:pStyle w:val="Heading2"/>
      </w:pPr>
      <w:r>
        <w:t xml:space="preserve">4.13 Tendencia general del consumo</w:t>
      </w:r>
    </w:p>
    <w:bookmarkStart w:id="120"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20"/>
    <w:bookmarkStart w:id="121"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21"/>
    <w:bookmarkStart w:id="122"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22"/>
    <w:bookmarkEnd w:id="123"/>
    <w:bookmarkStart w:id="127" w:name="X5adac3c8f4b2ab3d8582fc664be01055d89e9bf"/>
    <w:p>
      <w:pPr>
        <w:pStyle w:val="Heading2"/>
      </w:pPr>
      <w:r>
        <w:t xml:space="preserve">4.14 Análisis del comportamiento del consumidor</w:t>
      </w:r>
    </w:p>
    <w:bookmarkStart w:id="124"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4"/>
    <w:bookmarkStart w:id="125"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5"/>
    <w:bookmarkStart w:id="126"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6"/>
    <w:bookmarkEnd w:id="127"/>
    <w:bookmarkStart w:id="130" w:name="plan-de-marketing"/>
    <w:p>
      <w:pPr>
        <w:pStyle w:val="Heading2"/>
      </w:pPr>
      <w:r>
        <w:t xml:space="preserve">4.15 Plan de marketing</w:t>
      </w:r>
    </w:p>
    <w:bookmarkStart w:id="128" w:name="mix-de-marketing"/>
    <w:p>
      <w:pPr>
        <w:pStyle w:val="Heading3"/>
      </w:pPr>
      <w:r>
        <w:t xml:space="preserve">4.15.1 Mix de marketing</w:t>
      </w:r>
    </w:p>
    <w:p>
      <w:pPr>
        <w:pStyle w:val="Compact"/>
        <w:numPr>
          <w:ilvl w:val="0"/>
          <w:numId w:val="1021"/>
        </w:numPr>
      </w:pPr>
      <w:r>
        <w:t xml:space="preserve">​</w:t>
      </w:r>
      <w:r>
        <w:t xml:space="preserve"> </w:t>
      </w: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t xml:space="preserve">​</w:t>
      </w:r>
      <w:r>
        <w:t xml:space="preserve"> </w:t>
      </w: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t xml:space="preserve">​</w:t>
      </w:r>
      <w:r>
        <w:t xml:space="preserve"> </w:t>
      </w: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t xml:space="preserve">​</w:t>
      </w:r>
      <w:r>
        <w:t xml:space="preserve"> </w:t>
      </w: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8"/>
    <w:bookmarkStart w:id="129"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9"/>
    <w:bookmarkEnd w:id="130"/>
    <w:bookmarkEnd w:id="131"/>
    <w:bookmarkStart w:id="143" w:name="capítulo-iv-plan-de-operación"/>
    <w:p>
      <w:pPr>
        <w:pStyle w:val="Heading1"/>
      </w:pPr>
      <w:r>
        <w:t xml:space="preserve">5. Capítulo IV Plan de operación</w:t>
      </w:r>
    </w:p>
    <w:bookmarkStart w:id="136" w:name="ficha-de-insumo-producto"/>
    <w:p>
      <w:pPr>
        <w:pStyle w:val="Heading2"/>
      </w:pPr>
      <w:r>
        <w:t xml:space="preserve">5.1 Ficha de insumo producto</w:t>
      </w:r>
    </w:p>
    <w:bookmarkStart w:id="134" w:name="insumos"/>
    <w:p>
      <w:pPr>
        <w:pStyle w:val="Heading3"/>
      </w:pPr>
      <w:r>
        <w:t xml:space="preserve">5.1.1 Insumos</w:t>
      </w:r>
    </w:p>
    <w:bookmarkStart w:id="133" w:name="tbl-mytable2"/>
    <w:p>
      <w:pPr>
        <w:pStyle w:val="FigureTitle"/>
      </w:pPr>
      <w:r>
        <w:t xml:space="preserve">Tabla 2</w:t>
      </w:r>
    </w:p>
    <w:p>
      <w:pPr>
        <w:pStyle w:val="Caption"/>
      </w:pPr>
      <w:r>
        <w:t xml:space="preserve">Ficha de insumo producto</w:t>
      </w:r>
    </w:p>
    <w:bookmarkStart w:id="132"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32"/>
    <w:bookmarkEnd w:id="133"/>
    <w:p>
      <w:pPr>
        <w:pStyle w:val="FigureNote"/>
      </w:pPr>
      <w:r>
        <w:rPr>
          <w:i/>
          <w:iCs/>
        </w:rPr>
        <w:t xml:space="preserve">Nota</w:t>
      </w:r>
      <w:r>
        <w:t xml:space="preserve">. Ministerio de comercio exterior y turismo</w:t>
      </w:r>
    </w:p>
    <w:bookmarkEnd w:id="134"/>
    <w:bookmarkStart w:id="135" w:name="gastos-de-fabricación"/>
    <w:p>
      <w:pPr>
        <w:pStyle w:val="Heading3"/>
      </w:pPr>
      <w:r>
        <w:t xml:space="preserve">5.1.2 Gastos de fabricación</w:t>
      </w:r>
    </w:p>
    <w:bookmarkEnd w:id="135"/>
    <w:bookmarkEnd w:id="136"/>
    <w:bookmarkStart w:id="137"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t xml:space="preserve">​</w:t>
      </w: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7"/>
    <w:bookmarkStart w:id="141"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8"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8"/>
    <w:bookmarkStart w:id="139"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9"/>
    <w:bookmarkStart w:id="140"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40"/>
    <w:bookmarkEnd w:id="141"/>
    <w:bookmarkStart w:id="142"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42"/>
    <w:bookmarkEnd w:id="143"/>
    <w:bookmarkStart w:id="180" w:name="capítulo-v-gestión-exportadora"/>
    <w:p>
      <w:pPr>
        <w:pStyle w:val="Heading1"/>
      </w:pPr>
      <w:r>
        <w:t xml:space="preserve">6. Capítulo V Gestión exportadora</w:t>
      </w:r>
    </w:p>
    <w:bookmarkStart w:id="151" w:name="X0f3bc7bead2706b7e38c153cf1178c48feccdd7"/>
    <w:p>
      <w:pPr>
        <w:pStyle w:val="Heading2"/>
      </w:pPr>
      <w:r>
        <w:t xml:space="preserve">6.1 Análisis de costos y precios de exportación</w:t>
      </w:r>
    </w:p>
    <w:bookmarkStart w:id="144"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4"/>
    <w:bookmarkStart w:id="147" w:name="costos-y-gastos-de-exportación"/>
    <w:p>
      <w:pPr>
        <w:pStyle w:val="Heading3"/>
      </w:pPr>
      <w:r>
        <w:t xml:space="preserve">6.1.2 Costos y gastos de exportación</w:t>
      </w:r>
    </w:p>
    <w:bookmarkStart w:id="146" w:name="tbl-mytable2"/>
    <w:p>
      <w:pPr>
        <w:pStyle w:val="FigureTitle"/>
      </w:pPr>
      <w:r>
        <w:t xml:space="preserve">Tabla 2</w:t>
      </w:r>
    </w:p>
    <w:p>
      <w:pPr>
        <w:pStyle w:val="Caption"/>
      </w:pPr>
      <w:r>
        <w:t xml:space="preserve">Cálculo de costos estimados y precio FCA en USD</w:t>
      </w:r>
    </w:p>
    <w:bookmarkStart w:id="145"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5"/>
    <w:bookmarkEnd w:id="146"/>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 Tipo de cambio 3.61</w:t>
      </w:r>
    </w:p>
    <w:p>
      <w:pPr>
        <w:pStyle w:val="Compact"/>
        <w:numPr>
          <w:ilvl w:val="0"/>
          <w:numId w:val="1025"/>
        </w:numPr>
      </w:pPr>
      <w:r>
        <w:t xml:space="preserve">​ Contenedor de 20 pies</w:t>
      </w:r>
    </w:p>
    <w:p>
      <w:pPr>
        <w:pStyle w:val="Compact"/>
        <w:numPr>
          <w:ilvl w:val="0"/>
          <w:numId w:val="1025"/>
        </w:numPr>
      </w:pPr>
      <w:r>
        <w:t xml:space="preserve">​ 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7"/>
    <w:bookmarkStart w:id="150"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9" w:name="tbl-mytable2"/>
    <w:p>
      <w:pPr>
        <w:pStyle w:val="FigureTitle"/>
      </w:pPr>
      <w:r>
        <w:t xml:space="preserve">Tabla 2</w:t>
      </w:r>
    </w:p>
    <w:p>
      <w:pPr>
        <w:pStyle w:val="Caption"/>
      </w:pPr>
      <w:r>
        <w:t xml:space="preserve">Precio FOB promedio de las exportaciones de PERÚ en los últimos 2 años hacia EE. UU</w:t>
      </w:r>
    </w:p>
    <w:bookmarkStart w:id="148"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8"/>
    <w:bookmarkEnd w:id="149"/>
    <w:p>
      <w:pPr>
        <w:pStyle w:val="FigureNote"/>
      </w:pPr>
      <w:r>
        <w:rPr>
          <w:i/>
          <w:iCs/>
        </w:rPr>
        <w:t xml:space="preserve">Nota</w:t>
      </w:r>
      <w:r>
        <w:t xml:space="preserve">. SIICEX SUNAT</w:t>
      </w:r>
    </w:p>
    <w:bookmarkEnd w:id="150"/>
    <w:bookmarkEnd w:id="151"/>
    <w:bookmarkStart w:id="155" w:name="modalidades-de-pago"/>
    <w:p>
      <w:pPr>
        <w:pStyle w:val="Heading2"/>
      </w:pPr>
      <w:r>
        <w:t xml:space="preserve">6.2 Modalidades de pago</w:t>
      </w:r>
    </w:p>
    <w:bookmarkStart w:id="152"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52"/>
    <w:bookmarkStart w:id="153"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3"/>
    <w:bookmarkStart w:id="154"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4"/>
    <w:bookmarkEnd w:id="155"/>
    <w:bookmarkStart w:id="156"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6"/>
    <w:bookmarkStart w:id="160"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8" name="Picture"/>
            <a:graphic>
              <a:graphicData uri="http://schemas.openxmlformats.org/drawingml/2006/picture">
                <pic:pic>
                  <pic:nvPicPr>
                    <pic:cNvPr descr="index_files/figure-html/lu137401d6rd_tmp_7f771699.png" id="159" name="Picture"/>
                    <pic:cNvPicPr>
                      <a:picLocks noChangeArrowheads="1" noChangeAspect="1"/>
                    </pic:cNvPicPr>
                  </pic:nvPicPr>
                  <pic:blipFill>
                    <a:blip r:embed="rId157"/>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60"/>
    <w:bookmarkStart w:id="163"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61"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61"/>
    <w:bookmarkStart w:id="162"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62"/>
    <w:bookmarkEnd w:id="163"/>
    <w:bookmarkStart w:id="171"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5" name="Picture"/>
            <a:graphic>
              <a:graphicData uri="http://schemas.openxmlformats.org/drawingml/2006/picture">
                <pic:pic>
                  <pic:nvPicPr>
                    <pic:cNvPr descr="index_files/figure-html/lu137401d6rd_tmp_75d8738e.png" id="166" name="Picture"/>
                    <pic:cNvPicPr>
                      <a:picLocks noChangeArrowheads="1" noChangeAspect="1"/>
                    </pic:cNvPicPr>
                  </pic:nvPicPr>
                  <pic:blipFill>
                    <a:blip r:embed="rId164"/>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8" name="Picture"/>
            <a:graphic>
              <a:graphicData uri="http://schemas.openxmlformats.org/drawingml/2006/picture">
                <pic:pic>
                  <pic:nvPicPr>
                    <pic:cNvPr descr="index_files/figure-html/lu137401d6rd_tmp_f1548be1.png" id="169" name="Picture"/>
                    <pic:cNvPicPr>
                      <a:picLocks noChangeArrowheads="1" noChangeAspect="1"/>
                    </pic:cNvPicPr>
                  </pic:nvPicPr>
                  <pic:blipFill>
                    <a:blip r:embed="rId167"/>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70">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71"/>
    <w:bookmarkStart w:id="177" w:name="manejo-documentario"/>
    <w:p>
      <w:pPr>
        <w:pStyle w:val="Heading2"/>
      </w:pPr>
      <w:r>
        <w:t xml:space="preserve">6.7 Manejo documentario</w:t>
      </w:r>
    </w:p>
    <w:bookmarkStart w:id="175"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3" name="Picture"/>
            <a:graphic>
              <a:graphicData uri="http://schemas.openxmlformats.org/drawingml/2006/picture">
                <pic:pic>
                  <pic:nvPicPr>
                    <pic:cNvPr descr="index_files/figure-html/lu137401d6rd_tmp_822257a8.png" id="174" name="Picture"/>
                    <pic:cNvPicPr>
                      <a:picLocks noChangeArrowheads="1" noChangeAspect="1"/>
                    </pic:cNvPicPr>
                  </pic:nvPicPr>
                  <pic:blipFill>
                    <a:blip r:embed="rId172"/>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5"/>
    <w:bookmarkStart w:id="176"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6"/>
    <w:bookmarkEnd w:id="177"/>
    <w:bookmarkStart w:id="179"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8">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9"/>
    <w:bookmarkEnd w:id="180"/>
    <w:bookmarkStart w:id="218" w:name="X2f2b299e91ddd8c57ae7afbd60cfb40e75018bb"/>
    <w:p>
      <w:pPr>
        <w:pStyle w:val="Heading1"/>
      </w:pPr>
      <w:r>
        <w:t xml:space="preserve">7. Capítulo VI Análisis financiero y plan financiero</w:t>
      </w:r>
    </w:p>
    <w:bookmarkStart w:id="184" w:name="análisis-financiero"/>
    <w:p>
      <w:pPr>
        <w:pStyle w:val="Heading2"/>
      </w:pPr>
      <w:r>
        <w:t xml:space="preserve">7.1 Análisis financiero</w:t>
      </w:r>
    </w:p>
    <w:bookmarkStart w:id="181"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81"/>
    <w:bookmarkStart w:id="182"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82"/>
    <w:bookmarkStart w:id="183"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3"/>
    <w:bookmarkEnd w:id="184"/>
    <w:bookmarkStart w:id="186"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5"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5"/>
    <w:bookmarkEnd w:id="186"/>
    <w:bookmarkStart w:id="203" w:name="ratios-financieras"/>
    <w:p>
      <w:pPr>
        <w:pStyle w:val="Heading2"/>
      </w:pPr>
      <w:r>
        <w:t xml:space="preserve">7.3 Ratios financieras</w:t>
      </w:r>
    </w:p>
    <w:bookmarkStart w:id="190"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8" name="Picture"/>
            <a:graphic>
              <a:graphicData uri="http://schemas.openxmlformats.org/drawingml/2006/picture">
                <pic:pic>
                  <pic:nvPicPr>
                    <pic:cNvPr descr="index_files/figure-html/lu137401d6rd_tmp_c72dfef1.png" id="189" name="Picture"/>
                    <pic:cNvPicPr>
                      <a:picLocks noChangeArrowheads="1" noChangeAspect="1"/>
                    </pic:cNvPicPr>
                  </pic:nvPicPr>
                  <pic:blipFill>
                    <a:blip r:embed="rId187"/>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90"/>
    <w:bookmarkStart w:id="194"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92" name="Picture"/>
            <a:graphic>
              <a:graphicData uri="http://schemas.openxmlformats.org/drawingml/2006/picture">
                <pic:pic>
                  <pic:nvPicPr>
                    <pic:cNvPr descr="index_files/figure-html/lu137401d6rd_tmp_52100eb7.png" id="193" name="Picture"/>
                    <pic:cNvPicPr>
                      <a:picLocks noChangeArrowheads="1" noChangeAspect="1"/>
                    </pic:cNvPicPr>
                  </pic:nvPicPr>
                  <pic:blipFill>
                    <a:blip r:embed="rId191"/>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4"/>
    <w:bookmarkStart w:id="198"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6" name="Picture"/>
            <a:graphic>
              <a:graphicData uri="http://schemas.openxmlformats.org/drawingml/2006/picture">
                <pic:pic>
                  <pic:nvPicPr>
                    <pic:cNvPr descr="index_files/figure-html/lu137401d6rd_tmp_ce18a631.png" id="197" name="Picture"/>
                    <pic:cNvPicPr>
                      <a:picLocks noChangeArrowheads="1" noChangeAspect="1"/>
                    </pic:cNvPicPr>
                  </pic:nvPicPr>
                  <pic:blipFill>
                    <a:blip r:embed="rId195"/>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8"/>
    <w:bookmarkStart w:id="202"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200" name="Picture"/>
            <a:graphic>
              <a:graphicData uri="http://schemas.openxmlformats.org/drawingml/2006/picture">
                <pic:pic>
                  <pic:nvPicPr>
                    <pic:cNvPr descr="index_files/figure-html/lu137401d6rd_tmp_2860c5a4.png" id="201" name="Picture"/>
                    <pic:cNvPicPr>
                      <a:picLocks noChangeArrowheads="1" noChangeAspect="1"/>
                    </pic:cNvPicPr>
                  </pic:nvPicPr>
                  <pic:blipFill>
                    <a:blip r:embed="rId199"/>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202"/>
    <w:bookmarkEnd w:id="203"/>
    <w:bookmarkStart w:id="217" w:name="plan-financiero"/>
    <w:p>
      <w:pPr>
        <w:pStyle w:val="Heading2"/>
      </w:pPr>
      <w:r>
        <w:t xml:space="preserve">7.4 Plan financiero</w:t>
      </w:r>
    </w:p>
    <w:bookmarkStart w:id="206"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5" w:name="Xf8dbf8862b254e936f1d027627f89d99f8a7e79"/>
    <w:p>
      <w:pPr>
        <w:pStyle w:val="FigureTitle"/>
      </w:pPr>
      <w:r>
        <w:t xml:space="preserve">Tabla 2</w:t>
      </w:r>
    </w:p>
    <w:p>
      <w:pPr>
        <w:pStyle w:val="Caption"/>
      </w:pPr>
      <w:r>
        <w:t xml:space="preserve">Presupuesto de construcción para la planta procesadora</w:t>
      </w:r>
    </w:p>
    <w:bookmarkStart w:id="204"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4"/>
    <w:bookmarkEnd w:id="205"/>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6"/>
    <w:bookmarkStart w:id="212"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8" name="Picture"/>
            <a:graphic>
              <a:graphicData uri="http://schemas.openxmlformats.org/drawingml/2006/picture">
                <pic:pic>
                  <pic:nvPicPr>
                    <pic:cNvPr descr="index_files/figure-html/lu137401d6rd_tmp_1842ef6a.png" id="209" name="Picture"/>
                    <pic:cNvPicPr>
                      <a:picLocks noChangeArrowheads="1" noChangeAspect="1"/>
                    </pic:cNvPicPr>
                  </pic:nvPicPr>
                  <pic:blipFill>
                    <a:blip r:embed="rId207"/>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11" w:name="tbl-mytable2"/>
    <w:p>
      <w:pPr>
        <w:pStyle w:val="FigureTitle"/>
      </w:pPr>
      <w:r>
        <w:t xml:space="preserve">Tabla 2</w:t>
      </w:r>
    </w:p>
    <w:p>
      <w:pPr>
        <w:pStyle w:val="Caption"/>
      </w:pPr>
      <w:r>
        <w:t xml:space="preserve">Tabla de Amortizaciones</w:t>
      </w:r>
    </w:p>
    <w:bookmarkStart w:id="210"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10"/>
    <w:bookmarkEnd w:id="211"/>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12"/>
    <w:bookmarkStart w:id="213"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3"/>
    <w:bookmarkStart w:id="214"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4"/>
    <w:bookmarkStart w:id="215"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5"/>
    <w:bookmarkStart w:id="216"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pPr>
        <w:pStyle w:val="BodyText"/>
      </w:pPr>
      <w:r>
        <w:t xml:space="preserve">​</w:t>
      </w:r>
    </w:p>
    <w:bookmarkEnd w:id="216"/>
    <w:bookmarkEnd w:id="217"/>
    <w:bookmarkEnd w:id="218"/>
    <w:bookmarkStart w:id="225" w:name="appendix"/>
    <w:p>
      <w:pPr>
        <w:pStyle w:val="Heading1"/>
      </w:pPr>
      <w:r>
        <w:t xml:space="preserve">8. Appendix</w:t>
      </w:r>
    </w:p>
    <w:p>
      <w:pPr>
        <w:pStyle w:val="CaptionedFigure"/>
      </w:pPr>
      <w:r>
        <w:drawing>
          <wp:inline>
            <wp:extent cx="5943600" cy="1623812"/>
            <wp:effectExtent b="0" l="0" r="0" t="0"/>
            <wp:docPr descr="Datos generales del proceso de exportación en el simulador financiero LATE" title="" id="220" name="Picture"/>
            <a:graphic>
              <a:graphicData uri="http://schemas.openxmlformats.org/drawingml/2006/picture">
                <pic:pic>
                  <pic:nvPicPr>
                    <pic:cNvPr descr="index_files/figure-html/lu137401d6rd_tmp_d9f9220d.png" id="221" name="Picture"/>
                    <pic:cNvPicPr>
                      <a:picLocks noChangeArrowheads="1" noChangeAspect="1"/>
                    </pic:cNvPicPr>
                  </pic:nvPicPr>
                  <pic:blipFill>
                    <a:blip r:embed="rId219"/>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3" name="Picture"/>
            <a:graphic>
              <a:graphicData uri="http://schemas.openxmlformats.org/drawingml/2006/picture">
                <pic:pic>
                  <pic:nvPicPr>
                    <pic:cNvPr descr="index_files/figure-html/lu137401d6rd_tmp_bd7c7d98.png" id="224" name="Picture"/>
                    <pic:cNvPicPr>
                      <a:picLocks noChangeArrowheads="1" noChangeAspect="1"/>
                    </pic:cNvPicPr>
                  </pic:nvPicPr>
                  <pic:blipFill>
                    <a:blip r:embed="rId222"/>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5"/>
    <w:bookmarkStart w:id="227" w:name="referencias"/>
    <w:p>
      <w:pPr>
        <w:pStyle w:val="Heading1"/>
      </w:pPr>
      <w:r>
        <w:t xml:space="preserve">9.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6">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bookmarkEnd w:id="227"/>
    <w:bookmarkStart w:id="234" w:name="publicaciones-similares"/>
    <w:p>
      <w:pPr>
        <w:pStyle w:val="Heading1"/>
      </w:pPr>
      <w:r>
        <w:t xml:space="preserve">10.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8"/>
      <w:r>
        <w:t xml:space="preserve"> </w:t>
      </w:r>
      <w:hyperlink r:id="rId229">
        <w:r>
          <w:rPr>
            <w:rStyle w:val="Hyperlink"/>
          </w:rPr>
          <w:t xml:space="preserve">Plan De Negocio Exportacion De Trucha Arcoires</w:t>
        </w:r>
      </w:hyperlink>
    </w:p>
    <w:p>
      <w:pPr>
        <w:pStyle w:val="Compact"/>
        <w:numPr>
          <w:ilvl w:val="0"/>
          <w:numId w:val="1032"/>
        </w:numPr>
      </w:pPr>
      <w:hyperlink r:id="rId230"/>
      <w:r>
        <w:t xml:space="preserve"> </w:t>
      </w:r>
      <w:hyperlink r:id="rId231">
        <w:r>
          <w:rPr>
            <w:rStyle w:val="Hyperlink"/>
          </w:rPr>
          <w:t xml:space="preserve">Plan De Negocio Exportacion De Tuna</w:t>
        </w:r>
      </w:hyperlink>
    </w:p>
    <w:p>
      <w:pPr>
        <w:pStyle w:val="Compact"/>
        <w:numPr>
          <w:ilvl w:val="0"/>
          <w:numId w:val="1032"/>
        </w:numPr>
      </w:pPr>
      <w:hyperlink r:id="rId232"/>
      <w:r>
        <w:t xml:space="preserve"> </w:t>
      </w:r>
      <w:hyperlink r:id="rId233">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7" Target="media/rId207.png" /><Relationship Type="http://schemas.openxmlformats.org/officeDocument/2006/relationships/image" Id="rId63" Target="media/rId63.png" /><Relationship Type="http://schemas.openxmlformats.org/officeDocument/2006/relationships/image" Id="rId199" Target="media/rId199.png" /><Relationship Type="http://schemas.openxmlformats.org/officeDocument/2006/relationships/image" Id="rId191" Target="media/rId191.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4" Target="media/rId164.png" /><Relationship Type="http://schemas.openxmlformats.org/officeDocument/2006/relationships/image" Id="rId157" Target="media/rId157.png" /><Relationship Type="http://schemas.openxmlformats.org/officeDocument/2006/relationships/image" Id="rId172" Target="media/rId172.png" /><Relationship Type="http://schemas.openxmlformats.org/officeDocument/2006/relationships/image" Id="rId116" Target="media/rId116.png" /><Relationship Type="http://schemas.openxmlformats.org/officeDocument/2006/relationships/image" Id="rId112" Target="media/rId112.png" /><Relationship Type="http://schemas.openxmlformats.org/officeDocument/2006/relationships/image" Id="rId222" Target="media/rId222.png" /><Relationship Type="http://schemas.openxmlformats.org/officeDocument/2006/relationships/image" Id="rId42" Target="media/rId42.png" /><Relationship Type="http://schemas.openxmlformats.org/officeDocument/2006/relationships/image" Id="rId187" Target="media/rId187.png" /><Relationship Type="http://schemas.openxmlformats.org/officeDocument/2006/relationships/image" Id="rId195" Target="media/rId195.png" /><Relationship Type="http://schemas.openxmlformats.org/officeDocument/2006/relationships/image" Id="rId108" Target="media/rId108.png" /><Relationship Type="http://schemas.openxmlformats.org/officeDocument/2006/relationships/image" Id="rId219" Target="media/rId219.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7" Target="media/rId167.png" /><Relationship Type="http://schemas.openxmlformats.org/officeDocument/2006/relationships/image" Id="rId78" Target="media/rId78.png" /><Relationship Type="http://schemas.openxmlformats.org/officeDocument/2006/relationships/hyperlink" Id="rId226" Target="http://rutasaereas.promperu.gob.pe/" TargetMode="External" /><Relationship Type="http://schemas.openxmlformats.org/officeDocument/2006/relationships/hyperlink" Id="rId229" Target="https://achalmaedison.netlify.app/gestion-empresarial/posts/2020-09-15-plan-de-negocio-exportacion-de-trucha-arcoires" TargetMode="External" /><Relationship Type="http://schemas.openxmlformats.org/officeDocument/2006/relationships/hyperlink" Id="rId228" Target="https://achalmaedison.netlify.app/gestion-empresarial/posts/2020-09-15-plan-de-negocio-exportacion-de-trucha-arcoires/index.pdf" TargetMode="External" /><Relationship Type="http://schemas.openxmlformats.org/officeDocument/2006/relationships/hyperlink" Id="rId231" Target="https://achalmaedison.netlify.app/gestion-empresarial/posts/2021-07-13-plan-de-negocio-exportacion-de-tuna" TargetMode="External" /><Relationship Type="http://schemas.openxmlformats.org/officeDocument/2006/relationships/hyperlink" Id="rId230" Target="https://achalmaedison.netlify.app/gestion-empresarial/posts/2021-07-13-plan-de-negocio-exportacion-de-tuna/index.pdf" TargetMode="External" /><Relationship Type="http://schemas.openxmlformats.org/officeDocument/2006/relationships/hyperlink" Id="rId233" Target="https://achalmaedison.netlify.app/gestion-empresarial/posts/2022-01-23-cadena%20de%20suministros" TargetMode="External" /><Relationship Type="http://schemas.openxmlformats.org/officeDocument/2006/relationships/hyperlink" Id="rId232"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8"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70"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6" Target="http://rutasaereas.promperu.gob.pe/" TargetMode="External" /><Relationship Type="http://schemas.openxmlformats.org/officeDocument/2006/relationships/hyperlink" Id="rId229" Target="https://achalmaedison.netlify.app/gestion-empresarial/posts/2020-09-15-plan-de-negocio-exportacion-de-trucha-arcoires" TargetMode="External" /><Relationship Type="http://schemas.openxmlformats.org/officeDocument/2006/relationships/hyperlink" Id="rId228" Target="https://achalmaedison.netlify.app/gestion-empresarial/posts/2020-09-15-plan-de-negocio-exportacion-de-trucha-arcoires/index.pdf" TargetMode="External" /><Relationship Type="http://schemas.openxmlformats.org/officeDocument/2006/relationships/hyperlink" Id="rId231" Target="https://achalmaedison.netlify.app/gestion-empresarial/posts/2021-07-13-plan-de-negocio-exportacion-de-tuna" TargetMode="External" /><Relationship Type="http://schemas.openxmlformats.org/officeDocument/2006/relationships/hyperlink" Id="rId230" Target="https://achalmaedison.netlify.app/gestion-empresarial/posts/2021-07-13-plan-de-negocio-exportacion-de-tuna/index.pdf" TargetMode="External" /><Relationship Type="http://schemas.openxmlformats.org/officeDocument/2006/relationships/hyperlink" Id="rId233" Target="https://achalmaedison.netlify.app/gestion-empresarial/posts/2022-01-23-cadena%20de%20suministros" TargetMode="External" /><Relationship Type="http://schemas.openxmlformats.org/officeDocument/2006/relationships/hyperlink" Id="rId232"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8"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70"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2025-07-17T10:24:25Z</dcterms:created>
  <dcterms:modified xsi:type="dcterms:W3CDTF">2025-07-17T10:24:25Z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subtitle">
    <vt:lpwstr>Estrategia de Exportación a los Estados Unidos y Otras Regiones</vt:lpwstr>
  </property>
  <property fmtid="{D5CDD505-2E9C-101B-9397-08002B2CF9AE}" pid="9" name="apatitle">
    <vt:lpwstr>Plan De Exportación De Trucha Arcoiris</vt:lpwstr>
  </property>
  <property fmtid="{D5CDD505-2E9C-101B-9397-08002B2CF9AE}" pid="10" name="apatitledisplay">
    <vt:lpwstr>Plan De Exportación De Trucha Arcoiris: Estrategia de Exportación a los Estados Unidos y Otras Regiones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2025-07-17</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ed-lines">
    <vt:lpwstr>False</vt:lpwstr>
  </property>
  <property fmtid="{D5CDD505-2E9C-101B-9397-08002B2CF9AE}" pid="54" name="oneaffiliation">
    <vt:lpwstr>False</vt:lpwstr>
  </property>
  <property fmtid="{D5CDD505-2E9C-101B-9397-08002B2CF9AE}" pid="55" name="oneauthor">
    <vt:lpwstr>False</vt:lpwstr>
  </property>
  <property fmtid="{D5CDD505-2E9C-101B-9397-08002B2CF9AE}" pid="56" name="professor">
    <vt:lpwstr>Econ. Richard Atao Quispe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EXPORTACIÓN DE TRUCHA ARCOÍRIS</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8581</vt:lpwstr>
  </property>
  <property fmtid="{D5CDD505-2E9C-101B-9397-08002B2CF9AE}" pid="95" name="zerocitations">
    <vt:lpwstr>True</vt:lpwstr>
  </property>
</Properties>
</file>