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Determinantes del tipo de cambio real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Determinantes del tipo de cambio real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DETERMINANTES DEL TIPO DE CAMBIO REAL</dc:description>
  <dc:language>es</dc:language>
  <cp:keywords>keyword1, keyword2</cp:keywords>
  <dcterms:created xsi:type="dcterms:W3CDTF">2026-07-13T11:34:53Z</dcterms:created>
  <dcterms:modified xsi:type="dcterms:W3CDTF">2026-07-13T11:34:53Z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2021-08-09</vt:lpwstr>
  </property>
  <property fmtid="{D5CDD505-2E9C-101B-9397-08002B2CF9AE}" pid="7" name="apatitle">
    <vt:lpwstr>DETERMINANTES DEL TIPO DE CAMBIO REAL</vt:lpwstr>
  </property>
  <property fmtid="{D5CDD505-2E9C-101B-9397-08002B2CF9AE}" pid="8" name="apatitledisplay">
    <vt:lpwstr>Determinantes del tipo de cambio real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114</vt:lpwstr>
  </property>
  <property fmtid="{D5CDD505-2E9C-101B-9397-08002B2CF9AE}" pid="97" name="zerocitations">
    <vt:lpwstr>True</vt:lpwstr>
  </property>
</Properties>
</file>