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Sector externo y balanza de pagos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Sector externo y balanza de pagos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EXTERNO Y BALANZA DE PAGOS</dc:description>
  <dc:language>es</dc:language>
  <cp:keywords>keyword1, keyword2</cp:keywords>
  <dcterms:created xsi:type="dcterms:W3CDTF">2026-07-13T11:36:02Z</dcterms:created>
  <dcterms:modified xsi:type="dcterms:W3CDTF">2026-07-13T11:36:02Z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2021-12-27</vt:lpwstr>
  </property>
  <property fmtid="{D5CDD505-2E9C-101B-9397-08002B2CF9AE}" pid="7" name="apatitle">
    <vt:lpwstr>SECTOR EXTERNO Y BALANZA DE PAGOS</vt:lpwstr>
  </property>
  <property fmtid="{D5CDD505-2E9C-101B-9397-08002B2CF9AE}" pid="8" name="apatitledisplay">
    <vt:lpwstr>Sector externo y balanza de pagos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