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Determinantes del tipo de cambio real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Determinantes del tipo de cambio real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5"/>
    <w:bookmarkStart w:id="5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DETERMINANTES DEL TIPO DE CAMBIO REAL</dc:description>
  <dc:language>es</dc:language>
  <cp:keywords>keyword1, keyword2</cp:keywords>
  <dcterms:created xsi:type="dcterms:W3CDTF">2025-12-22T10:43:52Z</dcterms:created>
  <dcterms:modified xsi:type="dcterms:W3CDTF">2025-12-22T10:43:52Z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2021-08-09</vt:lpwstr>
  </property>
  <property fmtid="{D5CDD505-2E9C-101B-9397-08002B2CF9AE}" pid="7" name="apatitle">
    <vt:lpwstr>DETERMINANTES DEL TIPO DE CAMBIO REAL</vt:lpwstr>
  </property>
  <property fmtid="{D5CDD505-2E9C-101B-9397-08002B2CF9AE}" pid="8" name="apatitledisplay">
    <vt:lpwstr>Determinantes del tipo de cambio real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2021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107</vt:lpwstr>
  </property>
  <property fmtid="{D5CDD505-2E9C-101B-9397-08002B2CF9AE}" pid="93" name="zerocitations">
    <vt:lpwstr>True</vt:lpwstr>
  </property>
</Properties>
</file>