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 Mundell-Fleming: economía abierta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Modelo Mundell-Fleming: economía abierta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MUNDELL-FLEMING</dc:description>
  <dc:language>es</dc:language>
  <cp:keywords>keyword1, keyword2</cp:keywords>
  <dcterms:created xsi:type="dcterms:W3CDTF">2025-12-22T10:46:49Z</dcterms:created>
  <dcterms:modified xsi:type="dcterms:W3CDTF">2025-12-22T10:46:49Z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2021-12-20</vt:lpwstr>
  </property>
  <property fmtid="{D5CDD505-2E9C-101B-9397-08002B2CF9AE}" pid="7" name="apasubtitle">
    <vt:lpwstr>economía abierta</vt:lpwstr>
  </property>
  <property fmtid="{D5CDD505-2E9C-101B-9397-08002B2CF9AE}" pid="8" name="apatitle">
    <vt:lpwstr>MODELO MUNDELL-FLEMING</vt:lpwstr>
  </property>
  <property fmtid="{D5CDD505-2E9C-101B-9397-08002B2CF9AE}" pid="9" name="apatitledisplay">
    <vt:lpwstr>Modelo Mundell-Fleming: economía abierta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107</vt:lpwstr>
  </property>
  <property fmtid="{D5CDD505-2E9C-101B-9397-08002B2CF9AE}" pid="94" name="zerocitations">
    <vt:lpwstr>True</vt:lpwstr>
  </property>
</Properties>
</file>