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Sector externo y balanza de pagos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Sector externo y balanza de pagos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EXTERNO Y BALANZA DE PAGOS</dc:description>
  <dc:language>es</dc:language>
  <cp:keywords>keyword1, keyword2</cp:keywords>
  <dcterms:created xsi:type="dcterms:W3CDTF">2025-12-22T10:43:31Z</dcterms:created>
  <dcterms:modified xsi:type="dcterms:W3CDTF">2025-12-22T10:43:31Z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2021-12-27</vt:lpwstr>
  </property>
  <property fmtid="{D5CDD505-2E9C-101B-9397-08002B2CF9AE}" pid="7" name="apatitle">
    <vt:lpwstr>SECTOR EXTERNO Y BALANZA DE PAGOS</vt:lpwstr>
  </property>
  <property fmtid="{D5CDD505-2E9C-101B-9397-08002B2CF9AE}" pid="8" name="apatitledisplay">
    <vt:lpwstr>Sector externo y balanza de pagos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2021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107</vt:lpwstr>
  </property>
  <property fmtid="{D5CDD505-2E9C-101B-9397-08002B2CF9AE}" pid="93" name="zerocitations">
    <vt:lpwstr>True</vt:lpwstr>
  </property>
</Properties>
</file>