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 Mundell-Fleming: economía abierta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Modelo Mundell-Fleming: economía abierta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 MUNDELL-FLEMING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2021-12-20</vt:lpwstr>
  </property>
  <property fmtid="{D5CDD505-2E9C-101B-9397-08002B2CF9AE}" pid="7" name="apasubtitle">
    <vt:lpwstr>economía abierta</vt:lpwstr>
  </property>
  <property fmtid="{D5CDD505-2E9C-101B-9397-08002B2CF9AE}" pid="8" name="apatitle">
    <vt:lpwstr>MODELO MUNDELL-FLEMING</vt:lpwstr>
  </property>
  <property fmtid="{D5CDD505-2E9C-101B-9397-08002B2CF9AE}" pid="9" name="apatitledisplay">
    <vt:lpwstr>Modelo Mundell-Fleming: economía abierta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macroeconomia_i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114</vt:lpwstr>
  </property>
  <property fmtid="{D5CDD505-2E9C-101B-9397-08002B2CF9AE}" pid="101" name="zerocitations">
    <vt:lpwstr>True</vt:lpwstr>
  </property>
</Properties>
</file>