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Solución de problemas frecuentes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Solución de problemas frecuentes en i3wm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SOLUCIÓN DE PROBLEMAS FRECUENTES EN I3WM</dc:description>
  <dc:language>es</dc:language>
  <cp:keywords>keyword1, keyword2</cp:keywords>
  <dcterms:created xsi:type="dcterms:W3CDTF">2025-12-22T11:11:48Z</dcterms:created>
  <dcterms:modified xsi:type="dcterms:W3CDTF">2025-12-22T11:11:48Z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2020-02-23</vt:lpwstr>
  </property>
  <property fmtid="{D5CDD505-2E9C-101B-9397-08002B2CF9AE}" pid="7" name="apatitle">
    <vt:lpwstr>SOLUCIÓN DE PROBLEMAS FRECUENTES EN I3WM</vt:lpwstr>
  </property>
  <property fmtid="{D5CDD505-2E9C-101B-9397-08002B2CF9AE}" pid="8" name="apatitledisplay">
    <vt:lpwstr>Solución de problemas frecuentes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339</vt:lpwstr>
  </property>
  <property fmtid="{D5CDD505-2E9C-101B-9397-08002B2CF9AE}" pid="93" name="zerocitations">
    <vt:lpwstr>True</vt:lpwstr>
  </property>
</Properties>
</file>