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Institutos públicos de Ayacucho: sin luchas no hay victorias: Cifras, normas y responsables: por qué la ley exige calidad sin asegurar quién la paga, y una agenda estudiantil para exigirlo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 A los estudiantes de institutos de Ayacucho que redactaron el pronunciamiento que dio origen a este texto.</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FirstParagraph"/>
      </w:pPr>
      <w:r>
        <w:rPr>
          <w:i/>
          <w:iCs/>
        </w:rPr>
        <w:t xml:space="preserve">Palabras clave</w:t>
      </w:r>
      <w:r>
        <w:t xml:space="preserve">: public higher education, technical and pedagogical institutes, education spending, licensing, student organization, Ayacucho</w:t>
      </w:r>
    </w:p>
    <w:p>
      <w:r>
        <w:br w:type="page"/>
      </w:r>
    </w:p>
    <w:bookmarkEnd w:id="27"/>
    <w:bookmarkStart w:id="31" w:name="firstheader"/>
    <w:p>
      <w:pPr>
        <w:pStyle w:val="Heading1"/>
      </w:pPr>
      <w:r>
        <w:t xml:space="preserve">Institutos públicos de Ayacucho: sin luchas no hay victorias: Cifras, normas y responsables: por qué la ley exige calidad sin asegurar quién la paga, y una agenda estudiantil para exigirlo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En pocas palabras</w:t>
            </w:r>
          </w:p>
          <w:p>
            <w:pPr>
              <w:pStyle w:val="Compact"/>
              <w:numPr>
                <w:ilvl w:val="0"/>
                <w:numId w:val="1001"/>
              </w:numPr>
            </w:pPr>
            <w:r>
              <w:rPr>
                <w:b/>
                <w:bCs/>
              </w:rPr>
              <w:t xml:space="preserve">El problema.</w:t>
            </w:r>
            <w:r>
              <w:t xml:space="preserve"> </w:t>
            </w:r>
            <w:r>
              <w:t xml:space="preserve">En Ayacucho, 10 de los 16 institutos tecnológicos públicos del sector Educación no tienen licencia</w:t>
            </w:r>
            <w:r>
              <w:t xml:space="preserve"> </w:t>
            </w:r>
            <w:r>
              <w:t xml:space="preserve">para funcionar con condiciones básicas de calidad. En cambio, todas las escuelas pedagógicas públicas de la región sí</w:t>
            </w:r>
            <w:r>
              <w:t xml:space="preserve"> </w:t>
            </w:r>
            <w:r>
              <w:t xml:space="preserve">la tienen.</w:t>
            </w:r>
          </w:p>
          <w:p>
            <w:pPr>
              <w:pStyle w:val="Compact"/>
              <w:numPr>
                <w:ilvl w:val="0"/>
                <w:numId w:val="1001"/>
              </w:numPr>
            </w:pPr>
            <w:r>
              <w:rPr>
                <w:b/>
                <w:bCs/>
              </w:rPr>
              <w:t xml:space="preserve">Lo que sostengo.</w:t>
            </w:r>
            <w:r>
              <w:t xml:space="preserve"> </w:t>
            </w:r>
            <w:r>
              <w:t xml:space="preserve">La diferencia no se explica solo por falta de dinero. La ley exige a todos los institutos las</w:t>
            </w:r>
            <w:r>
              <w:t xml:space="preserve"> </w:t>
            </w:r>
            <w:r>
              <w:t xml:space="preserve">mismas condiciones de calidad, pero solo garantiza recursos para infraestructura y equipamiento a las escuelas</w:t>
            </w:r>
            <w:r>
              <w:t xml:space="preserve"> </w:t>
            </w:r>
            <w:r>
              <w:t xml:space="preserve">pedagógicas. Además, la reforma se aprobó sin presupuesto adicional, y el Gobierno Regional, que administra los</w:t>
            </w:r>
            <w:r>
              <w:t xml:space="preserve"> </w:t>
            </w:r>
            <w:r>
              <w:t xml:space="preserve">institutos, les destina el 1,8 % de su presupuesto.</w:t>
            </w:r>
          </w:p>
          <w:p>
            <w:pPr>
              <w:pStyle w:val="Compact"/>
              <w:numPr>
                <w:ilvl w:val="0"/>
                <w:numId w:val="1001"/>
              </w:numPr>
            </w:pPr>
            <w:r>
              <w:rPr>
                <w:b/>
                <w:bCs/>
              </w:rPr>
              <w:t xml:space="preserve">La propuesta.</w:t>
            </w:r>
            <w:r>
              <w:t xml:space="preserve"> </w:t>
            </w:r>
            <w:r>
              <w:t xml:space="preserve">Una coordinadora de estudiantes de institutos públicos de Ayacucho que convierta las demandas</w:t>
            </w:r>
            <w:r>
              <w:t xml:space="preserve"> </w:t>
            </w:r>
            <w:r>
              <w:t xml:space="preserve">sueltas en pedidos con fundamento, destinatario, plazo e indicador.</w:t>
            </w:r>
          </w:p>
        </w:tc>
      </w:tr>
    </w:tbl>
    <w:p>
      <w:pPr>
        <w:pStyle w:val="FirstParagraph"/>
      </w:pPr>
      <w:r>
        <w:t xml:space="preserve">Este texto parte de un pronunciamiento de estudiantes de institutos de Ayacucho que circula con una consigna sencilla,</w:t>
      </w:r>
      <w:r>
        <w:t xml:space="preserve"> </w:t>
      </w:r>
      <w:r>
        <w:rPr>
          <w:i/>
          <w:iCs/>
        </w:rPr>
        <w:t xml:space="preserve">sin luchas no hay victorias</w:t>
      </w:r>
      <w:r>
        <w:t xml:space="preserve">. El pronunciamiento denuncia institutos sin laboratorios, sin equipos y sin locales</w:t>
      </w:r>
      <w:r>
        <w:t xml:space="preserve"> </w:t>
      </w:r>
      <w:r>
        <w:t xml:space="preserve">adecuados, y llama a la unidad. Aquí intento darle a esa denuncia el respaldo que merece: cifras oficiales, normas</w:t>
      </w:r>
      <w:r>
        <w:t xml:space="preserve"> </w:t>
      </w:r>
      <w:r>
        <w:t xml:space="preserve">vigentes y una explicación de por qué ocurre lo que ocurre.</w:t>
      </w:r>
    </w:p>
    <w:p>
      <w:pPr>
        <w:pStyle w:val="BodyText"/>
      </w:pPr>
      <w:r>
        <w:t xml:space="preserve">En el camino separo tres tipos de afirmaciones. Cuando escribo «los datos muestran», remito a una fuente que cualquiera</w:t>
      </w:r>
      <w:r>
        <w:t xml:space="preserve"> </w:t>
      </w:r>
      <w:r>
        <w:t xml:space="preserve">puede consultar. Cuando escribo «observé», hablo de lo que vi en visitas a algunos institutos, sin pretender que valga</w:t>
      </w:r>
      <w:r>
        <w:t xml:space="preserve"> </w:t>
      </w:r>
      <w:r>
        <w:t xml:space="preserve">para todos. Cuando escribo «sostengo», es mi interpretación, y la someto a las objeciones que me parecen más serias. El</w:t>
      </w:r>
      <w:r>
        <w:t xml:space="preserve"> </w:t>
      </w:r>
      <w:r>
        <w:t xml:space="preserve">análisis se ocupa de los institutos y escuelas públicos de educación superior de Ayacucho; la universidad y la</w:t>
      </w:r>
      <w:r>
        <w:t xml:space="preserve"> </w:t>
      </w:r>
      <w:r>
        <w:t xml:space="preserve">educación básica aparecen solo como contexto. Todas las cifras se consultaron el 24 de octubre de 2026.</w:t>
      </w:r>
    </w:p>
    <w:bookmarkEnd w:id="31"/>
    <w:bookmarkStart w:id="32" w:name="Xe5f0429a4406e3b034e7c37497f72dbbfed3bdb"/>
    <w:p>
      <w:pPr>
        <w:pStyle w:val="Heading1"/>
      </w:pPr>
      <w:r>
        <w:t xml:space="preserve">La desigualdad empieza antes del instituto</w:t>
      </w:r>
    </w:p>
    <w:p>
      <w:pPr>
        <w:pStyle w:val="FirstParagraph"/>
      </w:pPr>
      <w:r>
        <w:t xml:space="preserve">Para muchos jóvenes de Ayacucho, el instituto público es la opción realista de educación superior: no cobra pensión,</w:t>
      </w:r>
      <w:r>
        <w:t xml:space="preserve"> </w:t>
      </w:r>
      <w:r>
        <w:t xml:space="preserve">dura tres años y suele estar en la capital de la provincia. Esa función se entiende mejor mirando quiénes llegan a la</w:t>
      </w:r>
      <w:r>
        <w:t xml:space="preserve"> </w:t>
      </w:r>
      <w:r>
        <w:t xml:space="preserve">educación superior y quiénes no.</w:t>
      </w:r>
    </w:p>
    <w:p>
      <w:pPr>
        <w:pStyle w:val="BodyText"/>
      </w:pPr>
      <w:r>
        <w:t xml:space="preserve">Los datos muestran que el acceso es estrecho y desigual. Entre 2014 y 2018, en promedio, solo tres de cada diez jóvenes</w:t>
      </w:r>
      <w:r>
        <w:t xml:space="preserve"> </w:t>
      </w:r>
      <w:r>
        <w:t xml:space="preserve">de 15 a 19 años que aprobaron el quinto de secundaria pasaron a la educación superior al año siguiente. En el 20 % de</w:t>
      </w:r>
      <w:r>
        <w:t xml:space="preserve"> </w:t>
      </w:r>
      <w:r>
        <w:t xml:space="preserve">hogares con menor gasto por persona lo hizo el 21,8 %; en el 20 % con mayor gasto, el 52,7 %. En Ayacucho la tasa fue</w:t>
      </w:r>
      <w:r>
        <w:t xml:space="preserve"> </w:t>
      </w:r>
      <w:r>
        <w:t xml:space="preserve">de 19,9 %, una de las más bajas del país</w:t>
      </w:r>
      <w:r>
        <w:t xml:space="preserve"> </w:t>
      </w:r>
      <w:r>
        <w:t xml:space="preserve">(</w:t>
      </w:r>
      <w:hyperlink w:anchor="Xef45cd342ded7bcb8dea3c1c539a98ad7f38207">
        <w:r>
          <w:rPr>
            <w:rStyle w:val="Hyperlink"/>
          </w:rPr>
          <w:t xml:space="preserve">Ministerio de Educación, 2020, pp. 26-27</w:t>
        </w:r>
      </w:hyperlink>
      <w:r>
        <w:t xml:space="preserve">)</w:t>
      </w:r>
      <w:r>
        <w:t xml:space="preserve">. La cifra</w:t>
      </w:r>
      <w:r>
        <w:t xml:space="preserve"> </w:t>
      </w:r>
      <w:r>
        <w:t xml:space="preserve">mide la</w:t>
      </w:r>
      <w:r>
        <w:t xml:space="preserve"> </w:t>
      </w:r>
      <w:r>
        <w:rPr>
          <w:i/>
          <w:iCs/>
        </w:rPr>
        <w:t xml:space="preserve">transición inmediata</w:t>
      </w:r>
      <w:r>
        <w:t xml:space="preserve">, es decir, quién entra al año siguiente de terminar el colegio; no cuenta a quienes</w:t>
      </w:r>
      <w:r>
        <w:t xml:space="preserve"> </w:t>
      </w:r>
      <w:r>
        <w:t xml:space="preserve">entran más tarde.</w:t>
      </w:r>
    </w:p>
    <w:p>
      <w:pPr>
        <w:pStyle w:val="BodyText"/>
      </w:pPr>
      <w:r>
        <w:t xml:space="preserve">La desigualdad también viene del colegio. En la prueba PISA de 2022, que evalúa a estudiantes de quince años, solo el</w:t>
      </w:r>
      <w:r>
        <w:t xml:space="preserve"> </w:t>
      </w:r>
      <w:r>
        <w:t xml:space="preserve">33,8 % de los peruanos alcanzó al menos el nivel 2 en Matemática, el 47,4 % en Ciencia y el 49,6 % en Lectura</w:t>
      </w:r>
      <w:r>
        <w:t xml:space="preserve"> </w:t>
      </w:r>
      <w:r>
        <w:t xml:space="preserve">(</w:t>
      </w:r>
      <w:hyperlink w:anchor="X66aeccf5407694c3fe88b28c4273626f3eec026">
        <w:r>
          <w:rPr>
            <w:rStyle w:val="Hyperlink"/>
          </w:rPr>
          <w:t xml:space="preserve">Ministerio de Educación, 2024, p. 46</w:t>
        </w:r>
      </w:hyperlink>
      <w:r>
        <w:t xml:space="preserve">)</w:t>
      </w:r>
      <w:r>
        <w:t xml:space="preserve">. La Organización para la Cooperación y el Desarrollo Económicos (OCDE)</w:t>
      </w:r>
      <w:r>
        <w:t xml:space="preserve"> </w:t>
      </w:r>
      <w:r>
        <w:t xml:space="preserve">define el nivel 2 como la línea de base desde la cual un estudiante empieza a mostrar las competencias necesarias para</w:t>
      </w:r>
      <w:r>
        <w:t xml:space="preserve"> </w:t>
      </w:r>
      <w:r>
        <w:t xml:space="preserve">participar en la vida como estudiante, trabajador y ciudadano</w:t>
      </w:r>
      <w:r>
        <w:t xml:space="preserve"> </w:t>
      </w:r>
      <w:r>
        <w:t xml:space="preserve">(</w:t>
      </w:r>
      <w:hyperlink w:anchor="X66aeccf5407694c3fe88b28c4273626f3eec026">
        <w:r>
          <w:rPr>
            <w:rStyle w:val="Hyperlink"/>
          </w:rPr>
          <w:t xml:space="preserve">Ministerio de Educación, 2024, p. 45</w:t>
        </w:r>
      </w:hyperlink>
      <w:r>
        <w:t xml:space="preserve">)</w:t>
      </w:r>
      <w:r>
        <w:t xml:space="preserve">. Esa cifra describe a una muestra nacional de</w:t>
      </w:r>
      <w:r>
        <w:t xml:space="preserve"> </w:t>
      </w:r>
      <w:r>
        <w:t xml:space="preserve">estudiantes de quince años, no a los ingresantes de un instituto concreto. Sirve para algo más modesto: recordar que</w:t>
      </w:r>
      <w:r>
        <w:t xml:space="preserve"> </w:t>
      </w:r>
      <w:r>
        <w:t xml:space="preserve">los institutos reciben a jóvenes de un sistema escolar con déficits conocidos y que nivelarlos exige recursos.</w:t>
      </w:r>
    </w:p>
    <w:p>
      <w:pPr>
        <w:pStyle w:val="BodyText"/>
      </w:pPr>
      <w:r>
        <w:t xml:space="preserve">¿Qué ofrece el Estado a esos jóvenes? Para el semestre 2025-I, 343 institutos tecnológicos públicos en proceso de</w:t>
      </w:r>
      <w:r>
        <w:t xml:space="preserve"> </w:t>
      </w:r>
      <w:r>
        <w:t xml:space="preserve">admisión ofrecieron 48 196 vacantes gratuitas en todo el país</w:t>
      </w:r>
      <w:r>
        <w:t xml:space="preserve"> </w:t>
      </w:r>
      <w:r>
        <w:t xml:space="preserve">(</w:t>
      </w:r>
      <w:hyperlink w:anchor="X97d23f0cf2a2083e20018c1e98e190df39896ba">
        <w:r>
          <w:rPr>
            <w:rStyle w:val="Hyperlink"/>
          </w:rPr>
          <w:t xml:space="preserve">Ministerio de Educación, 2025b</w:t>
        </w:r>
      </w:hyperlink>
      <w:r>
        <w:t xml:space="preserve">)</w:t>
      </w:r>
      <w:r>
        <w:t xml:space="preserve">.</w:t>
      </w:r>
      <w:r>
        <w:t xml:space="preserve"> </w:t>
      </w:r>
      <w:r>
        <w:t xml:space="preserve">Aun así, el sector privado concentra la matrícula: según el Censo Educativo 2025, de cada cuatro estudiantes de</w:t>
      </w:r>
      <w:r>
        <w:t xml:space="preserve"> </w:t>
      </w:r>
      <w:r>
        <w:t xml:space="preserve">educación superior tecnológica, casi tres están en un instituto privado (385 626 frente a 138 211), y en Ayacucho la</w:t>
      </w:r>
      <w:r>
        <w:t xml:space="preserve"> </w:t>
      </w:r>
      <w:r>
        <w:t xml:space="preserve">proporción es la misma, 9 390 frente a 3 341</w:t>
      </w:r>
      <w:r>
        <w:t xml:space="preserve"> </w:t>
      </w:r>
      <w:r>
        <w:t xml:space="preserve">(</w:t>
      </w:r>
      <w:hyperlink w:anchor="X15633c205e8369b196e54c409cdb94b3d6d023e">
        <w:r>
          <w:rPr>
            <w:rStyle w:val="Hyperlink"/>
          </w:rPr>
          <w:t xml:space="preserve">Ministerio de Educación, 2025a</w:t>
        </w:r>
      </w:hyperlink>
      <w:r>
        <w:t xml:space="preserve">)</w:t>
      </w:r>
      <w:r>
        <w:t xml:space="preserve">.</w:t>
      </w:r>
    </w:p>
    <w:p>
      <w:pPr>
        <w:pStyle w:val="BodyText"/>
      </w:pPr>
      <w:r>
        <w:t xml:space="preserve">La región no es una excepción. La expansión de la educación superior latinoamericana en lo que va del siglo se apoyó en</w:t>
      </w:r>
      <w:r>
        <w:t xml:space="preserve"> </w:t>
      </w:r>
      <w:r>
        <w:t xml:space="preserve">buena parte en instituciones privadas, llevó a ellas a estudiantes de menores ingresos y produjo una calidad muy</w:t>
      </w:r>
      <w:r>
        <w:t xml:space="preserve"> </w:t>
      </w:r>
      <w:r>
        <w:t xml:space="preserve">desigual entre instituciones</w:t>
      </w:r>
      <w:r>
        <w:t xml:space="preserve"> </w:t>
      </w:r>
      <w:r>
        <w:t xml:space="preserve">(</w:t>
      </w:r>
      <w:hyperlink w:anchor="X00e4faf6821201007f7f0fb32d764f38a03194f">
        <w:r>
          <w:rPr>
            <w:rStyle w:val="Hyperlink"/>
          </w:rPr>
          <w:t xml:space="preserve">Ferreyra et al., 2017</w:t>
        </w:r>
      </w:hyperlink>
      <w:r>
        <w:t xml:space="preserve">)</w:t>
      </w:r>
      <w:r>
        <w:t xml:space="preserve">. Para los programas técnicos cortos, como los de</w:t>
      </w:r>
      <w:r>
        <w:t xml:space="preserve"> </w:t>
      </w:r>
      <w:r>
        <w:t xml:space="preserve">un instituto, la evidencia regional indica que suelen mejorar los ingresos de sus egresados frente a quienes solo</w:t>
      </w:r>
      <w:r>
        <w:t xml:space="preserve"> </w:t>
      </w:r>
      <w:r>
        <w:t xml:space="preserve">terminaron la secundaria, aunque esos resultados varían mucho de un programa a otro</w:t>
      </w:r>
      <w:r>
        <w:t xml:space="preserve"> </w:t>
      </w:r>
      <w:r>
        <w:t xml:space="preserve">(</w:t>
      </w:r>
      <w:hyperlink w:anchor="ref-ferreyraFastTrackNew2021">
        <w:r>
          <w:rPr>
            <w:rStyle w:val="Hyperlink"/>
          </w:rPr>
          <w:t xml:space="preserve">Ferreyra et al., 2021</w:t>
        </w:r>
      </w:hyperlink>
      <w:r>
        <w:t xml:space="preserve">)</w:t>
      </w:r>
      <w:r>
        <w:t xml:space="preserve">. En el Perú, además, el subempleo de los egresados de educación superior es un problema</w:t>
      </w:r>
      <w:r>
        <w:t xml:space="preserve"> </w:t>
      </w:r>
      <w:r>
        <w:t xml:space="preserve">persistente, como documentan Yamada y Lavado</w:t>
      </w:r>
      <w:r>
        <w:t xml:space="preserve"> </w:t>
      </w:r>
      <w:r>
        <w:t xml:space="preserve">(</w:t>
      </w:r>
      <w:hyperlink w:anchor="ref-yamadaEducacionSuperiorEmpleo2017">
        <w:r>
          <w:rPr>
            <w:rStyle w:val="Hyperlink"/>
          </w:rPr>
          <w:t xml:space="preserve">2017</w:t>
        </w:r>
      </w:hyperlink>
      <w:r>
        <w:t xml:space="preserve">)</w:t>
      </w:r>
      <w:r>
        <w:t xml:space="preserve">. La calidad del instituto, entonces, no es un detalle: decide si el</w:t>
      </w:r>
      <w:r>
        <w:t xml:space="preserve"> </w:t>
      </w:r>
      <w:r>
        <w:t xml:space="preserve">título abre una puerta o no.</w:t>
      </w:r>
    </w:p>
    <w:bookmarkEnd w:id="32"/>
    <w:bookmarkStart w:id="35" w:name="Xcf29c2e5492e7be070eb3e58a645550da82d445"/>
    <w:p>
      <w:pPr>
        <w:pStyle w:val="Heading1"/>
      </w:pPr>
      <w:r>
        <w:t xml:space="preserve">Los institutos públicos de Ayacucho, uno por uno</w:t>
      </w:r>
    </w:p>
    <w:p>
      <w:pPr>
        <w:pStyle w:val="FirstParagraph"/>
      </w:pPr>
      <w:r>
        <w:t xml:space="preserve">Ayacucho tiene 16 institutos tecnológicos públicos del sector Educación, uno o más en cada una de sus once provincias,</w:t>
      </w:r>
      <w:r>
        <w:t xml:space="preserve"> </w:t>
      </w:r>
      <w:r>
        <w:t xml:space="preserve">además de la escuela técnica de la Policía Nacional en Huamanga. Tiene también cinco escuelas pedagógicas públicas y dos</w:t>
      </w:r>
      <w:r>
        <w:t xml:space="preserve"> </w:t>
      </w:r>
      <w:r>
        <w:t xml:space="preserve">escuelas de formación artística públicas</w:t>
      </w:r>
      <w:r>
        <w:t xml:space="preserve"> </w:t>
      </w:r>
      <w:r>
        <w:t xml:space="preserve">(</w:t>
      </w:r>
      <w:hyperlink w:anchor="X15633c205e8369b196e54c409cdb94b3d6d023e">
        <w:r>
          <w:rPr>
            <w:rStyle w:val="Hyperlink"/>
          </w:rPr>
          <w:t xml:space="preserve">Ministerio de Educación, 2025a</w:t>
        </w:r>
      </w:hyperlink>
      <w:r>
        <w:t xml:space="preserve">)</w:t>
      </w:r>
      <w:r>
        <w:t xml:space="preserve">. La</w:t>
      </w:r>
      <w:r>
        <w:t xml:space="preserve"> </w:t>
      </w:r>
      <w:hyperlink w:anchor="tbl-ayacucho">
        <w:r>
          <w:rPr>
            <w:rStyle w:val="Hyperlink"/>
          </w:rPr>
          <w:t xml:space="preserve">Tabla 1</w:t>
        </w:r>
      </w:hyperlink>
      <w:r>
        <w:t xml:space="preserve"> </w:t>
      </w:r>
      <w:r>
        <w:t xml:space="preserve">muestra los tecnológicos, con su matrícula y si tienen licencia.</w:t>
      </w:r>
    </w:p>
    <w:bookmarkStart w:id="33" w:name="tbl-ayacucho"/>
    <w:p>
      <w:pPr>
        <w:pStyle w:val="FigureTitle"/>
      </w:pPr>
      <w:r>
        <w:t xml:space="preserve">Tabla 1</w:t>
      </w:r>
    </w:p>
    <w:p>
      <w:pPr>
        <w:pStyle w:val="Caption"/>
      </w:pPr>
      <w:r>
        <w:t xml:space="preserve">Institutos tecnológicos públicos del sector Educación en Ayacucho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Instituto</w:t>
            </w:r>
          </w:p>
        </w:tc>
        <w:tc>
          <w:tcPr/>
          <w:p>
            <w:pPr>
              <w:pStyle w:val="Compact"/>
            </w:pPr>
            <w:r>
              <w:t xml:space="preserve">Provincia</w:t>
            </w:r>
          </w:p>
        </w:tc>
        <w:tc>
          <w:tcPr/>
          <w:p>
            <w:pPr>
              <w:pStyle w:val="Compact"/>
              <w:jc w:val="right"/>
            </w:pPr>
            <w:r>
              <w:t xml:space="preserve">Matrícula</w:t>
            </w:r>
          </w:p>
        </w:tc>
        <w:tc>
          <w:tcPr/>
          <w:p>
            <w:pPr>
              <w:pStyle w:val="Compact"/>
            </w:pPr>
            <w:r>
              <w:t xml:space="preserve">Licencia</w:t>
            </w:r>
          </w:p>
        </w:tc>
      </w:tr>
      <w:tr>
        <w:tc>
          <w:tcPr/>
          <w:p>
            <w:pPr>
              <w:pStyle w:val="Compact"/>
            </w:pPr>
            <w:r>
              <w:t xml:space="preserve">Víctor Álvarez Huapaya</w:t>
            </w:r>
          </w:p>
        </w:tc>
        <w:tc>
          <w:tcPr/>
          <w:p>
            <w:pPr>
              <w:pStyle w:val="Compact"/>
            </w:pPr>
            <w:r>
              <w:t xml:space="preserve">Huamanga</w:t>
            </w:r>
          </w:p>
        </w:tc>
        <w:tc>
          <w:tcPr/>
          <w:p>
            <w:pPr>
              <w:pStyle w:val="Compact"/>
              <w:jc w:val="right"/>
            </w:pPr>
            <w:r>
              <w:t xml:space="preserve">545</w:t>
            </w:r>
          </w:p>
        </w:tc>
        <w:tc>
          <w:tcPr/>
          <w:p>
            <w:pPr>
              <w:pStyle w:val="Compact"/>
            </w:pPr>
            <w:r>
              <w:t xml:space="preserve">Sí</w:t>
            </w:r>
          </w:p>
        </w:tc>
      </w:tr>
      <w:tr>
        <w:tc>
          <w:tcPr/>
          <w:p>
            <w:pPr>
              <w:pStyle w:val="Compact"/>
            </w:pPr>
            <w:r>
              <w:t xml:space="preserve">Manuel Antonio Hierro Pozo</w:t>
            </w:r>
          </w:p>
        </w:tc>
        <w:tc>
          <w:tcPr/>
          <w:p>
            <w:pPr>
              <w:pStyle w:val="Compact"/>
            </w:pPr>
            <w:r>
              <w:t xml:space="preserve">Huamanga</w:t>
            </w:r>
          </w:p>
        </w:tc>
        <w:tc>
          <w:tcPr/>
          <w:p>
            <w:pPr>
              <w:pStyle w:val="Compact"/>
              <w:jc w:val="right"/>
            </w:pPr>
            <w:r>
              <w:t xml:space="preserve">430</w:t>
            </w:r>
          </w:p>
        </w:tc>
        <w:tc>
          <w:tcPr/>
          <w:p>
            <w:pPr>
              <w:pStyle w:val="Compact"/>
            </w:pPr>
            <w:r>
              <w:t xml:space="preserve">Sí</w:t>
            </w:r>
          </w:p>
        </w:tc>
      </w:tr>
      <w:tr>
        <w:tc>
          <w:tcPr/>
          <w:p>
            <w:pPr>
              <w:pStyle w:val="Compact"/>
            </w:pPr>
            <w:r>
              <w:t xml:space="preserve">Huanta</w:t>
            </w:r>
          </w:p>
        </w:tc>
        <w:tc>
          <w:tcPr/>
          <w:p>
            <w:pPr>
              <w:pStyle w:val="Compact"/>
            </w:pPr>
            <w:r>
              <w:t xml:space="preserve">Huanta</w:t>
            </w:r>
          </w:p>
        </w:tc>
        <w:tc>
          <w:tcPr/>
          <w:p>
            <w:pPr>
              <w:pStyle w:val="Compact"/>
              <w:jc w:val="right"/>
            </w:pPr>
            <w:r>
              <w:t xml:space="preserve">384</w:t>
            </w:r>
          </w:p>
        </w:tc>
        <w:tc>
          <w:tcPr/>
          <w:p>
            <w:pPr>
              <w:pStyle w:val="Compact"/>
            </w:pPr>
            <w:r>
              <w:t xml:space="preserve">Sí</w:t>
            </w:r>
          </w:p>
        </w:tc>
      </w:tr>
      <w:tr>
        <w:tc>
          <w:tcPr/>
          <w:p>
            <w:pPr>
              <w:pStyle w:val="Compact"/>
            </w:pPr>
            <w:r>
              <w:t xml:space="preserve">José María Arguedas</w:t>
            </w:r>
          </w:p>
        </w:tc>
        <w:tc>
          <w:tcPr/>
          <w:p>
            <w:pPr>
              <w:pStyle w:val="Compact"/>
            </w:pPr>
            <w:r>
              <w:t xml:space="preserve">Lucanas (Puquio)</w:t>
            </w:r>
          </w:p>
        </w:tc>
        <w:tc>
          <w:tcPr/>
          <w:p>
            <w:pPr>
              <w:pStyle w:val="Compact"/>
              <w:jc w:val="right"/>
            </w:pPr>
            <w:r>
              <w:t xml:space="preserve">358</w:t>
            </w:r>
          </w:p>
        </w:tc>
        <w:tc>
          <w:tcPr/>
          <w:p>
            <w:pPr>
              <w:pStyle w:val="Compact"/>
            </w:pPr>
            <w:r>
              <w:t xml:space="preserve">No</w:t>
            </w:r>
          </w:p>
        </w:tc>
      </w:tr>
      <w:tr>
        <w:tc>
          <w:tcPr/>
          <w:p>
            <w:pPr>
              <w:pStyle w:val="Compact"/>
            </w:pPr>
            <w:r>
              <w:t xml:space="preserve">César Augusto Guardia Mayorga</w:t>
            </w:r>
          </w:p>
        </w:tc>
        <w:tc>
          <w:tcPr/>
          <w:p>
            <w:pPr>
              <w:pStyle w:val="Compact"/>
            </w:pPr>
            <w:r>
              <w:t xml:space="preserve">Parinacochas (Coracora)</w:t>
            </w:r>
          </w:p>
        </w:tc>
        <w:tc>
          <w:tcPr/>
          <w:p>
            <w:pPr>
              <w:pStyle w:val="Compact"/>
              <w:jc w:val="right"/>
            </w:pPr>
            <w:r>
              <w:t xml:space="preserve">352</w:t>
            </w:r>
          </w:p>
        </w:tc>
        <w:tc>
          <w:tcPr/>
          <w:p>
            <w:pPr>
              <w:pStyle w:val="Compact"/>
            </w:pPr>
            <w:r>
              <w:t xml:space="preserve">No</w:t>
            </w:r>
          </w:p>
        </w:tc>
      </w:tr>
      <w:tr>
        <w:tc>
          <w:tcPr/>
          <w:p>
            <w:pPr>
              <w:pStyle w:val="Compact"/>
            </w:pPr>
            <w:r>
              <w:t xml:space="preserve">Perú Corea del Sur</w:t>
            </w:r>
          </w:p>
        </w:tc>
        <w:tc>
          <w:tcPr/>
          <w:p>
            <w:pPr>
              <w:pStyle w:val="Compact"/>
            </w:pPr>
            <w:r>
              <w:t xml:space="preserve">Víctor Fajardo (Huancapi)</w:t>
            </w:r>
          </w:p>
        </w:tc>
        <w:tc>
          <w:tcPr/>
          <w:p>
            <w:pPr>
              <w:pStyle w:val="Compact"/>
              <w:jc w:val="right"/>
            </w:pPr>
            <w:r>
              <w:t xml:space="preserve">146</w:t>
            </w:r>
          </w:p>
        </w:tc>
        <w:tc>
          <w:tcPr/>
          <w:p>
            <w:pPr>
              <w:pStyle w:val="Compact"/>
            </w:pPr>
            <w:r>
              <w:t xml:space="preserve">Sí</w:t>
            </w:r>
          </w:p>
        </w:tc>
      </w:tr>
      <w:tr>
        <w:tc>
          <w:tcPr/>
          <w:p>
            <w:pPr>
              <w:pStyle w:val="Compact"/>
            </w:pPr>
            <w:r>
              <w:t xml:space="preserve">San Miguel</w:t>
            </w:r>
          </w:p>
        </w:tc>
        <w:tc>
          <w:tcPr/>
          <w:p>
            <w:pPr>
              <w:pStyle w:val="Compact"/>
            </w:pPr>
            <w:r>
              <w:t xml:space="preserve">La Mar</w:t>
            </w:r>
          </w:p>
        </w:tc>
        <w:tc>
          <w:tcPr/>
          <w:p>
            <w:pPr>
              <w:pStyle w:val="Compact"/>
              <w:jc w:val="right"/>
            </w:pPr>
            <w:r>
              <w:t xml:space="preserve">145</w:t>
            </w:r>
          </w:p>
        </w:tc>
        <w:tc>
          <w:tcPr/>
          <w:p>
            <w:pPr>
              <w:pStyle w:val="Compact"/>
            </w:pPr>
            <w:r>
              <w:t xml:space="preserve">No</w:t>
            </w:r>
          </w:p>
        </w:tc>
      </w:tr>
      <w:tr>
        <w:tc>
          <w:tcPr/>
          <w:p>
            <w:pPr>
              <w:pStyle w:val="Compact"/>
            </w:pPr>
            <w:r>
              <w:t xml:space="preserve">Federico Gonzales Cabezudo</w:t>
            </w:r>
          </w:p>
        </w:tc>
        <w:tc>
          <w:tcPr/>
          <w:p>
            <w:pPr>
              <w:pStyle w:val="Compact"/>
            </w:pPr>
            <w:r>
              <w:t xml:space="preserve">Huanca Sancos</w:t>
            </w:r>
          </w:p>
        </w:tc>
        <w:tc>
          <w:tcPr/>
          <w:p>
            <w:pPr>
              <w:pStyle w:val="Compact"/>
              <w:jc w:val="right"/>
            </w:pPr>
            <w:r>
              <w:t xml:space="preserve">137</w:t>
            </w:r>
          </w:p>
        </w:tc>
        <w:tc>
          <w:tcPr/>
          <w:p>
            <w:pPr>
              <w:pStyle w:val="Compact"/>
            </w:pPr>
            <w:r>
              <w:t xml:space="preserve">No</w:t>
            </w:r>
          </w:p>
        </w:tc>
      </w:tr>
      <w:tr>
        <w:tc>
          <w:tcPr/>
          <w:p>
            <w:pPr>
              <w:pStyle w:val="Compact"/>
            </w:pPr>
            <w:r>
              <w:t xml:space="preserve">Virgen del Rosario</w:t>
            </w:r>
          </w:p>
        </w:tc>
        <w:tc>
          <w:tcPr/>
          <w:p>
            <w:pPr>
              <w:pStyle w:val="Compact"/>
            </w:pPr>
            <w:r>
              <w:t xml:space="preserve">Lucanas (Laramate)</w:t>
            </w:r>
          </w:p>
        </w:tc>
        <w:tc>
          <w:tcPr/>
          <w:p>
            <w:pPr>
              <w:pStyle w:val="Compact"/>
              <w:jc w:val="right"/>
            </w:pPr>
            <w:r>
              <w:t xml:space="preserve">119</w:t>
            </w:r>
          </w:p>
        </w:tc>
        <w:tc>
          <w:tcPr/>
          <w:p>
            <w:pPr>
              <w:pStyle w:val="Compact"/>
            </w:pPr>
            <w:r>
              <w:t xml:space="preserve">No</w:t>
            </w:r>
          </w:p>
        </w:tc>
      </w:tr>
      <w:tr>
        <w:tc>
          <w:tcPr/>
          <w:p>
            <w:pPr>
              <w:pStyle w:val="Compact"/>
            </w:pPr>
            <w:r>
              <w:t xml:space="preserve">Aucará</w:t>
            </w:r>
          </w:p>
        </w:tc>
        <w:tc>
          <w:tcPr/>
          <w:p>
            <w:pPr>
              <w:pStyle w:val="Compact"/>
            </w:pPr>
            <w:r>
              <w:t xml:space="preserve">Lucanas</w:t>
            </w:r>
          </w:p>
        </w:tc>
        <w:tc>
          <w:tcPr/>
          <w:p>
            <w:pPr>
              <w:pStyle w:val="Compact"/>
              <w:jc w:val="right"/>
            </w:pPr>
            <w:r>
              <w:t xml:space="preserve">110</w:t>
            </w:r>
          </w:p>
        </w:tc>
        <w:tc>
          <w:tcPr/>
          <w:p>
            <w:pPr>
              <w:pStyle w:val="Compact"/>
            </w:pPr>
            <w:r>
              <w:t xml:space="preserve">Sí</w:t>
            </w:r>
          </w:p>
        </w:tc>
      </w:tr>
      <w:tr>
        <w:tc>
          <w:tcPr/>
          <w:p>
            <w:pPr>
              <w:pStyle w:val="Compact"/>
            </w:pPr>
            <w:r>
              <w:t xml:space="preserve">Chipao</w:t>
            </w:r>
          </w:p>
        </w:tc>
        <w:tc>
          <w:tcPr/>
          <w:p>
            <w:pPr>
              <w:pStyle w:val="Compact"/>
            </w:pPr>
            <w:r>
              <w:t xml:space="preserve">Lucanas</w:t>
            </w:r>
          </w:p>
        </w:tc>
        <w:tc>
          <w:tcPr/>
          <w:p>
            <w:pPr>
              <w:pStyle w:val="Compact"/>
              <w:jc w:val="right"/>
            </w:pPr>
            <w:r>
              <w:t xml:space="preserve">89</w:t>
            </w:r>
          </w:p>
        </w:tc>
        <w:tc>
          <w:tcPr/>
          <w:p>
            <w:pPr>
              <w:pStyle w:val="Compact"/>
            </w:pPr>
            <w:r>
              <w:t xml:space="preserve">No</w:t>
            </w:r>
          </w:p>
        </w:tc>
      </w:tr>
      <w:tr>
        <w:tc>
          <w:tcPr/>
          <w:p>
            <w:pPr>
              <w:pStyle w:val="Compact"/>
            </w:pPr>
            <w:r>
              <w:t xml:space="preserve">Paucar del Sara Sara</w:t>
            </w:r>
          </w:p>
        </w:tc>
        <w:tc>
          <w:tcPr/>
          <w:p>
            <w:pPr>
              <w:pStyle w:val="Compact"/>
            </w:pPr>
            <w:r>
              <w:t xml:space="preserve">Paucar del Sara Sara (Pausa)</w:t>
            </w:r>
          </w:p>
        </w:tc>
        <w:tc>
          <w:tcPr/>
          <w:p>
            <w:pPr>
              <w:pStyle w:val="Compact"/>
              <w:jc w:val="right"/>
            </w:pPr>
            <w:r>
              <w:t xml:space="preserve">79</w:t>
            </w:r>
          </w:p>
        </w:tc>
        <w:tc>
          <w:tcPr/>
          <w:p>
            <w:pPr>
              <w:pStyle w:val="Compact"/>
            </w:pPr>
            <w:r>
              <w:t xml:space="preserve">Sí</w:t>
            </w:r>
          </w:p>
        </w:tc>
      </w:tr>
      <w:tr>
        <w:tc>
          <w:tcPr/>
          <w:p>
            <w:pPr>
              <w:pStyle w:val="Compact"/>
            </w:pPr>
            <w:r>
              <w:t xml:space="preserve">Santo Domingo de Guzmán</w:t>
            </w:r>
          </w:p>
        </w:tc>
        <w:tc>
          <w:tcPr/>
          <w:p>
            <w:pPr>
              <w:pStyle w:val="Compact"/>
            </w:pPr>
            <w:r>
              <w:t xml:space="preserve">Sucre (Querobamba)</w:t>
            </w:r>
          </w:p>
        </w:tc>
        <w:tc>
          <w:tcPr/>
          <w:p>
            <w:pPr>
              <w:pStyle w:val="Compact"/>
              <w:jc w:val="right"/>
            </w:pPr>
            <w:r>
              <w:t xml:space="preserve">71</w:t>
            </w:r>
          </w:p>
        </w:tc>
        <w:tc>
          <w:tcPr/>
          <w:p>
            <w:pPr>
              <w:pStyle w:val="Compact"/>
            </w:pPr>
            <w:r>
              <w:t xml:space="preserve">No</w:t>
            </w:r>
          </w:p>
        </w:tc>
      </w:tr>
      <w:tr>
        <w:tc>
          <w:tcPr/>
          <w:p>
            <w:pPr>
              <w:pStyle w:val="Compact"/>
            </w:pPr>
            <w:r>
              <w:t xml:space="preserve">San Juan</w:t>
            </w:r>
          </w:p>
        </w:tc>
        <w:tc>
          <w:tcPr/>
          <w:p>
            <w:pPr>
              <w:pStyle w:val="Compact"/>
            </w:pPr>
            <w:r>
              <w:t xml:space="preserve">Vilcas Huamán</w:t>
            </w:r>
          </w:p>
        </w:tc>
        <w:tc>
          <w:tcPr/>
          <w:p>
            <w:pPr>
              <w:pStyle w:val="Compact"/>
              <w:jc w:val="right"/>
            </w:pPr>
            <w:r>
              <w:t xml:space="preserve">71</w:t>
            </w:r>
          </w:p>
        </w:tc>
        <w:tc>
          <w:tcPr/>
          <w:p>
            <w:pPr>
              <w:pStyle w:val="Compact"/>
            </w:pPr>
            <w:r>
              <w:t xml:space="preserve">No</w:t>
            </w:r>
          </w:p>
        </w:tc>
      </w:tr>
      <w:tr>
        <w:tc>
          <w:tcPr/>
          <w:p>
            <w:pPr>
              <w:pStyle w:val="Compact"/>
            </w:pPr>
            <w:r>
              <w:t xml:space="preserve">Los Morochucos</w:t>
            </w:r>
          </w:p>
        </w:tc>
        <w:tc>
          <w:tcPr/>
          <w:p>
            <w:pPr>
              <w:pStyle w:val="Compact"/>
            </w:pPr>
            <w:r>
              <w:t xml:space="preserve">Cangallo</w:t>
            </w:r>
          </w:p>
        </w:tc>
        <w:tc>
          <w:tcPr/>
          <w:p>
            <w:pPr>
              <w:pStyle w:val="Compact"/>
              <w:jc w:val="right"/>
            </w:pPr>
            <w:r>
              <w:t xml:space="preserve">62</w:t>
            </w:r>
          </w:p>
        </w:tc>
        <w:tc>
          <w:tcPr/>
          <w:p>
            <w:pPr>
              <w:pStyle w:val="Compact"/>
            </w:pPr>
            <w:r>
              <w:t xml:space="preserve">No</w:t>
            </w:r>
          </w:p>
        </w:tc>
      </w:tr>
      <w:tr>
        <w:tc>
          <w:tcPr/>
          <w:p>
            <w:pPr>
              <w:pStyle w:val="Compact"/>
            </w:pPr>
            <w:r>
              <w:t xml:space="preserve">Hatun Soras</w:t>
            </w:r>
          </w:p>
        </w:tc>
        <w:tc>
          <w:tcPr/>
          <w:p>
            <w:pPr>
              <w:pStyle w:val="Compact"/>
            </w:pPr>
            <w:r>
              <w:t xml:space="preserve">Sucre (Soras)</w:t>
            </w:r>
          </w:p>
        </w:tc>
        <w:tc>
          <w:tcPr/>
          <w:p>
            <w:pPr>
              <w:pStyle w:val="Compact"/>
              <w:jc w:val="right"/>
            </w:pPr>
            <w:r>
              <w:t xml:space="preserve">51</w:t>
            </w:r>
          </w:p>
        </w:tc>
        <w:tc>
          <w:tcPr/>
          <w:p>
            <w:pPr>
              <w:pStyle w:val="Compact"/>
            </w:pPr>
            <w:r>
              <w:t xml:space="preserve">No</w:t>
            </w:r>
          </w:p>
        </w:tc>
      </w:tr>
      <w:tr>
        <w:tc>
          <w:tcPr/>
          <w:p>
            <w:pPr>
              <w:pStyle w:val="Compact"/>
            </w:pPr>
            <w:r>
              <w:rPr>
                <w:b/>
                <w:bCs/>
              </w:rPr>
              <w:t xml:space="preserve">Total</w:t>
            </w:r>
          </w:p>
        </w:tc>
        <w:tc>
          <w:tcPr/>
          <w:p>
            <w:pPr>
              <w:pStyle w:val="Compact"/>
            </w:pPr>
          </w:p>
        </w:tc>
        <w:tc>
          <w:tcPr/>
          <w:p>
            <w:pPr>
              <w:pStyle w:val="Compact"/>
              <w:jc w:val="right"/>
            </w:pPr>
            <w:r>
              <w:rPr>
                <w:b/>
                <w:bCs/>
              </w:rPr>
              <w:t xml:space="preserve">3 149</w:t>
            </w:r>
          </w:p>
        </w:tc>
        <w:tc>
          <w:tcPr/>
          <w:p>
            <w:pPr>
              <w:pStyle w:val="Compact"/>
            </w:pPr>
            <w:r>
              <w:rPr>
                <w:b/>
                <w:bCs/>
              </w:rPr>
              <w:t xml:space="preserve">6 de 16</w:t>
            </w:r>
          </w:p>
        </w:tc>
      </w:tr>
    </w:tbl>
    <w:bookmarkEnd w:id="33"/>
    <w:p>
      <w:pPr>
        <w:pStyle w:val="FigureNote"/>
      </w:pPr>
      <w:r>
        <w:rPr>
          <w:i/>
          <w:iCs/>
        </w:rPr>
        <w:t xml:space="preserve">Nota</w:t>
      </w:r>
      <w:r>
        <w:t xml:space="preserve">. Matrícula: padrón del Censo Educativo 2025 del Ministerio de Educación. Licencia: lista oficial de institutos licenciados del Ministerio de Educación, con corte al 23 de junio de 2026. No incluye la escuela técnica de la Policía Nacional, que depende de otro sector.</w:t>
      </w:r>
    </w:p>
    <w:p>
      <w:pPr>
        <w:pStyle w:val="BodyText"/>
      </w:pPr>
      <w:r>
        <w:t xml:space="preserve">Los datos muestran tres rasgos. El primero es la escala: diez de los dieciséis tienen menos de 150 estudiantes, y entre todos suman 349 docentes, unos</w:t>
      </w:r>
      <w:r>
        <w:t xml:space="preserve"> </w:t>
      </w:r>
      <w:r>
        <w:t xml:space="preserve">nueve estudiantes por docente. El segundo es la brecha de licencia: 6 de 16 tecnológicos públicos</w:t>
      </w:r>
      <w:r>
        <w:t xml:space="preserve"> </w:t>
      </w:r>
      <w:r>
        <w:t xml:space="preserve">tienen licencia, mientras que las cinco escuelas pedagógicas públicas ya la obtuvieron. Ayacucho fue la primera región</w:t>
      </w:r>
      <w:r>
        <w:t xml:space="preserve"> </w:t>
      </w:r>
      <w:r>
        <w:t xml:space="preserve">del país en licenciar a todas sus escuelas pedagógicas públicas, con la de Puquio en mayo de 2026</w:t>
      </w:r>
      <w:r>
        <w:t xml:space="preserve"> </w:t>
      </w:r>
      <w:r>
        <w:t xml:space="preserve">(</w:t>
      </w:r>
      <w:hyperlink w:anchor="Xd2779b08ae53f0ca5b4aa171373627007b40e89">
        <w:r>
          <w:rPr>
            <w:rStyle w:val="Hyperlink"/>
          </w:rPr>
          <w:t xml:space="preserve">Ministerio de Educación, 2026b</w:t>
        </w:r>
      </w:hyperlink>
      <w:r>
        <w:t xml:space="preserve">)</w:t>
      </w:r>
      <w:r>
        <w:t xml:space="preserve">. El tercero es que el tamaño no lo explica todo: Paucar del Sara Sara,</w:t>
      </w:r>
      <w:r>
        <w:t xml:space="preserve"> </w:t>
      </w:r>
      <w:r>
        <w:t xml:space="preserve">con 79 estudiantes, tiene licencia, y José María Arguedas, con 358, no.</w:t>
      </w:r>
    </w:p>
    <w:p>
      <w:pPr>
        <w:pStyle w:val="BodyText"/>
      </w:pPr>
      <w:r>
        <w:t xml:space="preserve">En el país, el panorama es parecido. Hasta junio de 2026 el Ministerio de Educación había licenciado 246 institutos</w:t>
      </w:r>
      <w:r>
        <w:t xml:space="preserve"> </w:t>
      </w:r>
      <w:r>
        <w:t xml:space="preserve">desde 2018, y solo 51 eran públicos</w:t>
      </w:r>
      <w:r>
        <w:t xml:space="preserve"> </w:t>
      </w:r>
      <w:r>
        <w:t xml:space="preserve">(</w:t>
      </w:r>
      <w:hyperlink w:anchor="Xfff5b61c42ac08c84cafdd0a11082897829a2b2">
        <w:r>
          <w:rPr>
            <w:rStyle w:val="Hyperlink"/>
          </w:rPr>
          <w:t xml:space="preserve">Ministerio de Educación, 2026a</w:t>
        </w:r>
      </w:hyperlink>
      <w:r>
        <w:t xml:space="preserve">)</w:t>
      </w:r>
      <w:r>
        <w:t xml:space="preserve">. El licenciamiento es el</w:t>
      </w:r>
      <w:r>
        <w:t xml:space="preserve"> </w:t>
      </w:r>
      <w:r>
        <w:t xml:space="preserve">procedimiento que verifica que un instituto cumple condiciones básicas de calidad para funcionar, entre ellas una</w:t>
      </w:r>
      <w:r>
        <w:t xml:space="preserve"> </w:t>
      </w:r>
      <w:r>
        <w:t xml:space="preserve">infraestructura y un equipamiento adecuados</w:t>
      </w:r>
      <w:r>
        <w:t xml:space="preserve"> </w:t>
      </w:r>
      <w:r>
        <w:t xml:space="preserve">(</w:t>
      </w:r>
      <w:hyperlink w:anchor="X73352a938e6a9d05e069c26d98010cc8cb8366f">
        <w:r>
          <w:rPr>
            <w:rStyle w:val="Hyperlink"/>
          </w:rPr>
          <w:t xml:space="preserve">Ley N.° 30512, 2016</w:t>
        </w:r>
      </w:hyperlink>
      <w:r>
        <w:t xml:space="preserve">, arts. 24-25)</w:t>
      </w:r>
      <w:r>
        <w:t xml:space="preserve">.</w:t>
      </w:r>
    </w:p>
    <w:bookmarkStart w:id="34" w:name="lo-que-observé-y-sus-límites"/>
    <w:p>
      <w:pPr>
        <w:pStyle w:val="Heading2"/>
      </w:pPr>
      <w:r>
        <w:t xml:space="preserve">Lo que observé, y sus límites</w:t>
      </w:r>
    </w:p>
    <w:p>
      <w:pPr>
        <w:pStyle w:val="FirstParagraph"/>
      </w:pPr>
      <w:r>
        <w:t xml:space="preserve">En visitas recientes a institutos del sur de Ayacucho observé locales de adobe con techos que dejan pasar el agua, una</w:t>
      </w:r>
      <w:r>
        <w:t xml:space="preserve"> </w:t>
      </w:r>
      <w:r>
        <w:t xml:space="preserve">carrera de Enfermería Técnica con un solo microscopio para todos sus estudiantes y domos de emergencia guardados en un</w:t>
      </w:r>
      <w:r>
        <w:t xml:space="preserve"> </w:t>
      </w:r>
      <w:r>
        <w:t xml:space="preserve">almacén, a la espera de que alguien los arme. Según lo que pude conocer en esas visitas, varios ya tienen expediente técnico</w:t>
      </w:r>
      <w:r>
        <w:t xml:space="preserve"> </w:t>
      </w:r>
      <w:r>
        <w:t xml:space="preserve">para su nuevo local y esperan financiamiento. Son observaciones de unos pocos institutos, no una muestra: no</w:t>
      </w:r>
      <w:r>
        <w:t xml:space="preserve"> </w:t>
      </w:r>
      <w:r>
        <w:t xml:space="preserve">permiten afirmar que todos estén igual, y el estado de cada proyecto debe comprobarse en el banco de inversiones del</w:t>
      </w:r>
      <w:r>
        <w:t xml:space="preserve"> </w:t>
      </w:r>
      <w:r>
        <w:t xml:space="preserve">Estado. Ese es justamente uno de los primeros trabajos que propongo más adelante.</w:t>
      </w:r>
    </w:p>
    <w:bookmarkEnd w:id="34"/>
    <w:bookmarkEnd w:id="35"/>
    <w:bookmarkStart w:id="37" w:name="presupuesto-cuánto-llega-y-a-dónde"/>
    <w:p>
      <w:pPr>
        <w:pStyle w:val="Heading1"/>
      </w:pPr>
      <w:r>
        <w:t xml:space="preserve">Presupuesto: cuánto llega y a dónde</w:t>
      </w:r>
    </w:p>
    <w:p>
      <w:pPr>
        <w:pStyle w:val="FirstParagraph"/>
      </w:pPr>
      <w:r>
        <w:t xml:space="preserve">Para hablar de dinero con precisión hay que distinguir tres medidas. El</w:t>
      </w:r>
      <w:r>
        <w:t xml:space="preserve"> </w:t>
      </w:r>
      <w:r>
        <w:rPr>
          <w:i/>
          <w:iCs/>
        </w:rPr>
        <w:t xml:space="preserve">gasto por estudiante</w:t>
      </w:r>
      <w:r>
        <w:t xml:space="preserve"> </w:t>
      </w:r>
      <w:r>
        <w:t xml:space="preserve">compara cuánto invierte</w:t>
      </w:r>
      <w:r>
        <w:t xml:space="preserve"> </w:t>
      </w:r>
      <w:r>
        <w:t xml:space="preserve">un país en cada estudiante, en relación con su ingreso por habitante. El</w:t>
      </w:r>
      <w:r>
        <w:t xml:space="preserve"> </w:t>
      </w:r>
      <w:r>
        <w:rPr>
          <w:i/>
          <w:iCs/>
        </w:rPr>
        <w:t xml:space="preserve">presupuesto institucional modificado</w:t>
      </w:r>
      <w:r>
        <w:t xml:space="preserve"> </w:t>
      </w:r>
      <w:r>
        <w:t xml:space="preserve">(PIM) es</w:t>
      </w:r>
      <w:r>
        <w:t xml:space="preserve"> </w:t>
      </w:r>
      <w:r>
        <w:t xml:space="preserve">lo que se asigna en el año, después de los cambios. El</w:t>
      </w:r>
      <w:r>
        <w:t xml:space="preserve"> </w:t>
      </w:r>
      <w:r>
        <w:rPr>
          <w:i/>
          <w:iCs/>
        </w:rPr>
        <w:t xml:space="preserve">devengado</w:t>
      </w:r>
      <w:r>
        <w:t xml:space="preserve"> </w:t>
      </w:r>
      <w:r>
        <w:t xml:space="preserve">es lo que efectivamente se gastó. Y dentro del gasto</w:t>
      </w:r>
      <w:r>
        <w:t xml:space="preserve"> </w:t>
      </w:r>
      <w:r>
        <w:t xml:space="preserve">conviene separar el de funcionamiento (sueldos, servicios, materiales) del de inversión (obras y equipos nuevos).</w:t>
      </w:r>
    </w:p>
    <w:p>
      <w:pPr>
        <w:pStyle w:val="BodyText"/>
      </w:pPr>
      <w:r>
        <w:rPr>
          <w:b/>
          <w:bCs/>
        </w:rPr>
        <w:t xml:space="preserve">Poco en comparación con los vecinos.</w:t>
      </w:r>
      <w:r>
        <w:t xml:space="preserve"> </w:t>
      </w:r>
      <w:r>
        <w:t xml:space="preserve">En 2017, último año con dato para el Perú, el gasto público por estudiante de</w:t>
      </w:r>
      <w:r>
        <w:t xml:space="preserve"> </w:t>
      </w:r>
      <w:r>
        <w:t xml:space="preserve">educación terciaria fue el 10,9 % del producto bruto interno (PBI) por habitante, frente a 20,3 % en Chile y 20,4 % en</w:t>
      </w:r>
      <w:r>
        <w:t xml:space="preserve"> </w:t>
      </w:r>
      <w:r>
        <w:t xml:space="preserve">Colombia</w:t>
      </w:r>
      <w:r>
        <w:t xml:space="preserve"> </w:t>
      </w:r>
      <w:r>
        <w:t xml:space="preserve">(</w:t>
      </w:r>
      <w:hyperlink w:anchor="X602630dfad5b4c3ab47d8baa13ca42d0ddc6008">
        <w:r>
          <w:rPr>
            <w:rStyle w:val="Hyperlink"/>
          </w:rPr>
          <w:t xml:space="preserve">Banco Mundial, 2026</w:t>
        </w:r>
      </w:hyperlink>
      <w:r>
        <w:t xml:space="preserve">)</w:t>
      </w:r>
      <w:r>
        <w:t xml:space="preserve">. Por cada estudiante de educación superior, el Estado peruano</w:t>
      </w:r>
      <w:r>
        <w:t xml:space="preserve"> </w:t>
      </w:r>
      <w:r>
        <w:t xml:space="preserve">invertía, en proporción a su economía, algo más de la mitad que sus vecinos.</w:t>
      </w:r>
    </w:p>
    <w:p>
      <w:pPr>
        <w:pStyle w:val="BodyText"/>
      </w:pPr>
      <w:r>
        <w:rPr>
          <w:b/>
          <w:bCs/>
        </w:rPr>
        <w:t xml:space="preserve">Mejor repartido que antes, pero todavía desigual.</w:t>
      </w:r>
      <w:r>
        <w:t xml:space="preserve"> </w:t>
      </w:r>
      <w:r>
        <w:t xml:space="preserve">La</w:t>
      </w:r>
      <w:r>
        <w:t xml:space="preserve"> </w:t>
      </w:r>
      <w:hyperlink w:anchor="tbl-gasto">
        <w:r>
          <w:rPr>
            <w:rStyle w:val="Hyperlink"/>
          </w:rPr>
          <w:t xml:space="preserve">Tabla 2</w:t>
        </w:r>
      </w:hyperlink>
      <w:r>
        <w:t xml:space="preserve"> </w:t>
      </w:r>
      <w:r>
        <w:t xml:space="preserve">muestra cómo se distribuye el presupuesto público de</w:t>
      </w:r>
      <w:r>
        <w:t xml:space="preserve"> </w:t>
      </w:r>
      <w:r>
        <w:t xml:space="preserve">la educación superior y técnico-productiva.</w:t>
      </w:r>
    </w:p>
    <w:bookmarkStart w:id="36" w:name="tbl-gasto"/>
    <w:p>
      <w:pPr>
        <w:pStyle w:val="FigureTitle"/>
      </w:pPr>
      <w:r>
        <w:t xml:space="preserve">Tabla 2</w:t>
      </w:r>
    </w:p>
    <w:p>
      <w:pPr>
        <w:pStyle w:val="Caption"/>
      </w:pPr>
      <w:r>
        <w:t xml:space="preserve">Distribución del presupuesto público de la educación superior y técnico-productiva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Año y medida</w:t>
            </w:r>
          </w:p>
        </w:tc>
        <w:tc>
          <w:tcPr/>
          <w:p>
            <w:pPr>
              <w:pStyle w:val="Compact"/>
              <w:jc w:val="right"/>
            </w:pPr>
            <w:r>
              <w:t xml:space="preserve">Universidad</w:t>
            </w:r>
          </w:p>
        </w:tc>
        <w:tc>
          <w:tcPr/>
          <w:p>
            <w:pPr>
              <w:pStyle w:val="Compact"/>
              <w:jc w:val="right"/>
            </w:pPr>
            <w:r>
              <w:t xml:space="preserve">Institutos</w:t>
            </w:r>
          </w:p>
        </w:tc>
        <w:tc>
          <w:tcPr/>
          <w:p>
            <w:pPr>
              <w:pStyle w:val="Compact"/>
              <w:jc w:val="right"/>
            </w:pPr>
            <w:r>
              <w:t xml:space="preserve">CETPRO</w:t>
            </w:r>
          </w:p>
        </w:tc>
      </w:tr>
      <w:tr>
        <w:tc>
          <w:tcPr/>
          <w:p>
            <w:pPr>
              <w:pStyle w:val="Compact"/>
            </w:pPr>
            <w:r>
              <w:t xml:space="preserve">2019, asignado (PIM)</w:t>
            </w:r>
          </w:p>
        </w:tc>
        <w:tc>
          <w:tcPr/>
          <w:p>
            <w:pPr>
              <w:pStyle w:val="Compact"/>
              <w:jc w:val="right"/>
            </w:pPr>
            <w:r>
              <w:t xml:space="preserve">73,4 %</w:t>
            </w:r>
          </w:p>
        </w:tc>
        <w:tc>
          <w:tcPr/>
          <w:p>
            <w:pPr>
              <w:pStyle w:val="Compact"/>
              <w:jc w:val="right"/>
            </w:pPr>
            <w:r>
              <w:t xml:space="preserve">20,4 %</w:t>
            </w:r>
          </w:p>
        </w:tc>
        <w:tc>
          <w:tcPr/>
          <w:p>
            <w:pPr>
              <w:pStyle w:val="Compact"/>
              <w:jc w:val="right"/>
            </w:pPr>
            <w:r>
              <w:t xml:space="preserve">6,2 %</w:t>
            </w:r>
          </w:p>
        </w:tc>
      </w:tr>
      <w:tr>
        <w:tc>
          <w:tcPr/>
          <w:p>
            <w:pPr>
              <w:pStyle w:val="Compact"/>
            </w:pPr>
            <w:r>
              <w:t xml:space="preserve">2025, asignado (PIM)</w:t>
            </w:r>
          </w:p>
        </w:tc>
        <w:tc>
          <w:tcPr/>
          <w:p>
            <w:pPr>
              <w:pStyle w:val="Compact"/>
              <w:jc w:val="right"/>
            </w:pPr>
            <w:r>
              <w:t xml:space="preserve">69,0 %</w:t>
            </w:r>
          </w:p>
        </w:tc>
        <w:tc>
          <w:tcPr/>
          <w:p>
            <w:pPr>
              <w:pStyle w:val="Compact"/>
              <w:jc w:val="right"/>
            </w:pPr>
            <w:r>
              <w:t xml:space="preserve">25,5 %</w:t>
            </w:r>
          </w:p>
        </w:tc>
        <w:tc>
          <w:tcPr/>
          <w:p>
            <w:pPr>
              <w:pStyle w:val="Compact"/>
              <w:jc w:val="right"/>
            </w:pPr>
            <w:r>
              <w:t xml:space="preserve">5,5 %</w:t>
            </w:r>
          </w:p>
        </w:tc>
      </w:tr>
      <w:tr>
        <w:tc>
          <w:tcPr/>
          <w:p>
            <w:pPr>
              <w:pStyle w:val="Compact"/>
            </w:pPr>
            <w:r>
              <w:t xml:space="preserve">2025, gastado (devengado)</w:t>
            </w:r>
          </w:p>
        </w:tc>
        <w:tc>
          <w:tcPr/>
          <w:p>
            <w:pPr>
              <w:pStyle w:val="Compact"/>
              <w:jc w:val="right"/>
            </w:pPr>
            <w:r>
              <w:t xml:space="preserve">68,2 %</w:t>
            </w:r>
          </w:p>
        </w:tc>
        <w:tc>
          <w:tcPr/>
          <w:p>
            <w:pPr>
              <w:pStyle w:val="Compact"/>
              <w:jc w:val="right"/>
            </w:pPr>
            <w:r>
              <w:t xml:space="preserve">25,9 %</w:t>
            </w:r>
          </w:p>
        </w:tc>
        <w:tc>
          <w:tcPr/>
          <w:p>
            <w:pPr>
              <w:pStyle w:val="Compact"/>
              <w:jc w:val="right"/>
            </w:pPr>
            <w:r>
              <w:t xml:space="preserve">5,9 %</w:t>
            </w:r>
          </w:p>
        </w:tc>
      </w:tr>
    </w:tbl>
    <w:bookmarkEnd w:id="36"/>
    <w:p>
      <w:pPr>
        <w:pStyle w:val="FigureNote"/>
      </w:pPr>
      <w:r>
        <w:rPr>
          <w:i/>
          <w:iCs/>
        </w:rPr>
        <w:t xml:space="preserve">Nota</w:t>
      </w:r>
      <w:r>
        <w:t xml:space="preserve">. Elaboración propia con la Consulta Amigable del MEF (Ministerio de Economía y Finanzas, 2026), todos los niveles de gobierno; el dato de 2019 coincide con el de la política nacional (Ministerio de Educación, 2020, pp. 46-47). Institutos: institutos y escuelas, grupo funcional 0108, que reúne tecnológicos, pedagógicos y artísticos. CETPRO: centros de educación técnico-productiva. No incluye el grupo de infraestructura y equipamiento, que el sistema no reparte por tipo de institución. Montos nominales.</w:t>
      </w:r>
    </w:p>
    <w:p>
      <w:pPr>
        <w:pStyle w:val="BodyText"/>
      </w:pPr>
      <w:r>
        <w:t xml:space="preserve">Los datos muestran una mejora que conviene reconocer. Lo asignado a institutos y escuelas pasó de S/ 1 119 millones en</w:t>
      </w:r>
      <w:r>
        <w:t xml:space="preserve"> </w:t>
      </w:r>
      <w:r>
        <w:t xml:space="preserve">2019 a S/ 2 045 millones en 2025, y su participación subió de una quinta a una cuarta parte</w:t>
      </w:r>
      <w:r>
        <w:t xml:space="preserve"> </w:t>
      </w:r>
      <w:r>
        <w:t xml:space="preserve">(</w:t>
      </w:r>
      <w:hyperlink w:anchor="X5b8b085fc4ec030f36ff90602bcaf5ef8ae3c1b">
        <w:r>
          <w:rPr>
            <w:rStyle w:val="Hyperlink"/>
          </w:rPr>
          <w:t xml:space="preserve">Ministerio de Economía y Finanzas, 2026</w:t>
        </w:r>
      </w:hyperlink>
      <w:r>
        <w:t xml:space="preserve">)</w:t>
      </w:r>
      <w:r>
        <w:t xml:space="preserve">. La universidad, con todo, sigue recibiendo casi tres veces más.</w:t>
      </w:r>
      <w:r>
        <w:t xml:space="preserve"> </w:t>
      </w:r>
      <w:r>
        <w:t xml:space="preserve">Hay un límite importante: el sistema de presupuesto no permite separar lo que va a tecnológicos, a pedagógicos y a</w:t>
      </w:r>
      <w:r>
        <w:t xml:space="preserve"> </w:t>
      </w:r>
      <w:r>
        <w:t xml:space="preserve">escuelas artísticas, ni seguir por región el gasto en infraestructura. La propia política nacional lo reconoce</w:t>
      </w:r>
      <w:r>
        <w:t xml:space="preserve"> </w:t>
      </w:r>
      <w:r>
        <w:t xml:space="preserve">(</w:t>
      </w:r>
      <w:hyperlink w:anchor="Xef45cd342ded7bcb8dea3c1c539a98ad7f38207">
        <w:r>
          <w:rPr>
            <w:rStyle w:val="Hyperlink"/>
          </w:rPr>
          <w:t xml:space="preserve">Ministerio de Educación, 2020, p. 120</w:t>
        </w:r>
      </w:hyperlink>
      <w:r>
        <w:t xml:space="preserve">)</w:t>
      </w:r>
      <w:r>
        <w:t xml:space="preserve">.</w:t>
      </w:r>
    </w:p>
    <w:p>
      <w:pPr>
        <w:pStyle w:val="BodyText"/>
      </w:pPr>
      <w:r>
        <w:rPr>
          <w:b/>
          <w:bCs/>
        </w:rPr>
        <w:t xml:space="preserve">En Ayacucho.</w:t>
      </w:r>
      <w:r>
        <w:t xml:space="preserve"> </w:t>
      </w:r>
      <w:r>
        <w:t xml:space="preserve">En 2025, el Gobierno Regional de Ayacucho tuvo S/ 49,9 millones para educación superior no</w:t>
      </w:r>
      <w:r>
        <w:t xml:space="preserve"> </w:t>
      </w:r>
      <w:r>
        <w:t xml:space="preserve">universitaria y gastó S/ 49,5 millones, el 99 %. Ese monto equivale al 1,8 % de su presupuesto total, de S/ 2 788</w:t>
      </w:r>
      <w:r>
        <w:t xml:space="preserve"> </w:t>
      </w:r>
      <w:r>
        <w:t xml:space="preserve">millones, y es más del doble de los S/ 24 millones de 2019</w:t>
      </w:r>
      <w:r>
        <w:t xml:space="preserve"> </w:t>
      </w:r>
      <w:r>
        <w:t xml:space="preserve">(</w:t>
      </w:r>
      <w:hyperlink w:anchor="X5b8b085fc4ec030f36ff90602bcaf5ef8ae3c1b">
        <w:r>
          <w:rPr>
            <w:rStyle w:val="Hyperlink"/>
          </w:rPr>
          <w:t xml:space="preserve">Ministerio de Economía y Finanzas, 2026</w:t>
        </w:r>
      </w:hyperlink>
      <w:r>
        <w:t xml:space="preserve">)</w:t>
      </w:r>
      <w:r>
        <w:t xml:space="preserve">. Casi</w:t>
      </w:r>
      <w:r>
        <w:t xml:space="preserve"> </w:t>
      </w:r>
      <w:r>
        <w:t xml:space="preserve">todo lo que el Estado gasta en institutos dentro de la región pasa por el Gobierno Regional. Si se divide ese monto entre</w:t>
      </w:r>
      <w:r>
        <w:t xml:space="preserve"> </w:t>
      </w:r>
      <w:r>
        <w:t xml:space="preserve">los cerca de 6 000 estudiantes de los tecnológicos, pedagógicos y artísticos públicos, salen unos S/ 8 350 por estudiante</w:t>
      </w:r>
      <w:r>
        <w:t xml:space="preserve"> </w:t>
      </w:r>
      <w:r>
        <w:t xml:space="preserve">al año. Es un cálculo aproximado: incluye las remuneraciones de docentes y personal, y no solo laboratorios u obras.</w:t>
      </w:r>
    </w:p>
    <w:bookmarkEnd w:id="37"/>
    <w:bookmarkStart w:id="42" w:name="lo-que-dice-la-ley-y-quién-responde"/>
    <w:p>
      <w:pPr>
        <w:pStyle w:val="Heading1"/>
      </w:pPr>
      <w:r>
        <w:t xml:space="preserve">Lo que dice la ley y quién responde</w:t>
      </w:r>
    </w:p>
    <w:bookmarkStart w:id="39" w:name="una-cronología-breve"/>
    <w:p>
      <w:pPr>
        <w:pStyle w:val="Heading2"/>
      </w:pPr>
      <w:r>
        <w:t xml:space="preserve">Una cronología breve</w:t>
      </w:r>
    </w:p>
    <w:p>
      <w:pPr>
        <w:pStyle w:val="FirstParagraph"/>
      </w:pPr>
      <w:r>
        <w:t xml:space="preserve">La</w:t>
      </w:r>
      <w:r>
        <w:t xml:space="preserve"> </w:t>
      </w:r>
      <w:hyperlink w:anchor="tbl-normas">
        <w:r>
          <w:rPr>
            <w:rStyle w:val="Hyperlink"/>
          </w:rPr>
          <w:t xml:space="preserve">Tabla 3</w:t>
        </w:r>
      </w:hyperlink>
      <w:r>
        <w:t xml:space="preserve"> </w:t>
      </w:r>
      <w:r>
        <w:t xml:space="preserve">resume las normas que importan para este análisis y su situación a octubre de 2026.</w:t>
      </w:r>
    </w:p>
    <w:bookmarkStart w:id="38" w:name="tbl-normas"/>
    <w:p>
      <w:pPr>
        <w:pStyle w:val="FigureTitle"/>
      </w:pPr>
      <w:r>
        <w:t xml:space="preserve">Tabla 3</w:t>
      </w:r>
    </w:p>
    <w:p>
      <w:pPr>
        <w:pStyle w:val="Caption"/>
      </w:pPr>
      <w:r>
        <w:t xml:space="preserve">Normas sobre los institutos públicos, de 1996 a 2022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Norma</w:t>
            </w:r>
          </w:p>
        </w:tc>
        <w:tc>
          <w:tcPr/>
          <w:p>
            <w:pPr>
              <w:pStyle w:val="Compact"/>
            </w:pPr>
            <w:r>
              <w:t xml:space="preserve">Qué importa hoy</w:t>
            </w:r>
          </w:p>
        </w:tc>
      </w:tr>
      <w:tr>
        <w:tc>
          <w:tcPr/>
          <w:p>
            <w:pPr>
              <w:pStyle w:val="Compact"/>
            </w:pPr>
            <w:r>
              <w:t xml:space="preserve">Decreto Legislativo N.° 882 (</w:t>
            </w:r>
            <w:hyperlink w:anchor="ref-peruDecretoLegislativo8821996">
              <w:r>
                <w:rPr>
                  <w:rStyle w:val="Hyperlink"/>
                </w:rPr>
                <w:t xml:space="preserve">1996</w:t>
              </w:r>
            </w:hyperlink>
            <w:r>
              <w:t xml:space="preserve">)</w:t>
            </w:r>
          </w:p>
        </w:tc>
        <w:tc>
          <w:tcPr/>
          <w:p>
            <w:pPr>
              <w:pStyle w:val="Compact"/>
            </w:pPr>
            <w:r>
              <w:t xml:space="preserve">Permitió la educación privada con fines de lucro; derogado en 2016 para institutos y escuelas</w:t>
            </w:r>
          </w:p>
        </w:tc>
      </w:tr>
      <w:tr>
        <w:tc>
          <w:tcPr/>
          <w:p>
            <w:pPr>
              <w:pStyle w:val="Compact"/>
            </w:pPr>
            <w:r>
              <w:t xml:space="preserve">Ley N.° 27867 (</w:t>
            </w:r>
            <w:hyperlink w:anchor="ref-peruLeyOrganicaGobiernos2002">
              <w:r>
                <w:rPr>
                  <w:rStyle w:val="Hyperlink"/>
                </w:rPr>
                <w:t xml:space="preserve">2002</w:t>
              </w:r>
            </w:hyperlink>
            <w:r>
              <w:t xml:space="preserve">)</w:t>
            </w:r>
            <w:r>
              <w:t xml:space="preserve">, Orgánica de Gobiernos Regionales</w:t>
            </w:r>
          </w:p>
        </w:tc>
        <w:tc>
          <w:tcPr/>
          <w:p>
            <w:pPr>
              <w:pStyle w:val="Compact"/>
            </w:pPr>
            <w:r>
              <w:t xml:space="preserve">El gobierno regional gestiona la educación superior no universitaria y su infraestructura</w:t>
            </w:r>
          </w:p>
        </w:tc>
      </w:tr>
      <w:tr>
        <w:tc>
          <w:tcPr/>
          <w:p>
            <w:pPr>
              <w:pStyle w:val="Compact"/>
            </w:pPr>
            <w:r>
              <w:t xml:space="preserve">Ley N.° 30512 (</w:t>
            </w:r>
            <w:hyperlink w:anchor="X73352a938e6a9d05e069c26d98010cc8cb8366f">
              <w:r>
                <w:rPr>
                  <w:rStyle w:val="Hyperlink"/>
                </w:rPr>
                <w:t xml:space="preserve">2016</w:t>
              </w:r>
            </w:hyperlink>
            <w:r>
              <w:t xml:space="preserve">)</w:t>
            </w:r>
            <w:r>
              <w:t xml:space="preserve">, de Institutos y Escuelas</w:t>
            </w:r>
          </w:p>
        </w:tc>
        <w:tc>
          <w:tcPr/>
          <w:p>
            <w:pPr>
              <w:pStyle w:val="Compact"/>
            </w:pPr>
            <w:r>
              <w:t xml:space="preserve">Licenciamiento, bienestar estudiantil, 10 % del canon; reforma sin recursos adicionales</w:t>
            </w:r>
          </w:p>
        </w:tc>
      </w:tr>
      <w:tr>
        <w:tc>
          <w:tcPr/>
          <w:p>
            <w:pPr>
              <w:pStyle w:val="Compact"/>
            </w:pPr>
            <w:r>
              <w:t xml:space="preserve">Decreto Supremo N.° 010-2017-MINEDU (</w:t>
            </w:r>
            <w:hyperlink w:anchor="ref-peruReglamentoLey305122017">
              <w:r>
                <w:rPr>
                  <w:rStyle w:val="Hyperlink"/>
                </w:rPr>
                <w:t xml:space="preserve">2017</w:t>
              </w:r>
            </w:hyperlink>
            <w:r>
              <w:t xml:space="preserve">)</w:t>
            </w:r>
          </w:p>
        </w:tc>
        <w:tc>
          <w:tcPr/>
          <w:p>
            <w:pPr>
              <w:pStyle w:val="Compact"/>
            </w:pPr>
            <w:r>
              <w:t xml:space="preserve">Reglamento de la Ley 30512</w:t>
            </w:r>
          </w:p>
        </w:tc>
      </w:tr>
      <w:tr>
        <w:tc>
          <w:tcPr/>
          <w:p>
            <w:pPr>
              <w:pStyle w:val="Compact"/>
            </w:pPr>
            <w:r>
              <w:t xml:space="preserve">Decreto de Urgencia N.° 017-2020 (</w:t>
            </w:r>
            <w:hyperlink w:anchor="ref-peruDecretoUrgencia0172020">
              <w:r>
                <w:rPr>
                  <w:rStyle w:val="Hyperlink"/>
                </w:rPr>
                <w:t xml:space="preserve">2020</w:t>
              </w:r>
            </w:hyperlink>
            <w:r>
              <w:t xml:space="preserve">)</w:t>
            </w:r>
          </w:p>
        </w:tc>
        <w:tc>
          <w:tcPr/>
          <w:p>
            <w:pPr>
              <w:pStyle w:val="Compact"/>
            </w:pPr>
            <w:r>
              <w:t xml:space="preserve">Modifica el licenciamiento y permite formas societarias a los institutos privados</w:t>
            </w:r>
          </w:p>
        </w:tc>
      </w:tr>
      <w:tr>
        <w:tc>
          <w:tcPr/>
          <w:p>
            <w:pPr>
              <w:pStyle w:val="Compact"/>
            </w:pPr>
            <w:r>
              <w:t xml:space="preserve">Ley N.° 31653 (</w:t>
            </w:r>
            <w:hyperlink w:anchor="ref-peruLey316532022">
              <w:r>
                <w:rPr>
                  <w:rStyle w:val="Hyperlink"/>
                </w:rPr>
                <w:t xml:space="preserve">2022</w:t>
              </w:r>
            </w:hyperlink>
            <w:r>
              <w:t xml:space="preserve">)</w:t>
            </w:r>
          </w:p>
        </w:tc>
        <w:tc>
          <w:tcPr/>
          <w:p>
            <w:pPr>
              <w:pStyle w:val="Compact"/>
            </w:pPr>
            <w:r>
              <w:t xml:space="preserve">Permite que las escuelas pedagógicas y tecnológicas públicas sean unidades ejecutoras</w:t>
            </w:r>
          </w:p>
        </w:tc>
      </w:tr>
    </w:tbl>
    <w:bookmarkEnd w:id="38"/>
    <w:p>
      <w:pPr>
        <w:pStyle w:val="FigureNote"/>
      </w:pPr>
      <w:r>
        <w:rPr>
          <w:i/>
          <w:iCs/>
        </w:rPr>
        <w:t xml:space="preserve">Nota</w:t>
      </w:r>
      <w:r>
        <w:t xml:space="preserve">. Elaboración propia a partir de los textos publicados en el diario oficial El Peruano.</w:t>
      </w:r>
    </w:p>
    <w:p>
      <w:pPr>
        <w:pStyle w:val="BodyText"/>
      </w:pPr>
      <w:r>
        <w:t xml:space="preserve">El Decreto Legislativo 882 reconoció el derecho a conducir instituciones educativas «con o sin finalidad lucrativa» y</w:t>
      </w:r>
      <w:r>
        <w:t xml:space="preserve"> </w:t>
      </w:r>
      <w:r>
        <w:t xml:space="preserve">les extendió las garantías de la inversión privada</w:t>
      </w:r>
      <w:r>
        <w:t xml:space="preserve"> </w:t>
      </w:r>
      <w:r>
        <w:t xml:space="preserve">(</w:t>
      </w:r>
      <w:hyperlink w:anchor="ref-peruDecretoLegislativo8821996">
        <w:r>
          <w:rPr>
            <w:rStyle w:val="Hyperlink"/>
          </w:rPr>
          <w:t xml:space="preserve">Decreto Legislativo N.° 882, 1996</w:t>
        </w:r>
      </w:hyperlink>
      <w:r>
        <w:t xml:space="preserve">, arts. 2 y 7)</w:t>
      </w:r>
      <w:r>
        <w:t xml:space="preserve">. La Ley 30512 lo</w:t>
      </w:r>
      <w:r>
        <w:t xml:space="preserve"> </w:t>
      </w:r>
      <w:r>
        <w:t xml:space="preserve">derogó en 2016 para institutos y escuelas</w:t>
      </w:r>
      <w:r>
        <w:t xml:space="preserve"> </w:t>
      </w:r>
      <w:r>
        <w:t xml:space="preserve">(</w:t>
      </w:r>
      <w:hyperlink w:anchor="X73352a938e6a9d05e069c26d98010cc8cb8366f">
        <w:r>
          <w:rPr>
            <w:rStyle w:val="Hyperlink"/>
          </w:rPr>
          <w:t xml:space="preserve">Ley N.° 30512, 2016</w:t>
        </w:r>
      </w:hyperlink>
      <w:r>
        <w:t xml:space="preserve">, décima tercera disposición</w:t>
      </w:r>
      <w:r>
        <w:t xml:space="preserve"> </w:t>
      </w:r>
      <w:r>
        <w:t xml:space="preserve">complementaria final)</w:t>
      </w:r>
      <w:r>
        <w:t xml:space="preserve">, pero la gestión privada con fines de lucro sigue permitida bajo las formas del derecho común o</w:t>
      </w:r>
      <w:r>
        <w:t xml:space="preserve"> </w:t>
      </w:r>
      <w:r>
        <w:t xml:space="preserve">societario</w:t>
      </w:r>
      <w:r>
        <w:t xml:space="preserve"> </w:t>
      </w:r>
      <w:r>
        <w:t xml:space="preserve">(</w:t>
      </w:r>
      <w:hyperlink w:anchor="ref-peruDecretoUrgencia0172020">
        <w:r>
          <w:rPr>
            <w:rStyle w:val="Hyperlink"/>
          </w:rPr>
          <w:t xml:space="preserve">Decreto de Urgencia N.° 017-2020, 2020</w:t>
        </w:r>
      </w:hyperlink>
      <w:r>
        <w:t xml:space="preserve">, que modifica el art. 9 de la Ley 30512)</w:t>
      </w:r>
      <w:r>
        <w:t xml:space="preserve">. Sostengo que ese decreto abrió la puerta al crecimiento</w:t>
      </w:r>
      <w:r>
        <w:t xml:space="preserve"> </w:t>
      </w:r>
      <w:r>
        <w:t xml:space="preserve">privado, pero no basta para explicar la precariedad de lo público: que lo privado creciera no obligaba a que lo público</w:t>
      </w:r>
      <w:r>
        <w:t xml:space="preserve"> </w:t>
      </w:r>
      <w:r>
        <w:t xml:space="preserve">se quedara atrás. Esa segunda parte se explica por cómo se financian los institutos públicos, que es lo que sigue.</w:t>
      </w:r>
    </w:p>
    <w:bookmarkEnd w:id="39"/>
    <w:bookmarkStart w:id="40" w:name="obligación-insuficiencia-y-vacío"/>
    <w:p>
      <w:pPr>
        <w:pStyle w:val="Heading2"/>
      </w:pPr>
      <w:r>
        <w:t xml:space="preserve">Obligación, insuficiencia y vacío</w:t>
      </w:r>
    </w:p>
    <w:p>
      <w:pPr>
        <w:pStyle w:val="FirstParagraph"/>
      </w:pPr>
      <w:r>
        <w:t xml:space="preserve">La Ley 30512 trata de manera distinta a dos tipos de instituciones públicas, y conviene separar tres situaciones.</w:t>
      </w:r>
    </w:p>
    <w:p>
      <w:pPr>
        <w:pStyle w:val="BodyText"/>
      </w:pPr>
      <w:r>
        <w:rPr>
          <w:b/>
          <w:bCs/>
        </w:rPr>
        <w:t xml:space="preserve">Donde hay una obligación expresa.</w:t>
      </w:r>
      <w:r>
        <w:t xml:space="preserve"> </w:t>
      </w:r>
      <w:r>
        <w:t xml:space="preserve">La ley obliga al Ministerio de Educación y a los gobiernos regionales a considerar</w:t>
      </w:r>
      <w:r>
        <w:t xml:space="preserve"> </w:t>
      </w:r>
      <w:r>
        <w:t xml:space="preserve">en sus presupuestos, «bajo responsabilidad», los recursos para la infraestructura, el mobiliario y el equipamiento de</w:t>
      </w:r>
      <w:r>
        <w:t xml:space="preserve"> </w:t>
      </w:r>
      <w:r>
        <w:t xml:space="preserve">las escuelas de educación superior pedagógica públicas</w:t>
      </w:r>
      <w:r>
        <w:t xml:space="preserve"> </w:t>
      </w:r>
      <w:r>
        <w:t xml:space="preserve">(</w:t>
      </w:r>
      <w:hyperlink w:anchor="X73352a938e6a9d05e069c26d98010cc8cb8366f">
        <w:r>
          <w:rPr>
            <w:rStyle w:val="Hyperlink"/>
          </w:rPr>
          <w:t xml:space="preserve">Ley N.° 30512, 2016</w:t>
        </w:r>
      </w:hyperlink>
      <w:r>
        <w:t xml:space="preserve">, arts. 61 y 63)</w:t>
      </w:r>
      <w:r>
        <w:t xml:space="preserve">. También</w:t>
      </w:r>
      <w:r>
        <w:t xml:space="preserve"> </w:t>
      </w:r>
      <w:r>
        <w:t xml:space="preserve">manda que cada gobierno regional entregue el 10 % del canon que recibe a los institutos y escuelas de su</w:t>
      </w:r>
      <w:r>
        <w:t xml:space="preserve"> </w:t>
      </w:r>
      <w:r>
        <w:t xml:space="preserve">circunscripción, solo para invertir en investigación científica y tecnológica y en su infraestructura</w:t>
      </w:r>
      <w:r>
        <w:t xml:space="preserve"> </w:t>
      </w:r>
      <w:r>
        <w:t xml:space="preserve">(</w:t>
      </w:r>
      <w:hyperlink w:anchor="X73352a938e6a9d05e069c26d98010cc8cb8366f">
        <w:r>
          <w:rPr>
            <w:rStyle w:val="Hyperlink"/>
          </w:rPr>
          <w:t xml:space="preserve">Ley N.° 30512, 2016</w:t>
        </w:r>
      </w:hyperlink>
      <w:r>
        <w:t xml:space="preserve">, tercera disposición complementaria modificatoria)</w:t>
      </w:r>
      <w:r>
        <w:t xml:space="preserve">. Si estas obligaciones no se</w:t>
      </w:r>
      <w:r>
        <w:t xml:space="preserve"> </w:t>
      </w:r>
      <w:r>
        <w:t xml:space="preserve">cumplen, hay un incumplimiento que se puede exigir.</w:t>
      </w:r>
    </w:p>
    <w:p>
      <w:pPr>
        <w:pStyle w:val="BodyText"/>
      </w:pPr>
      <w:r>
        <w:rPr>
          <w:b/>
          <w:bCs/>
        </w:rPr>
        <w:t xml:space="preserve">Donde la obligación es general y el dinero no está asegurado.</w:t>
      </w:r>
      <w:r>
        <w:t xml:space="preserve"> </w:t>
      </w:r>
      <w:r>
        <w:t xml:space="preserve">Para los institutos tecnológicos públicos, la ley dice</w:t>
      </w:r>
      <w:r>
        <w:t xml:space="preserve"> </w:t>
      </w:r>
      <w:r>
        <w:t xml:space="preserve">que el gobierno regional provee el servicio y los gestiona</w:t>
      </w:r>
      <w:r>
        <w:t xml:space="preserve"> </w:t>
      </w:r>
      <w:r>
        <w:t xml:space="preserve">(</w:t>
      </w:r>
      <w:hyperlink w:anchor="X73352a938e6a9d05e069c26d98010cc8cb8366f">
        <w:r>
          <w:rPr>
            <w:rStyle w:val="Hyperlink"/>
          </w:rPr>
          <w:t xml:space="preserve">Ley N.° 30512, 2016</w:t>
        </w:r>
      </w:hyperlink>
      <w:r>
        <w:t xml:space="preserve">, art. 57)</w:t>
      </w:r>
      <w:r>
        <w:t xml:space="preserve">, y la Ley</w:t>
      </w:r>
      <w:r>
        <w:t xml:space="preserve"> </w:t>
      </w:r>
      <w:r>
        <w:t xml:space="preserve">Orgánica de Gobiernos Regionales le encarga diseñar e implementar las políticas de infraestructura y equipamiento</w:t>
      </w:r>
      <w:r>
        <w:t xml:space="preserve"> </w:t>
      </w:r>
      <w:r>
        <w:t xml:space="preserve">(</w:t>
      </w:r>
      <w:hyperlink w:anchor="ref-peruLeyOrganicaGobiernos2002">
        <w:r>
          <w:rPr>
            <w:rStyle w:val="Hyperlink"/>
          </w:rPr>
          <w:t xml:space="preserve">Ley N.° 27867, 2002</w:t>
        </w:r>
      </w:hyperlink>
      <w:r>
        <w:t xml:space="preserve">, art. 47, inc. m)</w:t>
      </w:r>
      <w:r>
        <w:t xml:space="preserve">. Pero no existe una cláusula equivalente a la de las escuelas</w:t>
      </w:r>
      <w:r>
        <w:t xml:space="preserve"> </w:t>
      </w:r>
      <w:r>
        <w:t xml:space="preserve">pedagógicas. El reglamento, incluso, sujeta la investigación de los institutos públicos «a la disponibilidad</w:t>
      </w:r>
      <w:r>
        <w:t xml:space="preserve"> </w:t>
      </w:r>
      <w:r>
        <w:t xml:space="preserve">presupuestal»</w:t>
      </w:r>
      <w:r>
        <w:t xml:space="preserve"> </w:t>
      </w:r>
      <w:r>
        <w:t xml:space="preserve">(</w:t>
      </w:r>
      <w:hyperlink w:anchor="ref-peruReglamentoLey305122017">
        <w:r>
          <w:rPr>
            <w:rStyle w:val="Hyperlink"/>
          </w:rPr>
          <w:t xml:space="preserve">Decreto Supremo N.° 010-2017-MINEDU, 2017</w:t>
        </w:r>
      </w:hyperlink>
      <w:r>
        <w:t xml:space="preserve">, art. 49.2)</w:t>
      </w:r>
      <w:r>
        <w:t xml:space="preserve">. Aquí el problema no es un incumplimiento, sino una garantía</w:t>
      </w:r>
      <w:r>
        <w:t xml:space="preserve"> </w:t>
      </w:r>
      <w:r>
        <w:t xml:space="preserve">insuficiente: hay a quién exigir, pero no hay un piso de recursos.</w:t>
      </w:r>
    </w:p>
    <w:p>
      <w:pPr>
        <w:pStyle w:val="BodyText"/>
      </w:pPr>
      <w:r>
        <w:rPr>
          <w:b/>
          <w:bCs/>
        </w:rPr>
        <w:t xml:space="preserve">Donde no hay norma.</w:t>
      </w:r>
      <w:r>
        <w:t xml:space="preserve"> </w:t>
      </w:r>
      <w:r>
        <w:t xml:space="preserve">La ley exige a cada instituto público una unidad de bienestar y empleabilidad, con orientación</w:t>
      </w:r>
      <w:r>
        <w:t xml:space="preserve"> </w:t>
      </w:r>
      <w:r>
        <w:t xml:space="preserve">profesional, tutoría y consejería, y un comité de defensa del estudiante para casos de acoso o discriminación</w:t>
      </w:r>
      <w:r>
        <w:t xml:space="preserve"> </w:t>
      </w:r>
      <w:r>
        <w:t xml:space="preserve">(</w:t>
      </w:r>
      <w:hyperlink w:anchor="X73352a938e6a9d05e069c26d98010cc8cb8366f">
        <w:r>
          <w:rPr>
            <w:rStyle w:val="Hyperlink"/>
          </w:rPr>
          <w:t xml:space="preserve">Ley N.° 30512, 2016</w:t>
        </w:r>
      </w:hyperlink>
      <w:r>
        <w:t xml:space="preserve">, art. 29, inc. f)</w:t>
      </w:r>
      <w:r>
        <w:t xml:space="preserve">. No menciona un área de psicología. Pedirla es legítimo,</w:t>
      </w:r>
      <w:r>
        <w:t xml:space="preserve"> </w:t>
      </w:r>
      <w:r>
        <w:t xml:space="preserve">pero es una propuesta de política, no el cumplimiento de una obligación.</w:t>
      </w:r>
    </w:p>
    <w:p>
      <w:pPr>
        <w:pStyle w:val="BodyText"/>
      </w:pPr>
      <w:r>
        <w:t xml:space="preserve">A esto se suma la cláusula de financiamiento. La misma ley dispuso que, después de 2016, su aplicación se financiara</w:t>
      </w:r>
      <w:r>
        <w:t xml:space="preserve"> </w:t>
      </w:r>
      <w:r>
        <w:t xml:space="preserve">con el presupuesto de los institutos y del Ministerio de Educación, «sin demandar recursos adicionales al Tesoro</w:t>
      </w:r>
      <w:r>
        <w:t xml:space="preserve"> </w:t>
      </w:r>
      <w:r>
        <w:t xml:space="preserve">Público»</w:t>
      </w:r>
      <w:r>
        <w:t xml:space="preserve"> </w:t>
      </w:r>
      <w:r>
        <w:t xml:space="preserve">(</w:t>
      </w:r>
      <w:hyperlink w:anchor="X73352a938e6a9d05e069c26d98010cc8cb8366f">
        <w:r>
          <w:rPr>
            <w:rStyle w:val="Hyperlink"/>
          </w:rPr>
          <w:t xml:space="preserve">Ley N.° 30512, 2016</w:t>
        </w:r>
      </w:hyperlink>
      <w:r>
        <w:t xml:space="preserve">, décima cuarta disposición complementaria transitoria)</w:t>
      </w:r>
      <w:r>
        <w:t xml:space="preserve">. Se exigieron</w:t>
      </w:r>
      <w:r>
        <w:t xml:space="preserve"> </w:t>
      </w:r>
      <w:r>
        <w:t xml:space="preserve">nuevas condiciones de calidad y se dispuso que se pagaran con lo que ya había.</w:t>
      </w:r>
    </w:p>
    <w:bookmarkEnd w:id="40"/>
    <w:bookmarkStart w:id="41" w:name="quién-decide-quién-paga-quién-ejecuta"/>
    <w:p>
      <w:pPr>
        <w:pStyle w:val="Heading2"/>
      </w:pPr>
      <w:r>
        <w:t xml:space="preserve">Quién decide, quién paga, quién ejecuta</w:t>
      </w:r>
    </w:p>
    <w:p>
      <w:pPr>
        <w:pStyle w:val="Compact"/>
        <w:numPr>
          <w:ilvl w:val="0"/>
          <w:numId w:val="1002"/>
        </w:numPr>
      </w:pPr>
      <w:r>
        <w:rPr>
          <w:b/>
          <w:bCs/>
        </w:rPr>
        <w:t xml:space="preserve">El Gobierno Regional de Ayacucho</w:t>
      </w:r>
      <w:r>
        <w:t xml:space="preserve">, por medio de su Dirección Regional de Educación, gestiona los institutos</w:t>
      </w:r>
      <w:r>
        <w:t xml:space="preserve"> </w:t>
      </w:r>
      <w:r>
        <w:t xml:space="preserve">públicos, administra su presupuesto y decide qué obras y equipos se financian. Mientras no funcione el organismo nacional</w:t>
      </w:r>
      <w:r>
        <w:t xml:space="preserve"> </w:t>
      </w:r>
      <w:r>
        <w:t xml:space="preserve">previsto por la ley para gestionar los tecnológicos (Educatec), los gobiernos regionales siguen a cargo</w:t>
      </w:r>
      <w:r>
        <w:t xml:space="preserve"> </w:t>
      </w:r>
      <w:r>
        <w:t xml:space="preserve">(</w:t>
      </w:r>
      <w:hyperlink w:anchor="X73352a938e6a9d05e069c26d98010cc8cb8366f">
        <w:r>
          <w:rPr>
            <w:rStyle w:val="Hyperlink"/>
          </w:rPr>
          <w:t xml:space="preserve">Ley N.° 30512, 2016</w:t>
        </w:r>
      </w:hyperlink>
      <w:r>
        <w:t xml:space="preserve">, séptima disposición complementaria transitoria)</w:t>
      </w:r>
      <w:r>
        <w:t xml:space="preserve">.</w:t>
      </w:r>
    </w:p>
    <w:p>
      <w:pPr>
        <w:pStyle w:val="Compact"/>
        <w:numPr>
          <w:ilvl w:val="0"/>
          <w:numId w:val="1002"/>
        </w:numPr>
      </w:pPr>
      <w:r>
        <w:rPr>
          <w:b/>
          <w:bCs/>
        </w:rPr>
        <w:t xml:space="preserve">El Ministerio de Educación</w:t>
      </w:r>
      <w:r>
        <w:t xml:space="preserve"> </w:t>
      </w:r>
      <w:r>
        <w:t xml:space="preserve">dicta la política, otorga o niega la licencia y puede transferir recursos.</w:t>
      </w:r>
    </w:p>
    <w:p>
      <w:pPr>
        <w:pStyle w:val="Compact"/>
        <w:numPr>
          <w:ilvl w:val="0"/>
          <w:numId w:val="1002"/>
        </w:numPr>
      </w:pPr>
      <w:r>
        <w:rPr>
          <w:b/>
          <w:bCs/>
        </w:rPr>
        <w:t xml:space="preserve">El Congreso</w:t>
      </w:r>
      <w:r>
        <w:t xml:space="preserve"> </w:t>
      </w:r>
      <w:r>
        <w:t xml:space="preserve">puede modificar la ley, por ejemplo para extender la garantía del artículo 61 a los tecnológicos, y</w:t>
      </w:r>
      <w:r>
        <w:t xml:space="preserve"> </w:t>
      </w:r>
      <w:r>
        <w:t xml:space="preserve">sus representantes pueden fiscalizar y pedir información. No ejecutan el presupuesto regional.</w:t>
      </w:r>
    </w:p>
    <w:p>
      <w:pPr>
        <w:pStyle w:val="Compact"/>
        <w:numPr>
          <w:ilvl w:val="0"/>
          <w:numId w:val="1002"/>
        </w:numPr>
      </w:pPr>
      <w:r>
        <w:rPr>
          <w:b/>
          <w:bCs/>
        </w:rPr>
        <w:t xml:space="preserve">Las municipalidades</w:t>
      </w:r>
      <w:r>
        <w:t xml:space="preserve"> </w:t>
      </w:r>
      <w:r>
        <w:t xml:space="preserve">no tienen a su cargo los institutos, pero pueden apoyar con transporte o locales mediante</w:t>
      </w:r>
      <w:r>
        <w:t xml:space="preserve"> </w:t>
      </w:r>
      <w:r>
        <w:t xml:space="preserve">convenios.</w:t>
      </w:r>
    </w:p>
    <w:bookmarkEnd w:id="41"/>
    <w:bookmarkEnd w:id="42"/>
    <w:bookmarkStart w:id="44" w:name="X3c71d3fc8c508847e337bbdd3c09bcf158786e2"/>
    <w:p>
      <w:pPr>
        <w:pStyle w:val="Heading1"/>
      </w:pPr>
      <w:r>
        <w:t xml:space="preserve">Por qué ocurre: una lectura de economía política</w:t>
      </w:r>
    </w:p>
    <w:p>
      <w:pPr>
        <w:pStyle w:val="FirstParagraph"/>
      </w:pPr>
      <w:r>
        <w:t xml:space="preserve">José Carlos Mariátegui escribió que «el problema de la enseñanza no puede ser bien comprendido en nuestro tiempo, si no</w:t>
      </w:r>
      <w:r>
        <w:t xml:space="preserve"> </w:t>
      </w:r>
      <w:r>
        <w:t xml:space="preserve">es considerado un problema económico y como un problema social»</w:t>
      </w:r>
      <w:r>
        <w:t xml:space="preserve"> </w:t>
      </w:r>
      <w:r>
        <w:t xml:space="preserve">(</w:t>
      </w:r>
      <w:hyperlink w:anchor="Xccfef57cc9043559143325f3b21cb667a6e1ebe">
        <w:r>
          <w:rPr>
            <w:rStyle w:val="Hyperlink"/>
          </w:rPr>
          <w:t xml:space="preserve">Mariátegui, 1928/2007, p. 129</w:t>
        </w:r>
      </w:hyperlink>
      <w:r>
        <w:t xml:space="preserve">)</w:t>
      </w:r>
      <w:r>
        <w:t xml:space="preserve">.</w:t>
      </w:r>
      <w:r>
        <w:t xml:space="preserve"> </w:t>
      </w:r>
      <w:r>
        <w:t xml:space="preserve">Leído así, la pregunta no es solo cuánto dinero falta, sino por qué el sistema produce esa falta. Propongo el siguiente</w:t>
      </w:r>
      <w:r>
        <w:t xml:space="preserve"> </w:t>
      </w:r>
      <w:r>
        <w:t xml:space="preserve">mecanismo, que es una interpretación apoyada en los datos anteriores:</w:t>
      </w:r>
    </w:p>
    <w:p>
      <w:pPr>
        <w:pStyle w:val="Compact"/>
        <w:numPr>
          <w:ilvl w:val="0"/>
          <w:numId w:val="1003"/>
        </w:numPr>
      </w:pPr>
      <w:r>
        <w:t xml:space="preserve">La ley fija condiciones de calidad iguales para todos los institutos y condiciona su funcionamiento a la licencia.</w:t>
      </w:r>
    </w:p>
    <w:p>
      <w:pPr>
        <w:pStyle w:val="Compact"/>
        <w:numPr>
          <w:ilvl w:val="0"/>
          <w:numId w:val="1003"/>
        </w:numPr>
      </w:pPr>
      <w:r>
        <w:t xml:space="preserve">El costo de cumplirlas recae en el gobierno regional, que gestiona los institutos.</w:t>
      </w:r>
    </w:p>
    <w:p>
      <w:pPr>
        <w:pStyle w:val="Compact"/>
        <w:numPr>
          <w:ilvl w:val="0"/>
          <w:numId w:val="1003"/>
        </w:numPr>
      </w:pPr>
      <w:r>
        <w:t xml:space="preserve">Para los tecnológicos no hay un piso legal de recursos, y la reforma se aprobó sin presupuesto adicional.</w:t>
      </w:r>
    </w:p>
    <w:p>
      <w:pPr>
        <w:pStyle w:val="Compact"/>
        <w:numPr>
          <w:ilvl w:val="0"/>
          <w:numId w:val="1003"/>
        </w:numPr>
      </w:pPr>
      <w:r>
        <w:t xml:space="preserve">El gobierno regional reparte un presupuesto limitado entre salud, carreteras, colegios y muchas otras demandas. Los</w:t>
      </w:r>
      <w:r>
        <w:t xml:space="preserve"> </w:t>
      </w:r>
      <w:r>
        <w:t xml:space="preserve">institutos son pequeños, están dispersos en provincias y tienen poca voz organizada: reciben el 1,8 %.</w:t>
      </w:r>
    </w:p>
    <w:p>
      <w:pPr>
        <w:pStyle w:val="Compact"/>
        <w:numPr>
          <w:ilvl w:val="0"/>
          <w:numId w:val="1003"/>
        </w:numPr>
      </w:pPr>
      <w:r>
        <w:t xml:space="preserve">El instituto que no reúne las condiciones no obtiene la licencia, y el joven que no puede pagar un privado se queda</w:t>
      </w:r>
      <w:r>
        <w:t xml:space="preserve"> </w:t>
      </w:r>
      <w:r>
        <w:t xml:space="preserve">con menos opciones.</w:t>
      </w:r>
    </w:p>
    <w:p>
      <w:pPr>
        <w:pStyle w:val="FirstParagraph"/>
      </w:pPr>
      <w:r>
        <w:t xml:space="preserve">La comparación con las escuelas pedagógicas apoya este mecanismo. Están en la misma región, dependen del mismo</w:t>
      </w:r>
      <w:r>
        <w:t xml:space="preserve"> </w:t>
      </w:r>
      <w:r>
        <w:t xml:space="preserve">gobierno regional y tienen la garantía del artículo 61: todas están licenciadas. No es una prueba de causalidad, porque</w:t>
      </w:r>
      <w:r>
        <w:t xml:space="preserve"> </w:t>
      </w:r>
      <w:r>
        <w:t xml:space="preserve">las escuelas pedagógicas también difieren en tamaño y en historia, pero es un contraste difícil de ignorar.</w:t>
      </w:r>
    </w:p>
    <w:p>
      <w:pPr>
        <w:pStyle w:val="BodyText"/>
      </w:pPr>
      <w:r>
        <w:t xml:space="preserve">Sostengo, además, que aprobar normas sin presupuesto responde a un incentivo político. Quien aprueba una reforma gana</w:t>
      </w:r>
      <w:r>
        <w:t xml:space="preserve"> </w:t>
      </w:r>
      <w:r>
        <w:t xml:space="preserve">el reconocimiento de inmediato, mientras que el costo de cumplirla se traslada a otras entidades y a otros años. Pierre</w:t>
      </w:r>
      <w:r>
        <w:t xml:space="preserve"> </w:t>
      </w:r>
      <w:r>
        <w:t xml:space="preserve">Bourdieu describió el neoliberalismo como una política que, en nombre de la eficiencia del mercado, restringe el gasto</w:t>
      </w:r>
      <w:r>
        <w:t xml:space="preserve"> </w:t>
      </w:r>
      <w:r>
        <w:t xml:space="preserve">público y funciona como «un programa de destrucción metódica de los colectivos»</w:t>
      </w:r>
      <w:r>
        <w:t xml:space="preserve"> </w:t>
      </w:r>
      <w:r>
        <w:t xml:space="preserve">(</w:t>
      </w:r>
      <w:hyperlink w:anchor="ref-bourdieuEsenciaNeoliberalismo101">
        <w:r>
          <w:rPr>
            <w:rStyle w:val="Hyperlink"/>
          </w:rPr>
          <w:t xml:space="preserve">Bourdieu, 1998, p. 3</w:t>
        </w:r>
      </w:hyperlink>
      <w:r>
        <w:t xml:space="preserve">,</w:t>
      </w:r>
      <w:r>
        <w:t xml:space="preserve"> </w:t>
      </w:r>
      <w:r>
        <w:t xml:space="preserve">traducción propia)</w:t>
      </w:r>
      <w:r>
        <w:t xml:space="preserve">. No hace falta suponer una intención deliberada para ver el efecto: un sistema que deja que cada</w:t>
      </w:r>
      <w:r>
        <w:t xml:space="preserve"> </w:t>
      </w:r>
      <w:r>
        <w:t xml:space="preserve">instituto resuelva solo sus carencias debilita justamente lo que podría corregirlas, la acción conjunta de quienes</w:t>
      </w:r>
      <w:r>
        <w:t xml:space="preserve"> </w:t>
      </w:r>
      <w:r>
        <w:t xml:space="preserve">estudian y enseñan en ellos.</w:t>
      </w:r>
    </w:p>
    <w:bookmarkStart w:id="43" w:name="X33b562c62a4883268271f4306c2a50dce7969f3"/>
    <w:p>
      <w:pPr>
        <w:pStyle w:val="Heading2"/>
      </w:pPr>
      <w:r>
        <w:t xml:space="preserve">Otras explicaciones que conviene considerar</w:t>
      </w:r>
    </w:p>
    <w:p>
      <w:pPr>
        <w:pStyle w:val="FirstParagraph"/>
      </w:pPr>
      <w:r>
        <w:rPr>
          <w:b/>
          <w:bCs/>
        </w:rPr>
        <w:t xml:space="preserve">La capacidad de ejecución.</w:t>
      </w:r>
      <w:r>
        <w:t xml:space="preserve"> </w:t>
      </w:r>
      <w:r>
        <w:t xml:space="preserve">Se dice a menudo que el problema no es la falta de dinero, sino que no se gasta. En el</w:t>
      </w:r>
      <w:r>
        <w:t xml:space="preserve"> </w:t>
      </w:r>
      <w:r>
        <w:t xml:space="preserve">grupo de educación superior no universitaria, el Gobierno Regional ejecutó el 99 % de lo asignado en 2025, de modo que</w:t>
      </w:r>
      <w:r>
        <w:t xml:space="preserve"> </w:t>
      </w:r>
      <w:r>
        <w:t xml:space="preserve">ahí la ejecución no es el cuello de botella. Queda abierta la ejecución de las obras, que se registran aparte y que esta</w:t>
      </w:r>
      <w:r>
        <w:t xml:space="preserve"> </w:t>
      </w:r>
      <w:r>
        <w:t xml:space="preserve">revisión no pudo seguir.</w:t>
      </w:r>
    </w:p>
    <w:p>
      <w:pPr>
        <w:pStyle w:val="BodyText"/>
      </w:pPr>
      <w:r>
        <w:rPr>
          <w:b/>
          <w:bCs/>
        </w:rPr>
        <w:t xml:space="preserve">La dispersión territorial.</w:t>
      </w:r>
      <w:r>
        <w:t xml:space="preserve"> </w:t>
      </w:r>
      <w:r>
        <w:t xml:space="preserve">Dieciséis institutos para 3 149 estudiantes es una red cara de mantener, y alguien podría</w:t>
      </w:r>
      <w:r>
        <w:t xml:space="preserve"> </w:t>
      </w:r>
      <w:r>
        <w:t xml:space="preserve">proponer concentrarlos. Pero esa cercanía es justamente lo que permite estudiar a quien no puede mudarse a Huamanga, en</w:t>
      </w:r>
      <w:r>
        <w:t xml:space="preserve"> </w:t>
      </w:r>
      <w:r>
        <w:t xml:space="preserve">una región donde solo uno de cada cinco egresados de secundaria pasa de inmediato a la educación superior. La</w:t>
      </w:r>
      <w:r>
        <w:t xml:space="preserve"> </w:t>
      </w:r>
      <w:r>
        <w:t xml:space="preserve">discusión de fondo es cómo financiar una red dispersa, no si debe existir.</w:t>
      </w:r>
    </w:p>
    <w:p>
      <w:pPr>
        <w:pStyle w:val="BodyText"/>
      </w:pPr>
      <w:r>
        <w:rPr>
          <w:b/>
          <w:bCs/>
        </w:rPr>
        <w:t xml:space="preserve">La gestión de cada instituto.</w:t>
      </w:r>
      <w:r>
        <w:t xml:space="preserve"> </w:t>
      </w:r>
      <w:r>
        <w:t xml:space="preserve">La diferencia entre Paucar del Sara Sara, licenciado con 79 estudiantes, y otros más</w:t>
      </w:r>
      <w:r>
        <w:t xml:space="preserve"> </w:t>
      </w:r>
      <w:r>
        <w:t xml:space="preserve">grandes sin licencia sugiere que la gestión importa. Eso no contradice el argumento: la gestión puede aprovechar mejor</w:t>
      </w:r>
      <w:r>
        <w:t xml:space="preserve"> </w:t>
      </w:r>
      <w:r>
        <w:t xml:space="preserve">los recursos, pero no reemplaza la falta de un piso de financiamiento.</w:t>
      </w:r>
    </w:p>
    <w:bookmarkEnd w:id="43"/>
    <w:bookmarkEnd w:id="44"/>
    <w:bookmarkStart w:id="45" w:name="organizarse-para-exigir"/>
    <w:p>
      <w:pPr>
        <w:pStyle w:val="Heading1"/>
      </w:pPr>
      <w:r>
        <w:t xml:space="preserve">Organizarse para exigir</w:t>
      </w:r>
    </w:p>
    <w:p>
      <w:pPr>
        <w:pStyle w:val="FirstParagraph"/>
      </w:pPr>
      <w:r>
        <w:t xml:space="preserve">Si el problema es que cada instituto enfrenta solo una carencia que es común, la respuesta lógica es actuar en conjunto.</w:t>
      </w:r>
      <w:r>
        <w:t xml:space="preserve"> </w:t>
      </w:r>
      <w:r>
        <w:t xml:space="preserve">El pronunciamiento propone una</w:t>
      </w:r>
      <w:r>
        <w:t xml:space="preserve"> </w:t>
      </w:r>
      <w:r>
        <w:rPr>
          <w:b/>
          <w:bCs/>
        </w:rPr>
        <w:t xml:space="preserve">Coordinadora de estudiantes de institutos de Ayacucho</w:t>
      </w:r>
      <w:r>
        <w:t xml:space="preserve">. Todavía es una propuesta, no</w:t>
      </w:r>
      <w:r>
        <w:t xml:space="preserve"> </w:t>
      </w:r>
      <w:r>
        <w:t xml:space="preserve">una organización constituida. Para que funcione, sugiero empezar así:</w:t>
      </w:r>
    </w:p>
    <w:p>
      <w:pPr>
        <w:pStyle w:val="Compact"/>
        <w:numPr>
          <w:ilvl w:val="0"/>
          <w:numId w:val="1004"/>
        </w:numPr>
      </w:pPr>
      <w:r>
        <w:rPr>
          <w:b/>
          <w:bCs/>
        </w:rPr>
        <w:t xml:space="preserve">Representación plural.</w:t>
      </w:r>
      <w:r>
        <w:t xml:space="preserve"> </w:t>
      </w:r>
      <w:r>
        <w:t xml:space="preserve">Un delegado por cada consejo estudiantil de los 16 tecnológicos, las 5 escuelas</w:t>
      </w:r>
      <w:r>
        <w:t xml:space="preserve"> </w:t>
      </w:r>
      <w:r>
        <w:t xml:space="preserve">pedagógicas y las 2 escuelas artísticas públicas, para que estén las once provincias. Las decisiones, por mayoría de</w:t>
      </w:r>
      <w:r>
        <w:t xml:space="preserve"> </w:t>
      </w:r>
      <w:r>
        <w:t xml:space="preserve">delegados y con actas públicas.</w:t>
      </w:r>
    </w:p>
    <w:p>
      <w:pPr>
        <w:pStyle w:val="Compact"/>
        <w:numPr>
          <w:ilvl w:val="0"/>
          <w:numId w:val="1004"/>
        </w:numPr>
      </w:pPr>
      <w:r>
        <w:rPr>
          <w:b/>
          <w:bCs/>
        </w:rPr>
        <w:t xml:space="preserve">Independencia.</w:t>
      </w:r>
      <w:r>
        <w:t xml:space="preserve"> </w:t>
      </w:r>
      <w:r>
        <w:t xml:space="preserve">Es una iniciativa ciudadana de estudiantes, sin respaldo partidario ni institucional.</w:t>
      </w:r>
    </w:p>
    <w:p>
      <w:pPr>
        <w:pStyle w:val="Compact"/>
        <w:numPr>
          <w:ilvl w:val="0"/>
          <w:numId w:val="1004"/>
        </w:numPr>
      </w:pPr>
      <w:r>
        <w:rPr>
          <w:b/>
          <w:bCs/>
        </w:rPr>
        <w:t xml:space="preserve">Primer paso, en 30 días.</w:t>
      </w:r>
      <w:r>
        <w:t xml:space="preserve"> </w:t>
      </w:r>
      <w:r>
        <w:t xml:space="preserve">Un diagnóstico común con la misma ficha en cada instituto (equipos, locales, conectividad,</w:t>
      </w:r>
      <w:r>
        <w:t xml:space="preserve"> </w:t>
      </w:r>
      <w:r>
        <w:t xml:space="preserve">bienestar), y solicitudes de acceso a la información pública al Gobierno Regional sobre los proyectos de inversión de</w:t>
      </w:r>
      <w:r>
        <w:t xml:space="preserve"> </w:t>
      </w:r>
      <w:r>
        <w:t xml:space="preserve">cada instituto y sobre el 10 % del canon. La entidad debe responder en un plazo de diez días hábiles</w:t>
      </w:r>
      <w:r>
        <w:t xml:space="preserve"> </w:t>
      </w:r>
      <w:r>
        <w:t xml:space="preserve">(</w:t>
      </w:r>
      <w:hyperlink w:anchor="ref-peruTUOLeyTransparencia2019">
        <w:r>
          <w:rPr>
            <w:rStyle w:val="Hyperlink"/>
          </w:rPr>
          <w:t xml:space="preserve">Decreto Supremo N.° 021-2019-JUS, 2019</w:t>
        </w:r>
      </w:hyperlink>
      <w:r>
        <w:t xml:space="preserve">, art. 11, inc. b)</w:t>
      </w:r>
      <w:r>
        <w:t xml:space="preserve">.</w:t>
      </w:r>
    </w:p>
    <w:p>
      <w:pPr>
        <w:pStyle w:val="Compact"/>
        <w:numPr>
          <w:ilvl w:val="0"/>
          <w:numId w:val="1004"/>
        </w:numPr>
      </w:pPr>
      <w:r>
        <w:rPr>
          <w:b/>
          <w:bCs/>
        </w:rPr>
        <w:t xml:space="preserve">Segundo paso, en 60 días.</w:t>
      </w:r>
      <w:r>
        <w:t xml:space="preserve"> </w:t>
      </w:r>
      <w:r>
        <w:t xml:space="preserve">Con el diagnóstico y las respuestas, un pliego regional único y el pedido de una</w:t>
      </w:r>
      <w:r>
        <w:t xml:space="preserve"> </w:t>
      </w:r>
      <w:r>
        <w:t xml:space="preserve">audiencia pública con el Gobierno Regional y la Dirección Regional de Educación.</w:t>
      </w:r>
    </w:p>
    <w:p>
      <w:pPr>
        <w:pStyle w:val="Compact"/>
        <w:numPr>
          <w:ilvl w:val="0"/>
          <w:numId w:val="1004"/>
        </w:numPr>
      </w:pPr>
      <w:r>
        <w:rPr>
          <w:b/>
          <w:bCs/>
        </w:rPr>
        <w:t xml:space="preserve">Seguimiento.</w:t>
      </w:r>
      <w:r>
        <w:t xml:space="preserve"> </w:t>
      </w:r>
      <w:r>
        <w:t xml:space="preserve">Un registro público de cada demanda, con lo pedido, la respuesta y el avance.</w:t>
      </w:r>
    </w:p>
    <w:p>
      <w:pPr>
        <w:pStyle w:val="FirstParagraph"/>
      </w:pPr>
      <w:r>
        <w:t xml:space="preserve">Para ordenar las prioridades, propongo cuatro criterios: la seguridad de los estudiantes (un techo que se cae va</w:t>
      </w:r>
      <w:r>
        <w:t xml:space="preserve"> </w:t>
      </w:r>
      <w:r>
        <w:t xml:space="preserve">primero), el número de estudiantes afectados, el efecto sobre la licencia del instituto y el costo.</w:t>
      </w:r>
    </w:p>
    <w:bookmarkEnd w:id="45"/>
    <w:bookmarkStart w:id="47" w:name="agenda-regional-de-demandas"/>
    <w:p>
      <w:pPr>
        <w:pStyle w:val="Heading1"/>
      </w:pPr>
      <w:r>
        <w:t xml:space="preserve">Agenda regional de demandas</w:t>
      </w:r>
    </w:p>
    <w:p>
      <w:pPr>
        <w:pStyle w:val="FirstParagraph"/>
      </w:pPr>
      <w:r>
        <w:t xml:space="preserve">La</w:t>
      </w:r>
      <w:r>
        <w:t xml:space="preserve"> </w:t>
      </w:r>
      <w:hyperlink w:anchor="tbl-demandas">
        <w:r>
          <w:rPr>
            <w:rStyle w:val="Hyperlink"/>
          </w:rPr>
          <w:t xml:space="preserve">Tabla 4</w:t>
        </w:r>
      </w:hyperlink>
      <w:r>
        <w:t xml:space="preserve"> </w:t>
      </w:r>
      <w:r>
        <w:t xml:space="preserve">convierte el pliego del pronunciamiento en una matriz de seguimiento. Distingue las demandas inmediatas,</w:t>
      </w:r>
      <w:r>
        <w:t xml:space="preserve"> </w:t>
      </w:r>
      <w:r>
        <w:t xml:space="preserve">que se resuelven con presupuesto, de las estructurales, que requieren cambiar una norma. Todas están hoy en estado</w:t>
      </w:r>
      <w:r>
        <w:t xml:space="preserve"> </w:t>
      </w:r>
      <w:r>
        <w:rPr>
          <w:i/>
          <w:iCs/>
        </w:rPr>
        <w:t xml:space="preserve">pendiente</w:t>
      </w:r>
      <w:r>
        <w:t xml:space="preserve">: documentarlas es la primera tarea de la coordinadora.</w:t>
      </w:r>
    </w:p>
    <w:bookmarkStart w:id="46" w:name="tbl-demandas"/>
    <w:p>
      <w:pPr>
        <w:pStyle w:val="FigureTitle"/>
      </w:pPr>
      <w:r>
        <w:t xml:space="preserve">Tabla 4</w:t>
      </w:r>
    </w:p>
    <w:p>
      <w:pPr>
        <w:pStyle w:val="Caption"/>
      </w:pPr>
      <w:r>
        <w:t xml:space="preserve">Matriz regional de seguimiento de las demandas estudiantiles</w:t>
      </w:r>
    </w:p>
    <w:tbl>
      <w:tblPr>
        <w:tblStyle w:val="Table"/>
        <w:tblW w:type="pct" w:w="5000"/>
        <w:tblLayout w:type="fixed"/>
        <w:tblLook w:firstRow="1" w:lastRow="0" w:firstColumn="0" w:lastColumn="0" w:noHBand="0" w:noVBand="0" w:val="0020"/>
      </w:tblPr>
      <w:tblGrid>
        <w:gridCol w:w="3168"/>
        <w:gridCol w:w="2574"/>
        <w:gridCol w:w="2178"/>
      </w:tblGrid>
      <w:tr>
        <w:trPr>
          <w:tblHeader w:val="on"/>
        </w:trPr>
        <w:tc>
          <w:tcPr/>
          <w:p>
            <w:pPr>
              <w:pStyle w:val="Compact"/>
            </w:pPr>
            <w:r>
              <w:t xml:space="preserve">Demanda y acción solicitada</w:t>
            </w:r>
          </w:p>
        </w:tc>
        <w:tc>
          <w:tcPr/>
          <w:p>
            <w:pPr>
              <w:pStyle w:val="Compact"/>
            </w:pPr>
            <w:r>
              <w:t xml:space="preserve">Fundamento</w:t>
            </w:r>
          </w:p>
        </w:tc>
        <w:tc>
          <w:tcPr/>
          <w:p>
            <w:pPr>
              <w:pStyle w:val="Compact"/>
            </w:pPr>
            <w:r>
              <w:t xml:space="preserve">Responsable e indicador</w:t>
            </w:r>
          </w:p>
        </w:tc>
      </w:tr>
      <w:tr>
        <w:tc>
          <w:tcPr/>
          <w:p>
            <w:pPr>
              <w:pStyle w:val="Compact"/>
            </w:pPr>
            <w:r>
              <w:t xml:space="preserve">Laboratorios, equipos y maquinaria de las carreras, como Enfermería Técnica y las agropecuarias (inmediata). Inventario por instituto y pedido presupuestal para 2027</w:t>
            </w:r>
          </w:p>
        </w:tc>
        <w:tc>
          <w:tcPr/>
          <w:p>
            <w:pPr>
              <w:pStyle w:val="Compact"/>
            </w:pPr>
            <w:r>
              <w:t xml:space="preserve">Condiciones básicas de calidad (Ley 30512, arts. 24-25); gestión regional (art. 57; Ley 27867, art. 47 m)</w:t>
            </w:r>
          </w:p>
        </w:tc>
        <w:tc>
          <w:tcPr/>
          <w:p>
            <w:pPr>
              <w:pStyle w:val="Compact"/>
            </w:pPr>
            <w:r>
              <w:t xml:space="preserve">GR y DREA, con apoyo del Minedu. Equipos operativos por carrera</w:t>
            </w:r>
          </w:p>
        </w:tc>
      </w:tr>
      <w:tr>
        <w:tc>
          <w:tcPr/>
          <w:p>
            <w:pPr>
              <w:pStyle w:val="Compact"/>
            </w:pPr>
            <w:r>
              <w:t xml:space="preserve">Locales nuevos o rehabilitados (inmediata). Lista de proyectos con código, costo y avance</w:t>
            </w:r>
          </w:p>
        </w:tc>
        <w:tc>
          <w:tcPr/>
          <w:p>
            <w:pPr>
              <w:pStyle w:val="Compact"/>
            </w:pPr>
            <w:r>
              <w:t xml:space="preserve">Ley 27867, art. 47 m; Ley 30512, art. 57</w:t>
            </w:r>
          </w:p>
        </w:tc>
        <w:tc>
          <w:tcPr/>
          <w:p>
            <w:pPr>
              <w:pStyle w:val="Compact"/>
            </w:pPr>
            <w:r>
              <w:t xml:space="preserve">GR. Avance físico y financiero de cada obra</w:t>
            </w:r>
          </w:p>
        </w:tc>
      </w:tr>
      <w:tr>
        <w:tc>
          <w:tcPr/>
          <w:p>
            <w:pPr>
              <w:pStyle w:val="Compact"/>
            </w:pPr>
            <w:r>
              <w:t xml:space="preserve">Licencia para los 10 tecnológicos públicos que no la tienen (inmediata). Plan con brechas y costo por instituto</w:t>
            </w:r>
          </w:p>
        </w:tc>
        <w:tc>
          <w:tcPr/>
          <w:p>
            <w:pPr>
              <w:pStyle w:val="Compact"/>
            </w:pPr>
            <w:r>
              <w:t xml:space="preserve">Ley 30512, arts. 24-25</w:t>
            </w:r>
          </w:p>
        </w:tc>
        <w:tc>
          <w:tcPr/>
          <w:p>
            <w:pPr>
              <w:pStyle w:val="Compact"/>
            </w:pPr>
            <w:r>
              <w:t xml:space="preserve">GR y Minedu. Institutos licenciados</w:t>
            </w:r>
          </w:p>
        </w:tc>
      </w:tr>
      <w:tr>
        <w:tc>
          <w:tcPr/>
          <w:p>
            <w:pPr>
              <w:pStyle w:val="Compact"/>
            </w:pPr>
            <w:r>
              <w:t xml:space="preserve">Bibliotecas, salas de cómputo e internet en todo el local (inmediata)</w:t>
            </w:r>
          </w:p>
        </w:tc>
        <w:tc>
          <w:tcPr/>
          <w:p>
            <w:pPr>
              <w:pStyle w:val="Compact"/>
            </w:pPr>
            <w:r>
              <w:t xml:space="preserve">Condiciones básicas de calidad (Ley 30512, arts. 24-25)</w:t>
            </w:r>
          </w:p>
        </w:tc>
        <w:tc>
          <w:tcPr/>
          <w:p>
            <w:pPr>
              <w:pStyle w:val="Compact"/>
            </w:pPr>
            <w:r>
              <w:t xml:space="preserve">GR. Conexión operativa en cada instituto</w:t>
            </w:r>
          </w:p>
        </w:tc>
      </w:tr>
      <w:tr>
        <w:tc>
          <w:tcPr/>
          <w:p>
            <w:pPr>
              <w:pStyle w:val="Compact"/>
            </w:pPr>
            <w:r>
              <w:t xml:space="preserve">Unidad de bienestar con consejería y comité de defensa; atención de salud mental (inmediata)</w:t>
            </w:r>
          </w:p>
        </w:tc>
        <w:tc>
          <w:tcPr/>
          <w:p>
            <w:pPr>
              <w:pStyle w:val="Compact"/>
            </w:pPr>
            <w:r>
              <w:t xml:space="preserve">Ley 30512, art. 29 f; el área de psicología es una propuesta, no una obligación</w:t>
            </w:r>
          </w:p>
        </w:tc>
        <w:tc>
          <w:tcPr/>
          <w:p>
            <w:pPr>
              <w:pStyle w:val="Compact"/>
            </w:pPr>
            <w:r>
              <w:t xml:space="preserve">Dirección del instituto y GR. Unidad funcionando con personal</w:t>
            </w:r>
          </w:p>
        </w:tc>
      </w:tr>
      <w:tr>
        <w:tc>
          <w:tcPr/>
          <w:p>
            <w:pPr>
              <w:pStyle w:val="Compact"/>
            </w:pPr>
            <w:r>
              <w:t xml:space="preserve">Comedor, residencia y movilidad (inmediata)</w:t>
            </w:r>
          </w:p>
        </w:tc>
        <w:tc>
          <w:tcPr/>
          <w:p>
            <w:pPr>
              <w:pStyle w:val="Compact"/>
            </w:pPr>
            <w:r>
              <w:t xml:space="preserve">Propuesta de política; acceso equitativo como objetivo de la política nacional</w:t>
            </w:r>
          </w:p>
        </w:tc>
        <w:tc>
          <w:tcPr/>
          <w:p>
            <w:pPr>
              <w:pStyle w:val="Compact"/>
            </w:pPr>
            <w:r>
              <w:t xml:space="preserve">GR y municipalidades. Convenios firmados y estudiantes atendidos</w:t>
            </w:r>
          </w:p>
        </w:tc>
      </w:tr>
      <w:tr>
        <w:tc>
          <w:tcPr/>
          <w:p>
            <w:pPr>
              <w:pStyle w:val="Compact"/>
            </w:pPr>
            <w:r>
              <w:t xml:space="preserve">Personal de vigilancia (inmediata)</w:t>
            </w:r>
          </w:p>
        </w:tc>
        <w:tc>
          <w:tcPr/>
          <w:p>
            <w:pPr>
              <w:pStyle w:val="Compact"/>
            </w:pPr>
            <w:r>
              <w:t xml:space="preserve">Gasto de funcionamiento del presupuesto regional</w:t>
            </w:r>
          </w:p>
        </w:tc>
        <w:tc>
          <w:tcPr/>
          <w:p>
            <w:pPr>
              <w:pStyle w:val="Compact"/>
            </w:pPr>
            <w:r>
              <w:t xml:space="preserve">GR. Plazas cubiertas</w:t>
            </w:r>
          </w:p>
        </w:tc>
      </w:tr>
      <w:tr>
        <w:tc>
          <w:tcPr/>
          <w:p>
            <w:pPr>
              <w:pStyle w:val="Compact"/>
            </w:pPr>
            <w:r>
              <w:t xml:space="preserve">El 10 % del canon para investigación en institutos (estructural)</w:t>
            </w:r>
          </w:p>
        </w:tc>
        <w:tc>
          <w:tcPr/>
          <w:p>
            <w:pPr>
              <w:pStyle w:val="Compact"/>
            </w:pPr>
            <w:r>
              <w:t xml:space="preserve">Ley 30512, tercera disposición complementaria modificatoria</w:t>
            </w:r>
          </w:p>
        </w:tc>
        <w:tc>
          <w:tcPr/>
          <w:p>
            <w:pPr>
              <w:pStyle w:val="Compact"/>
            </w:pPr>
            <w:r>
              <w:t xml:space="preserve">GR. Montos transferidos por año</w:t>
            </w:r>
          </w:p>
        </w:tc>
      </w:tr>
      <w:tr>
        <w:tc>
          <w:tcPr/>
          <w:p>
            <w:pPr>
              <w:pStyle w:val="Compact"/>
            </w:pPr>
            <w:r>
              <w:t xml:space="preserve">Garantía de recursos del art. 61 también para los tecnológicos públicos (estructural)</w:t>
            </w:r>
          </w:p>
        </w:tc>
        <w:tc>
          <w:tcPr/>
          <w:p>
            <w:pPr>
              <w:pStyle w:val="Compact"/>
            </w:pPr>
            <w:r>
              <w:t xml:space="preserve">Reforma legal: hoy solo rige para las escuelas pedagógicas</w:t>
            </w:r>
          </w:p>
        </w:tc>
        <w:tc>
          <w:tcPr/>
          <w:p>
            <w:pPr>
              <w:pStyle w:val="Compact"/>
            </w:pPr>
            <w:r>
              <w:t xml:space="preserve">Congreso. Proyecto de ley presentado y debatido</w:t>
            </w:r>
          </w:p>
        </w:tc>
      </w:tr>
    </w:tbl>
    <w:bookmarkEnd w:id="46"/>
    <w:p>
      <w:pPr>
        <w:pStyle w:val="FigureNote"/>
      </w:pPr>
      <w:r>
        <w:rPr>
          <w:i/>
          <w:iCs/>
        </w:rPr>
        <w:t xml:space="preserve">Nota</w:t>
      </w:r>
      <w:r>
        <w:t xml:space="preserve">. Elaboración propia a partir del pronunciamiento estudiantil, la Ley N.° 30512 (2016) y la Ley N.° 27867 (2002). GR: Gobierno Regional de Ayacucho; DREA: Dirección Regional de Educación de Ayacucho.</w:t>
      </w:r>
    </w:p>
    <w:bookmarkEnd w:id="47"/>
    <w:bookmarkStart w:id="48" w:name="conclusiones"/>
    <w:p>
      <w:pPr>
        <w:pStyle w:val="Heading1"/>
      </w:pPr>
      <w:r>
        <w:t xml:space="preserve">Conclusiones</w:t>
      </w:r>
    </w:p>
    <w:p>
      <w:pPr>
        <w:pStyle w:val="FirstParagraph"/>
      </w:pPr>
      <w:r>
        <w:t xml:space="preserve">Los datos permiten afirmar tres cosas. El Estado peruano invierte por estudiante de educación superior algo más de la</w:t>
      </w:r>
      <w:r>
        <w:t xml:space="preserve"> </w:t>
      </w:r>
      <w:r>
        <w:t xml:space="preserve">mitad que Chile o Colombia. Los institutos reciben hoy una cuarta parte del presupuesto público de la educación superior,</w:t>
      </w:r>
      <w:r>
        <w:t xml:space="preserve"> </w:t>
      </w:r>
      <w:r>
        <w:t xml:space="preserve">más que en 2019, pero mucho menos que la universidad. Y en Ayacucho, 10 de los 16 tecnológicos públicos no tienen</w:t>
      </w:r>
      <w:r>
        <w:t xml:space="preserve"> </w:t>
      </w:r>
      <w:r>
        <w:t xml:space="preserve">licencia, mientras que todas las escuelas pedagógicas públicas sí.</w:t>
      </w:r>
    </w:p>
    <w:p>
      <w:pPr>
        <w:pStyle w:val="BodyText"/>
      </w:pPr>
      <w:r>
        <w:t xml:space="preserve">La explicación que propongo, y que dejo abierta a discusión, es que la ley exige a los tecnológicos la misma calidad</w:t>
      </w:r>
      <w:r>
        <w:t xml:space="preserve"> </w:t>
      </w:r>
      <w:r>
        <w:t xml:space="preserve">que a las escuelas pedagógicas sin garantizarles los mismos recursos, y que la reforma se aprobó sin presupuesto</w:t>
      </w:r>
      <w:r>
        <w:t xml:space="preserve"> </w:t>
      </w:r>
      <w:r>
        <w:t xml:space="preserve">adicional. Esa brecha entre lo que se exige y lo que se financia la paga quien no puede elegir un instituto privado.</w:t>
      </w:r>
    </w:p>
    <w:p>
      <w:pPr>
        <w:pStyle w:val="BodyText"/>
      </w:pPr>
      <w:r>
        <w:t xml:space="preserve">La coordinadora es todavía una propuesta. Su primer paso es concreto: reunir a los delegados, levantar un diagnóstico</w:t>
      </w:r>
      <w:r>
        <w:t xml:space="preserve"> </w:t>
      </w:r>
      <w:r>
        <w:t xml:space="preserve">común y pedir información pública. Con ese diagnóstico en la mano, las demandas dejan de ser un reclamo disperso y se</w:t>
      </w:r>
      <w:r>
        <w:t xml:space="preserve"> </w:t>
      </w:r>
      <w:r>
        <w:t xml:space="preserve">vuelven un pliego con fundamento, responsable y plazo.</w:t>
      </w:r>
    </w:p>
    <w:p>
      <w:pPr>
        <w:pStyle w:val="BodyText"/>
      </w:pPr>
      <w:r>
        <w:rPr>
          <w:b/>
          <w:bCs/>
        </w:rPr>
        <w:t xml:space="preserve">¡Por la unidad de los estudiantes de institutos de la región de Ayacucho! ¡Sin luchas no hay victorias!</w:t>
      </w:r>
    </w:p>
    <w:bookmarkEnd w:id="48"/>
    <w:bookmarkStart w:id="86" w:name="referencias"/>
    <w:p>
      <w:pPr>
        <w:pStyle w:val="Heading1"/>
      </w:pPr>
      <w:r>
        <w:t xml:space="preserve">Referencias</w:t>
      </w:r>
    </w:p>
    <w:bookmarkStart w:id="85" w:name="refs"/>
    <w:bookmarkStart w:id="50" w:name="X602630dfad5b4c3ab47d8baa13ca42d0ddc6008"/>
    <w:p>
      <w:pPr>
        <w:pStyle w:val="Bibliography"/>
      </w:pPr>
      <w:r>
        <w:t xml:space="preserve">Banco Mundial. (2026).</w:t>
      </w:r>
      <w:r>
        <w:t xml:space="preserve"> </w:t>
      </w:r>
      <w:r>
        <w:rPr>
          <w:i/>
          <w:iCs/>
        </w:rPr>
        <w:t xml:space="preserve">Gasto público por estudiante, nivel terciario (% del</w:t>
      </w:r>
      <w:r>
        <w:rPr>
          <w:i/>
          <w:iCs/>
        </w:rPr>
        <w:t xml:space="preserve"> </w:t>
      </w:r>
      <w:r>
        <w:rPr>
          <w:i/>
          <w:iCs/>
        </w:rPr>
        <w:t xml:space="preserve">PIB</w:t>
      </w:r>
      <w:r>
        <w:rPr>
          <w:i/>
          <w:iCs/>
        </w:rPr>
        <w:t xml:space="preserve"> </w:t>
      </w:r>
      <w:r>
        <w:rPr>
          <w:i/>
          <w:iCs/>
        </w:rPr>
        <w:t xml:space="preserve">per cápita), indicador</w:t>
      </w:r>
      <w:r>
        <w:rPr>
          <w:i/>
          <w:iCs/>
        </w:rPr>
        <w:t xml:space="preserve"> </w:t>
      </w:r>
      <w:r>
        <w:rPr>
          <w:i/>
          <w:iCs/>
        </w:rPr>
        <w:t xml:space="preserve">SE.XPD.TERT.PC.ZS</w:t>
      </w:r>
      <w:r>
        <w:t xml:space="preserve"> </w:t>
      </w:r>
      <w:r>
        <w:t xml:space="preserve">[Conjunto de datos]. Instituto de Estadística de la UNESCO.</w:t>
      </w:r>
      <w:r>
        <w:t xml:space="preserve"> </w:t>
      </w:r>
      <w:hyperlink r:id="rId49">
        <w:r>
          <w:rPr>
            <w:rStyle w:val="Hyperlink"/>
          </w:rPr>
          <w:t xml:space="preserve">https://datos.bancomundial.org/indicador/SE.XPD.TERT.PC.ZS?locations=PE-CL-CO</w:t>
        </w:r>
      </w:hyperlink>
    </w:p>
    <w:bookmarkEnd w:id="50"/>
    <w:bookmarkStart w:id="52" w:name="ref-bourdieuEsenciaNeoliberalismo101"/>
    <w:p>
      <w:pPr>
        <w:pStyle w:val="Bibliography"/>
      </w:pPr>
      <w:r>
        <w:t xml:space="preserve">Bourdieu, P. (1998). L’essence du néolibéralisme.</w:t>
      </w:r>
      <w:r>
        <w:t xml:space="preserve"> </w:t>
      </w:r>
      <w:r>
        <w:rPr>
          <w:i/>
          <w:iCs/>
        </w:rPr>
        <w:t xml:space="preserve">Le Monde diplomatique</w:t>
      </w:r>
      <w:r>
        <w:t xml:space="preserve">, 3.</w:t>
      </w:r>
      <w:r>
        <w:t xml:space="preserve"> </w:t>
      </w:r>
      <w:hyperlink r:id="rId51">
        <w:r>
          <w:rPr>
            <w:rStyle w:val="Hyperlink"/>
          </w:rPr>
          <w:t xml:space="preserve">https://www.monde-diplomatique.fr/1998/03/BOURDIEU/3609</w:t>
        </w:r>
      </w:hyperlink>
    </w:p>
    <w:bookmarkEnd w:id="52"/>
    <w:bookmarkStart w:id="54" w:name="ref-peruDecretoUrgencia0172020"/>
    <w:p>
      <w:pPr>
        <w:pStyle w:val="Bibliography"/>
      </w:pPr>
      <w:r>
        <w:t xml:space="preserve">Decreto de Urgencia N.° 017-2020. (2020).</w:t>
      </w:r>
      <w:r>
        <w:t xml:space="preserve"> </w:t>
      </w:r>
      <w:r>
        <w:rPr>
          <w:i/>
          <w:iCs/>
        </w:rPr>
        <w:t xml:space="preserve">Decreto de urgencia que establece medidas para el fortalecimiento de la gestión y el licenciamiento de los institutos y escuelas de educación superior, en el marco de la Ley N.° 30512</w:t>
      </w:r>
      <w:r>
        <w:t xml:space="preserve">. Diario Oficial El Peruano.</w:t>
      </w:r>
      <w:r>
        <w:t xml:space="preserve"> </w:t>
      </w:r>
      <w:hyperlink r:id="rId53">
        <w:r>
          <w:rPr>
            <w:rStyle w:val="Hyperlink"/>
          </w:rPr>
          <w:t xml:space="preserve">https://static.legis.pe/wp-content/uploads/2020/01/Decreto-Urgencia-17-2020-LP.pdf</w:t>
        </w:r>
      </w:hyperlink>
    </w:p>
    <w:bookmarkEnd w:id="54"/>
    <w:bookmarkStart w:id="56" w:name="ref-peruDecretoLegislativo8821996"/>
    <w:p>
      <w:pPr>
        <w:pStyle w:val="Bibliography"/>
      </w:pPr>
      <w:r>
        <w:t xml:space="preserve">Decreto Legislativo N.° 882. (1996).</w:t>
      </w:r>
      <w:r>
        <w:t xml:space="preserve"> </w:t>
      </w:r>
      <w:r>
        <w:rPr>
          <w:i/>
          <w:iCs/>
        </w:rPr>
        <w:t xml:space="preserve">Ley de Promoción de la Inversión en la Educación</w:t>
      </w:r>
      <w:r>
        <w:t xml:space="preserve">. Diario Oficial El Peruano.</w:t>
      </w:r>
      <w:r>
        <w:t xml:space="preserve"> </w:t>
      </w:r>
      <w:hyperlink r:id="rId55">
        <w:r>
          <w:rPr>
            <w:rStyle w:val="Hyperlink"/>
          </w:rPr>
          <w:t xml:space="preserve">https://www.gob.pe/institucion/minedu/normas-legales/118067-882</w:t>
        </w:r>
      </w:hyperlink>
    </w:p>
    <w:bookmarkEnd w:id="56"/>
    <w:bookmarkStart w:id="58" w:name="ref-peruReglamentoLey305122017"/>
    <w:p>
      <w:pPr>
        <w:pStyle w:val="Bibliography"/>
      </w:pPr>
      <w:r>
        <w:t xml:space="preserve">Decreto Supremo N.° 010-2017-MINEDU. (2017).</w:t>
      </w:r>
      <w:r>
        <w:t xml:space="preserve"> </w:t>
      </w:r>
      <w:r>
        <w:rPr>
          <w:i/>
          <w:iCs/>
        </w:rPr>
        <w:t xml:space="preserve">Reglamento de la Ley N.° 30512</w:t>
      </w:r>
      <w:r>
        <w:t xml:space="preserve">. Diario Oficial El Peruano.</w:t>
      </w:r>
      <w:r>
        <w:t xml:space="preserve"> </w:t>
      </w:r>
      <w:hyperlink r:id="rId57">
        <w:r>
          <w:rPr>
            <w:rStyle w:val="Hyperlink"/>
          </w:rPr>
          <w:t xml:space="preserve">https://www.minedu.gob.pe/superiorpedagogica/download/99/</w:t>
        </w:r>
      </w:hyperlink>
    </w:p>
    <w:bookmarkEnd w:id="58"/>
    <w:bookmarkStart w:id="59" w:name="ref-peruTUOLeyTransparencia2019"/>
    <w:p>
      <w:pPr>
        <w:pStyle w:val="Bibliography"/>
      </w:pPr>
      <w:r>
        <w:t xml:space="preserve">Decreto Supremo N.° 021-2019-JUS. (2019).</w:t>
      </w:r>
      <w:r>
        <w:t xml:space="preserve"> </w:t>
      </w:r>
      <w:r>
        <w:rPr>
          <w:i/>
          <w:iCs/>
        </w:rPr>
        <w:t xml:space="preserve">Texto Único Ordenado de la Ley N.° 27806, Ley de Transparencia y Acceso a la Información Pública</w:t>
      </w:r>
      <w:r>
        <w:t xml:space="preserve">. Diario Oficial El Peruano.</w:t>
      </w:r>
    </w:p>
    <w:bookmarkEnd w:id="59"/>
    <w:bookmarkStart w:id="61" w:name="X00e4faf6821201007f7f0fb32d764f38a03194f"/>
    <w:p>
      <w:pPr>
        <w:pStyle w:val="Bibliography"/>
      </w:pPr>
      <w:r>
        <w:t xml:space="preserve">Ferreyra, M. M., Avitabile, C., Botero Álvarez, J., Haimovich Paz, F., &amp; Urzúa, S. (2017).</w:t>
      </w:r>
      <w:r>
        <w:t xml:space="preserve"> </w:t>
      </w:r>
      <w:r>
        <w:rPr>
          <w:i/>
          <w:iCs/>
        </w:rPr>
        <w:t xml:space="preserve">At a crossroads: Higher education in</w:t>
      </w:r>
      <w:r>
        <w:rPr>
          <w:i/>
          <w:iCs/>
        </w:rPr>
        <w:t xml:space="preserve"> </w:t>
      </w:r>
      <w:r>
        <w:rPr>
          <w:i/>
          <w:iCs/>
        </w:rPr>
        <w:t xml:space="preserve">Latin America</w:t>
      </w:r>
      <w:r>
        <w:rPr>
          <w:i/>
          <w:iCs/>
        </w:rPr>
        <w:t xml:space="preserve"> </w:t>
      </w:r>
      <w:r>
        <w:rPr>
          <w:i/>
          <w:iCs/>
        </w:rPr>
        <w:t xml:space="preserve">and the</w:t>
      </w:r>
      <w:r>
        <w:rPr>
          <w:i/>
          <w:iCs/>
        </w:rPr>
        <w:t xml:space="preserve"> </w:t>
      </w:r>
      <w:r>
        <w:rPr>
          <w:i/>
          <w:iCs/>
        </w:rPr>
        <w:t xml:space="preserve">Caribbean</w:t>
      </w:r>
      <w:r>
        <w:t xml:space="preserve">. Banco Mundial.</w:t>
      </w:r>
      <w:r>
        <w:t xml:space="preserve"> </w:t>
      </w:r>
      <w:hyperlink r:id="rId60">
        <w:r>
          <w:rPr>
            <w:rStyle w:val="Hyperlink"/>
          </w:rPr>
          <w:t xml:space="preserve">https://doi.org/10.1596/978-1-4648-1014-5</w:t>
        </w:r>
      </w:hyperlink>
    </w:p>
    <w:bookmarkEnd w:id="61"/>
    <w:bookmarkStart w:id="63" w:name="ref-ferreyraFastTrackNew2021"/>
    <w:p>
      <w:pPr>
        <w:pStyle w:val="Bibliography"/>
      </w:pPr>
      <w:r>
        <w:t xml:space="preserve">Ferreyra, M. M., Dinarte Díaz, L., Urzúa, S., &amp; Bassi, M. (2021).</w:t>
      </w:r>
      <w:r>
        <w:t xml:space="preserve"> </w:t>
      </w:r>
      <w:r>
        <w:rPr>
          <w:i/>
          <w:iCs/>
        </w:rPr>
        <w:t xml:space="preserve">The fast track to new skills: Short-cycle higher education programs in</w:t>
      </w:r>
      <w:r>
        <w:rPr>
          <w:i/>
          <w:iCs/>
        </w:rPr>
        <w:t xml:space="preserve"> </w:t>
      </w:r>
      <w:r>
        <w:rPr>
          <w:i/>
          <w:iCs/>
        </w:rPr>
        <w:t xml:space="preserve">Latin America</w:t>
      </w:r>
      <w:r>
        <w:rPr>
          <w:i/>
          <w:iCs/>
        </w:rPr>
        <w:t xml:space="preserve"> </w:t>
      </w:r>
      <w:r>
        <w:rPr>
          <w:i/>
          <w:iCs/>
        </w:rPr>
        <w:t xml:space="preserve">and the</w:t>
      </w:r>
      <w:r>
        <w:rPr>
          <w:i/>
          <w:iCs/>
        </w:rPr>
        <w:t xml:space="preserve"> </w:t>
      </w:r>
      <w:r>
        <w:rPr>
          <w:i/>
          <w:iCs/>
        </w:rPr>
        <w:t xml:space="preserve">Caribbean</w:t>
      </w:r>
      <w:r>
        <w:t xml:space="preserve">. Banco Mundial.</w:t>
      </w:r>
      <w:r>
        <w:t xml:space="preserve"> </w:t>
      </w:r>
      <w:hyperlink r:id="rId62">
        <w:r>
          <w:rPr>
            <w:rStyle w:val="Hyperlink"/>
          </w:rPr>
          <w:t xml:space="preserve">https://doi.org/10.1596/978-1-4648-1706-9</w:t>
        </w:r>
      </w:hyperlink>
    </w:p>
    <w:bookmarkEnd w:id="63"/>
    <w:bookmarkStart w:id="65" w:name="ref-peruLeyOrganicaGobiernos2002"/>
    <w:p>
      <w:pPr>
        <w:pStyle w:val="Bibliography"/>
      </w:pPr>
      <w:r>
        <w:t xml:space="preserve">Ley N.° 27867. (2002).</w:t>
      </w:r>
      <w:r>
        <w:t xml:space="preserve"> </w:t>
      </w:r>
      <w:r>
        <w:rPr>
          <w:i/>
          <w:iCs/>
        </w:rPr>
        <w:t xml:space="preserve">Ley Orgánica de Gobiernos Regionales</w:t>
      </w:r>
      <w:r>
        <w:t xml:space="preserve">. Diario Oficial El Peruano.</w:t>
      </w:r>
      <w:r>
        <w:t xml:space="preserve"> </w:t>
      </w:r>
      <w:hyperlink r:id="rId64">
        <w:r>
          <w:rPr>
            <w:rStyle w:val="Hyperlink"/>
          </w:rPr>
          <w:t xml:space="preserve">https://cdn.www.gob.pe/uploads/document/file/9590889/7851250-ley-n-27867-ley-organica-de-gobiernos-regionales.pdf</w:t>
        </w:r>
      </w:hyperlink>
    </w:p>
    <w:bookmarkEnd w:id="65"/>
    <w:bookmarkStart w:id="67" w:name="X73352a938e6a9d05e069c26d98010cc8cb8366f"/>
    <w:p>
      <w:pPr>
        <w:pStyle w:val="Bibliography"/>
      </w:pPr>
      <w:r>
        <w:t xml:space="preserve">Ley N.° 30512. (2016).</w:t>
      </w:r>
      <w:r>
        <w:t xml:space="preserve"> </w:t>
      </w:r>
      <w:r>
        <w:rPr>
          <w:i/>
          <w:iCs/>
        </w:rPr>
        <w:t xml:space="preserve">Ley de Institutos y Escuelas de Educación Superior y de la Carrera Pública de sus Docentes</w:t>
      </w:r>
      <w:r>
        <w:t xml:space="preserve">. Diario Oficial El Peruano.</w:t>
      </w:r>
      <w:r>
        <w:t xml:space="preserve"> </w:t>
      </w:r>
      <w:hyperlink r:id="rId66">
        <w:r>
          <w:rPr>
            <w:rStyle w:val="Hyperlink"/>
          </w:rPr>
          <w:t xml:space="preserve">https://www.gob.pe/institucion/minedu/normas-legales/118500-30512</w:t>
        </w:r>
      </w:hyperlink>
    </w:p>
    <w:bookmarkEnd w:id="67"/>
    <w:bookmarkStart w:id="68" w:name="ref-peruLey316532022"/>
    <w:p>
      <w:pPr>
        <w:pStyle w:val="Bibliography"/>
      </w:pPr>
      <w:r>
        <w:t xml:space="preserve">Ley N.° 31653. (2022).</w:t>
      </w:r>
      <w:r>
        <w:t xml:space="preserve"> </w:t>
      </w:r>
      <w:r>
        <w:rPr>
          <w:i/>
          <w:iCs/>
        </w:rPr>
        <w:t xml:space="preserve">Ley que modifica la Ley 30512, Ley de Institutos y Escuelas de Educación Superior y de la Carrera Pública de sus Docentes</w:t>
      </w:r>
      <w:r>
        <w:t xml:space="preserve">. Diario Oficial El Peruano.</w:t>
      </w:r>
    </w:p>
    <w:bookmarkEnd w:id="68"/>
    <w:bookmarkStart w:id="69" w:name="Xccfef57cc9043559143325f3b21cb667a6e1ebe"/>
    <w:p>
      <w:pPr>
        <w:pStyle w:val="Bibliography"/>
      </w:pPr>
      <w:r>
        <w:t xml:space="preserve">Mariátegui, J. C. (2007).</w:t>
      </w:r>
      <w:r>
        <w:t xml:space="preserve"> </w:t>
      </w:r>
      <w:r>
        <w:rPr>
          <w:i/>
          <w:iCs/>
        </w:rPr>
        <w:t xml:space="preserve">Siete ensayos de interpretación de la realidad peruana</w:t>
      </w:r>
      <w:r>
        <w:t xml:space="preserve"> </w:t>
      </w:r>
      <w:r>
        <w:t xml:space="preserve">(3.ª ed.). Fundación Biblioteca Ayacucho. (Obra original publicada en 1928)</w:t>
      </w:r>
    </w:p>
    <w:bookmarkEnd w:id="69"/>
    <w:bookmarkStart w:id="71" w:name="X5b8b085fc4ec030f36ff90602bcaf5ef8ae3c1b"/>
    <w:p>
      <w:pPr>
        <w:pStyle w:val="Bibliography"/>
      </w:pPr>
      <w:r>
        <w:t xml:space="preserve">Ministerio de Economía y Finanzas. (2026).</w:t>
      </w:r>
      <w:r>
        <w:t xml:space="preserve"> </w:t>
      </w:r>
      <w:r>
        <w:rPr>
          <w:i/>
          <w:iCs/>
        </w:rPr>
        <w:t xml:space="preserve">Consulta amigable: consulta de ejecución del gasto</w:t>
      </w:r>
      <w:r>
        <w:t xml:space="preserve"> </w:t>
      </w:r>
      <w:r>
        <w:t xml:space="preserve">[Base de datos]. Portal de Transparencia Económica.</w:t>
      </w:r>
      <w:r>
        <w:t xml:space="preserve"> </w:t>
      </w:r>
      <w:hyperlink r:id="rId70">
        <w:r>
          <w:rPr>
            <w:rStyle w:val="Hyperlink"/>
          </w:rPr>
          <w:t xml:space="preserve">https://apps5.mineco.gob.pe/transparencia/Navegador/default.aspx</w:t>
        </w:r>
      </w:hyperlink>
    </w:p>
    <w:bookmarkEnd w:id="71"/>
    <w:bookmarkStart w:id="73" w:name="Xef45cd342ded7bcb8dea3c1c539a98ad7f38207"/>
    <w:p>
      <w:pPr>
        <w:pStyle w:val="Bibliography"/>
      </w:pPr>
      <w:r>
        <w:t xml:space="preserve">Ministerio de Educación. (2020).</w:t>
      </w:r>
      <w:r>
        <w:t xml:space="preserve"> </w:t>
      </w:r>
      <w:r>
        <w:rPr>
          <w:i/>
          <w:iCs/>
        </w:rPr>
        <w:t xml:space="preserve">Política Nacional de Educación Superior y Técnico-Productiva</w:t>
      </w:r>
      <w:r>
        <w:t xml:space="preserve">. Ministerio de Educación.</w:t>
      </w:r>
      <w:r>
        <w:t xml:space="preserve"> </w:t>
      </w:r>
      <w:hyperlink r:id="rId72">
        <w:r>
          <w:rPr>
            <w:rStyle w:val="Hyperlink"/>
          </w:rPr>
          <w:t xml:space="preserve">https://siteal.iiep.unesco.org/sites/default/files/sit_accion_files/politica_nacional_de_educacion_superior_y_tecnico-productiva.pdf</w:t>
        </w:r>
      </w:hyperlink>
    </w:p>
    <w:bookmarkEnd w:id="73"/>
    <w:bookmarkStart w:id="75" w:name="X66aeccf5407694c3fe88b28c4273626f3eec026"/>
    <w:p>
      <w:pPr>
        <w:pStyle w:val="Bibliography"/>
      </w:pPr>
      <w:r>
        <w:t xml:space="preserve">Ministerio de Educación. (2024).</w:t>
      </w:r>
      <w:r>
        <w:t xml:space="preserve"> </w:t>
      </w:r>
      <w:r>
        <w:rPr>
          <w:i/>
          <w:iCs/>
        </w:rPr>
        <w:t xml:space="preserve">El</w:t>
      </w:r>
      <w:r>
        <w:rPr>
          <w:i/>
          <w:iCs/>
        </w:rPr>
        <w:t xml:space="preserve"> </w:t>
      </w:r>
      <w:r>
        <w:rPr>
          <w:i/>
          <w:iCs/>
        </w:rPr>
        <w:t xml:space="preserve">Perú</w:t>
      </w:r>
      <w:r>
        <w:rPr>
          <w:i/>
          <w:iCs/>
        </w:rPr>
        <w:t xml:space="preserve"> </w:t>
      </w:r>
      <w:r>
        <w:rPr>
          <w:i/>
          <w:iCs/>
        </w:rPr>
        <w:t xml:space="preserve">en</w:t>
      </w:r>
      <w:r>
        <w:rPr>
          <w:i/>
          <w:iCs/>
        </w:rPr>
        <w:t xml:space="preserve"> </w:t>
      </w:r>
      <w:r>
        <w:rPr>
          <w:i/>
          <w:iCs/>
        </w:rPr>
        <w:t xml:space="preserve">PISA</w:t>
      </w:r>
      <w:r>
        <w:rPr>
          <w:i/>
          <w:iCs/>
        </w:rPr>
        <w:t xml:space="preserve"> </w:t>
      </w:r>
      <w:r>
        <w:rPr>
          <w:i/>
          <w:iCs/>
        </w:rPr>
        <w:t xml:space="preserve">2022: informe nacional de resultados</w:t>
      </w:r>
      <w:r>
        <w:t xml:space="preserve">. Oficina de Medición de la Calidad de los Aprendizajes.</w:t>
      </w:r>
      <w:r>
        <w:t xml:space="preserve"> </w:t>
      </w:r>
      <w:hyperlink r:id="rId74">
        <w:r>
          <w:rPr>
            <w:rStyle w:val="Hyperlink"/>
          </w:rPr>
          <w:t xml:space="preserve">https://hdl.handle.net/20.500.12799/10199</w:t>
        </w:r>
      </w:hyperlink>
    </w:p>
    <w:bookmarkEnd w:id="75"/>
    <w:bookmarkStart w:id="77" w:name="X15633c205e8369b196e54c409cdb94b3d6d023e"/>
    <w:p>
      <w:pPr>
        <w:pStyle w:val="Bibliography"/>
      </w:pPr>
      <w:r>
        <w:t xml:space="preserve">Ministerio de Educación. (2025a).</w:t>
      </w:r>
      <w:r>
        <w:t xml:space="preserve"> </w:t>
      </w:r>
      <w:r>
        <w:rPr>
          <w:i/>
          <w:iCs/>
        </w:rPr>
        <w:t xml:space="preserve">Padrón de instituciones educativas,</w:t>
      </w:r>
      <w:r>
        <w:rPr>
          <w:i/>
          <w:iCs/>
        </w:rPr>
        <w:t xml:space="preserve"> </w:t>
      </w:r>
      <w:r>
        <w:rPr>
          <w:i/>
          <w:iCs/>
        </w:rPr>
        <w:t xml:space="preserve">Censo Educativo</w:t>
      </w:r>
      <w:r>
        <w:rPr>
          <w:i/>
          <w:iCs/>
        </w:rPr>
        <w:t xml:space="preserve"> </w:t>
      </w:r>
      <w:r>
        <w:rPr>
          <w:i/>
          <w:iCs/>
        </w:rPr>
        <w:t xml:space="preserve">2025</w:t>
      </w:r>
      <w:r>
        <w:t xml:space="preserve"> </w:t>
      </w:r>
      <w:r>
        <w:t xml:space="preserve">[Conjunto de datos]. Estadística de la Calidad Educativa (ESCALE).</w:t>
      </w:r>
      <w:r>
        <w:t xml:space="preserve"> </w:t>
      </w:r>
      <w:hyperlink r:id="rId76">
        <w:r>
          <w:rPr>
            <w:rStyle w:val="Hyperlink"/>
          </w:rPr>
          <w:t xml:space="preserve">https://escale.minedu.gob.pe/documents/inicio/Bases%20de%20datos/A.%20Censo%20Educativo/2025/00_Padron.zip</w:t>
        </w:r>
      </w:hyperlink>
    </w:p>
    <w:bookmarkEnd w:id="77"/>
    <w:bookmarkStart w:id="79" w:name="X97d23f0cf2a2083e20018c1e98e190df39896ba"/>
    <w:p>
      <w:pPr>
        <w:pStyle w:val="Bibliography"/>
      </w:pPr>
      <w:r>
        <w:t xml:space="preserve">Ministerio de Educación. (2025b, abril 6).</w:t>
      </w:r>
      <w:r>
        <w:t xml:space="preserve"> </w:t>
      </w:r>
      <w:r>
        <w:rPr>
          <w:i/>
          <w:iCs/>
        </w:rPr>
        <w:t xml:space="preserve">Institutos públicos ofrecen 48 000 vacantes para estudiar gratis una carrera técnica</w:t>
      </w:r>
      <w:r>
        <w:t xml:space="preserve">.</w:t>
      </w:r>
      <w:r>
        <w:t xml:space="preserve"> </w:t>
      </w:r>
      <w:hyperlink r:id="rId78">
        <w:r>
          <w:rPr>
            <w:rStyle w:val="Hyperlink"/>
          </w:rPr>
          <w:t xml:space="preserve">https://www.gob.pe/institucion/minedu/noticias/1140949</w:t>
        </w:r>
      </w:hyperlink>
    </w:p>
    <w:bookmarkEnd w:id="79"/>
    <w:bookmarkStart w:id="81" w:name="Xfff5b61c42ac08c84cafdd0a11082897829a2b2"/>
    <w:p>
      <w:pPr>
        <w:pStyle w:val="Bibliography"/>
      </w:pPr>
      <w:r>
        <w:t xml:space="preserve">Ministerio de Educación. (2026a).</w:t>
      </w:r>
      <w:r>
        <w:t xml:space="preserve"> </w:t>
      </w:r>
      <w:r>
        <w:rPr>
          <w:i/>
          <w:iCs/>
        </w:rPr>
        <w:t xml:space="preserve">Lista de 246 institutos de educación superior licenciados por el</w:t>
      </w:r>
      <w:r>
        <w:rPr>
          <w:i/>
          <w:iCs/>
        </w:rPr>
        <w:t xml:space="preserve"> </w:t>
      </w:r>
      <w:r>
        <w:rPr>
          <w:i/>
          <w:iCs/>
        </w:rPr>
        <w:t xml:space="preserve">MINEDU</w:t>
      </w:r>
      <w:r>
        <w:t xml:space="preserve">. Ministerio de Educación.</w:t>
      </w:r>
      <w:r>
        <w:t xml:space="preserve"> </w:t>
      </w:r>
      <w:hyperlink r:id="rId80">
        <w:r>
          <w:rPr>
            <w:rStyle w:val="Hyperlink"/>
          </w:rPr>
          <w:t xml:space="preserve">https://www.gob.pe/institucion/minedu/informes-publicaciones/4718331</w:t>
        </w:r>
      </w:hyperlink>
    </w:p>
    <w:bookmarkEnd w:id="81"/>
    <w:bookmarkStart w:id="83" w:name="Xd2779b08ae53f0ca5b4aa171373627007b40e89"/>
    <w:p>
      <w:pPr>
        <w:pStyle w:val="Bibliography"/>
      </w:pPr>
      <w:r>
        <w:t xml:space="preserve">Ministerio de Educación. (2026b, mayo 14).</w:t>
      </w:r>
      <w:r>
        <w:t xml:space="preserve"> </w:t>
      </w:r>
      <w:r>
        <w:rPr>
          <w:i/>
          <w:iCs/>
        </w:rPr>
        <w:t xml:space="preserve">Región Ayacucho logra el licenciamiento del 100 % de sus escuelas pedagógicas públicas (Nota de prensa N.° 026-2026)</w:t>
      </w:r>
      <w:r>
        <w:t xml:space="preserve">.</w:t>
      </w:r>
      <w:r>
        <w:t xml:space="preserve"> </w:t>
      </w:r>
      <w:hyperlink r:id="rId82">
        <w:r>
          <w:rPr>
            <w:rStyle w:val="Hyperlink"/>
          </w:rPr>
          <w:t xml:space="preserve">https://www.gob.pe/institucion/minedu/noticias/1390506</w:t>
        </w:r>
      </w:hyperlink>
    </w:p>
    <w:bookmarkEnd w:id="83"/>
    <w:bookmarkStart w:id="84" w:name="ref-yamadaEducacionSuperiorEmpleo2017"/>
    <w:p>
      <w:pPr>
        <w:pStyle w:val="Bibliography"/>
      </w:pPr>
      <w:r>
        <w:t xml:space="preserve">Yamada, G., &amp; Lavado, P. (Eds.). (2017).</w:t>
      </w:r>
      <w:r>
        <w:t xml:space="preserve"> </w:t>
      </w:r>
      <w:r>
        <w:rPr>
          <w:i/>
          <w:iCs/>
        </w:rPr>
        <w:t xml:space="preserve">Educación superior y empleo en el</w:t>
      </w:r>
      <w:r>
        <w:rPr>
          <w:i/>
          <w:iCs/>
        </w:rPr>
        <w:t xml:space="preserve"> </w:t>
      </w:r>
      <w:r>
        <w:rPr>
          <w:i/>
          <w:iCs/>
        </w:rPr>
        <w:t xml:space="preserve">Perú</w:t>
      </w:r>
      <w:r>
        <w:rPr>
          <w:i/>
          <w:iCs/>
        </w:rPr>
        <w:t xml:space="preserve">: una brecha persistente</w:t>
      </w:r>
      <w:r>
        <w:t xml:space="preserve">. Universidad del Pacífico.</w:t>
      </w:r>
    </w:p>
    <w:bookmarkEnd w:id="84"/>
    <w:bookmarkEnd w:id="85"/>
    <w:bookmarkEnd w:id="8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8" Target="media/rId28.png" /><Relationship Type="http://schemas.openxmlformats.org/officeDocument/2006/relationships/hyperlink" Id="rId70" Target="https://apps5.mineco.gob.pe/transparencia/Navegador/default.aspx" TargetMode="External" /><Relationship Type="http://schemas.openxmlformats.org/officeDocument/2006/relationships/hyperlink" Id="rId64" Target="https://cdn.www.gob.pe/uploads/document/file/9590889/7851250-ley-n-27867-ley-organica-de-gobiernos-regionales.pdf" TargetMode="External" /><Relationship Type="http://schemas.openxmlformats.org/officeDocument/2006/relationships/hyperlink" Id="rId49" Target="https://datos.bancomundial.org/indicador/SE.XPD.TERT.PC.ZS?locations=PE-CL-CO" TargetMode="External" /><Relationship Type="http://schemas.openxmlformats.org/officeDocument/2006/relationships/hyperlink" Id="rId60" Target="https://doi.org/10.1596/978-1-4648-1014-5" TargetMode="External" /><Relationship Type="http://schemas.openxmlformats.org/officeDocument/2006/relationships/hyperlink" Id="rId62" Target="https://doi.org/10.1596/978-1-4648-1706-9" TargetMode="External" /><Relationship Type="http://schemas.openxmlformats.org/officeDocument/2006/relationships/hyperlink" Id="rId76" Target="https://escale.minedu.gob.pe/documents/inicio/Bases%20de%20datos/A.%20Censo%20Educativo/2025/00_Padron.zip" TargetMode="External" /><Relationship Type="http://schemas.openxmlformats.org/officeDocument/2006/relationships/hyperlink" Id="rId74" Target="https://hdl.handle.net/20.500.12799/10199" TargetMode="External" /><Relationship Type="http://schemas.openxmlformats.org/officeDocument/2006/relationships/hyperlink" Id="rId24" Target="https://orcid.org/0000-0001-6996-3364" TargetMode="External" /><Relationship Type="http://schemas.openxmlformats.org/officeDocument/2006/relationships/hyperlink" Id="rId72" Target="https://siteal.iiep.unesco.org/sites/default/files/sit_accion_files/politica_nacional_de_educacion_superior_y_tecnico-productiva.pdf" TargetMode="External" /><Relationship Type="http://schemas.openxmlformats.org/officeDocument/2006/relationships/hyperlink" Id="rId53" Target="https://static.legis.pe/wp-content/uploads/2020/01/Decreto-Urgencia-17-2020-LP.pdf" TargetMode="External" /><Relationship Type="http://schemas.openxmlformats.org/officeDocument/2006/relationships/hyperlink" Id="rId80" Target="https://www.gob.pe/institucion/minedu/informes-publicaciones/4718331" TargetMode="External" /><Relationship Type="http://schemas.openxmlformats.org/officeDocument/2006/relationships/hyperlink" Id="rId55" Target="https://www.gob.pe/institucion/minedu/normas-legales/118067-882" TargetMode="External" /><Relationship Type="http://schemas.openxmlformats.org/officeDocument/2006/relationships/hyperlink" Id="rId66" Target="https://www.gob.pe/institucion/minedu/normas-legales/118500-30512" TargetMode="External" /><Relationship Type="http://schemas.openxmlformats.org/officeDocument/2006/relationships/hyperlink" Id="rId78" Target="https://www.gob.pe/institucion/minedu/noticias/1140949" TargetMode="External" /><Relationship Type="http://schemas.openxmlformats.org/officeDocument/2006/relationships/hyperlink" Id="rId82" Target="https://www.gob.pe/institucion/minedu/noticias/1390506" TargetMode="External" /><Relationship Type="http://schemas.openxmlformats.org/officeDocument/2006/relationships/hyperlink" Id="rId57" Target="https://www.minedu.gob.pe/superiorpedagogica/download/99/" TargetMode="External" /><Relationship Type="http://schemas.openxmlformats.org/officeDocument/2006/relationships/hyperlink" Id="rId51" Target="https://www.monde-diplomatique.fr/1998/03/BOURDIEU/3609"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70" Target="https://apps5.mineco.gob.pe/transparencia/Navegador/default.aspx" TargetMode="External" /><Relationship Type="http://schemas.openxmlformats.org/officeDocument/2006/relationships/hyperlink" Id="rId64" Target="https://cdn.www.gob.pe/uploads/document/file/9590889/7851250-ley-n-27867-ley-organica-de-gobiernos-regionales.pdf" TargetMode="External" /><Relationship Type="http://schemas.openxmlformats.org/officeDocument/2006/relationships/hyperlink" Id="rId49" Target="https://datos.bancomundial.org/indicador/SE.XPD.TERT.PC.ZS?locations=PE-CL-CO" TargetMode="External" /><Relationship Type="http://schemas.openxmlformats.org/officeDocument/2006/relationships/hyperlink" Id="rId60" Target="https://doi.org/10.1596/978-1-4648-1014-5" TargetMode="External" /><Relationship Type="http://schemas.openxmlformats.org/officeDocument/2006/relationships/hyperlink" Id="rId62" Target="https://doi.org/10.1596/978-1-4648-1706-9" TargetMode="External" /><Relationship Type="http://schemas.openxmlformats.org/officeDocument/2006/relationships/hyperlink" Id="rId76" Target="https://escale.minedu.gob.pe/documents/inicio/Bases%20de%20datos/A.%20Censo%20Educativo/2025/00_Padron.zip" TargetMode="External" /><Relationship Type="http://schemas.openxmlformats.org/officeDocument/2006/relationships/hyperlink" Id="rId74" Target="https://hdl.handle.net/20.500.12799/10199" TargetMode="External" /><Relationship Type="http://schemas.openxmlformats.org/officeDocument/2006/relationships/hyperlink" Id="rId24" Target="https://orcid.org/0000-0001-6996-3364" TargetMode="External" /><Relationship Type="http://schemas.openxmlformats.org/officeDocument/2006/relationships/hyperlink" Id="rId72" Target="https://siteal.iiep.unesco.org/sites/default/files/sit_accion_files/politica_nacional_de_educacion_superior_y_tecnico-productiva.pdf" TargetMode="External" /><Relationship Type="http://schemas.openxmlformats.org/officeDocument/2006/relationships/hyperlink" Id="rId53" Target="https://static.legis.pe/wp-content/uploads/2020/01/Decreto-Urgencia-17-2020-LP.pdf" TargetMode="External" /><Relationship Type="http://schemas.openxmlformats.org/officeDocument/2006/relationships/hyperlink" Id="rId80" Target="https://www.gob.pe/institucion/minedu/informes-publicaciones/4718331" TargetMode="External" /><Relationship Type="http://schemas.openxmlformats.org/officeDocument/2006/relationships/hyperlink" Id="rId55" Target="https://www.gob.pe/institucion/minedu/normas-legales/118067-882" TargetMode="External" /><Relationship Type="http://schemas.openxmlformats.org/officeDocument/2006/relationships/hyperlink" Id="rId66" Target="https://www.gob.pe/institucion/minedu/normas-legales/118500-30512" TargetMode="External" /><Relationship Type="http://schemas.openxmlformats.org/officeDocument/2006/relationships/hyperlink" Id="rId78" Target="https://www.gob.pe/institucion/minedu/noticias/1140949" TargetMode="External" /><Relationship Type="http://schemas.openxmlformats.org/officeDocument/2006/relationships/hyperlink" Id="rId82" Target="https://www.gob.pe/institucion/minedu/noticias/1390506" TargetMode="External" /><Relationship Type="http://schemas.openxmlformats.org/officeDocument/2006/relationships/hyperlink" Id="rId57" Target="https://www.minedu.gob.pe/superiorpedagogica/download/99/" TargetMode="External" /><Relationship Type="http://schemas.openxmlformats.org/officeDocument/2006/relationships/hyperlink" Id="rId51" Target="https://www.monde-diplomatique.fr/1998/03/BOURDIEU/3609"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INSTITUTOS PÚBLICOS DE AYACUCHO</dc:description>
  <dc:language>es</dc:language>
  <cp:keywords>public higher education, technical and pedagogical institutes, education spending, licensing, student organization, Ayacucho</cp:keywords>
  <dcterms:created xsi:type="dcterms:W3CDTF">2026-10-24T17:08:59Z</dcterms:created>
  <dcterms:modified xsi:type="dcterms:W3CDTF">2026-10-24T17:08:59Z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essay examines why public technological institutes in Ayacucho, Peru, struggle to meet the basic quality conditions required for licensing, and turns a student manifesto into an argument supported by official data and current law. It argues that the problem is not only a lack of money but a design gap: Law 30512 requires every institute to meet quality conditions, yet it guarantees resources for infrastructure and equipment only to public teacher-training schools, while its reform was enacted without additional funding. Official figures show the consequences. Peru’s public spending per tertiary student was 10.9 percent of GDP per capita in 2017, about half that of Chile or Colombia; institutes and schools received 25.5 percent of the 2025 higher education budget; and the Regional Government of Ayacucho, which runs the institutes, assigned them 1.8 percent of its budget. Only 6 of the 16 public technological institutes of the education sector in the region are licensed, while all its public teacher-training schools are. The essay separates documented facts from interpretation, considers alternative explanations such as execution capacity and territorial dispersion, and reads the pattern through Mariátegui and Bourdieu. It closes with a proposal, not yet a fact: a regional coordinating body of institute students, with a first step, a tracking matrix of demands, their legal basis, the authority responsible and a verifiable indicator for each.</vt:lpwstr>
  </property>
  <property fmtid="{D5CDD505-2E9C-101B-9397-08002B2CF9AE}" pid="6" name="apaauthor">
    <vt:lpwstr/>
  </property>
  <property fmtid="{D5CDD505-2E9C-101B-9397-08002B2CF9AE}" pid="7" name="apadate">
    <vt:lpwstr>2026-10-24</vt:lpwstr>
  </property>
  <property fmtid="{D5CDD505-2E9C-101B-9397-08002B2CF9AE}" pid="8" name="apasubtitle">
    <vt:lpwstr>Cifras, normas y responsables: por qué la ley exige calidad sin asegurar quién la paga, y una agenda estudiantil para exigirlo</vt:lpwstr>
  </property>
  <property fmtid="{D5CDD505-2E9C-101B-9397-08002B2CF9AE}" pid="9" name="apatitle">
    <vt:lpwstr>Institutos públicos de Ayacucho: sin luchas no hay victorias</vt:lpwstr>
  </property>
  <property fmtid="{D5CDD505-2E9C-101B-9397-08002B2CF9AE}" pid="10" name="apatitledisplay">
    <vt:lpwstr>Institutos públicos de Ayacucho: sin luchas no hay victorias: Cifras, normas y responsables: por qué la ley exige calidad sin asegurar quién la paga, y una agenda estudiantil para exigirlo</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location">
    <vt:lpwstr>document</vt:lpwstr>
  </property>
  <property fmtid="{D5CDD505-2E9C-101B-9397-08002B2CF9AE}" pid="22" name="citation-masked-author">
    <vt:lpwstr>Cita Enmascarada</vt:lpwstr>
  </property>
  <property fmtid="{D5CDD505-2E9C-101B-9397-08002B2CF9AE}" pid="23" name="citation-masked-date">
    <vt:lpwstr>n.f.</vt:lpwstr>
  </property>
  <property fmtid="{D5CDD505-2E9C-101B-9397-08002B2CF9AE}" pid="24" name="citation-masked-title">
    <vt:lpwstr>Título Enmascarado</vt:lpwstr>
  </property>
  <property fmtid="{D5CDD505-2E9C-101B-9397-08002B2CF9AE}" pid="25" name="comments">
    <vt:lpwstr/>
  </property>
  <property fmtid="{D5CDD505-2E9C-101B-9397-08002B2CF9AE}" pid="26" name="crossref">
    <vt:lpwstr/>
  </property>
  <property fmtid="{D5CDD505-2E9C-101B-9397-08002B2CF9AE}" pid="27" name="csl">
    <vt:lpwstr>../../_extensions/wjschne/apaquarto/apa.csl</vt:lpwstr>
  </property>
  <property fmtid="{D5CDD505-2E9C-101B-9397-08002B2CF9AE}" pid="28" name="curso">
    <vt:lpwstr>economia_politica</vt:lpwstr>
  </property>
  <property fmtid="{D5CDD505-2E9C-101B-9397-08002B2CF9AE}" pid="29" name="date-modified">
    <vt:lpwstr>2026-10-24</vt:lpwstr>
  </property>
  <property fmtid="{D5CDD505-2E9C-101B-9397-08002B2CF9AE}" pid="30" name="documentmode">
    <vt:lpwstr>man</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False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horttitle">
    <vt:lpwstr>INSTITUTOS PÚBLICOS DE AYACUCHO</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3096</vt:lpwstr>
  </property>
  <property fmtid="{D5CDD505-2E9C-101B-9397-08002B2CF9AE}" pid="99" name="zerocitations">
    <vt:lpwstr>False</vt:lpwstr>
  </property>
</Properties>
</file>