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Institutos públicos de Ayacucho: sin lucha no hay victoria: Por qué los institutos públicos están abandonados y cómo la unidad estudiantil puede cambiarlo</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 A los estudiantes de institutos de Ayacucho que redactaron el pronunciamiento que dio origen a este texto.</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FirstParagraph"/>
      </w:pPr>
      <w:r>
        <w:rPr>
          <w:i/>
          <w:iCs/>
        </w:rPr>
        <w:t xml:space="preserve">Palabras clave</w:t>
      </w:r>
      <w:r>
        <w:t xml:space="preserve">: public higher education, technical and pedagogical institutes, education spending, student organization, Ayacucho</w:t>
      </w:r>
    </w:p>
    <w:p>
      <w:r>
        <w:br w:type="page"/>
      </w:r>
    </w:p>
    <w:bookmarkEnd w:id="27"/>
    <w:bookmarkStart w:id="28" w:name="firstheader"/>
    <w:p>
      <w:pPr>
        <w:pStyle w:val="Heading1"/>
      </w:pPr>
      <w:r>
        <w:t xml:space="preserve">Institutos públicos de Ayacucho: sin lucha no hay victoria: Por qué los institutos públicos están abandonados y cómo la unidad estudiantil puede cambiarlo</w:t>
      </w:r>
    </w:p>
    <w:p>
      <w:pPr>
        <w:pStyle w:val="FirstParagraph"/>
      </w:pPr>
      <w:r>
        <w:t xml:space="preserve">En el Perú, solo tres de cada diez jóvenes que terminan el colegio llegan a la educación superior</w:t>
      </w:r>
      <w:r>
        <w:t xml:space="preserve"> </w:t>
      </w:r>
      <w:r>
        <w:t xml:space="preserve">(</w:t>
      </w:r>
      <w:hyperlink w:anchor="Xb5abf6363222422de87a3e537634bee9a463dfb">
        <w:r>
          <w:rPr>
            <w:rStyle w:val="Hyperlink"/>
          </w:rPr>
          <w:t xml:space="preserve">Ministerio de Educación, 2020</w:t>
        </w:r>
      </w:hyperlink>
      <w:r>
        <w:t xml:space="preserve">)</w:t>
      </w:r>
      <w:r>
        <w:t xml:space="preserve">. Para quien viene de una familia pobre, de Pausa, de Coracora,</w:t>
      </w:r>
      <w:r>
        <w:t xml:space="preserve"> </w:t>
      </w:r>
      <w:r>
        <w:t xml:space="preserve">de Huanta o de un distrito al que el bus llega una vez al día, esa puerta casi siempre es un</w:t>
      </w:r>
      <w:r>
        <w:t xml:space="preserve"> </w:t>
      </w:r>
      <w:r>
        <w:rPr>
          <w:b/>
          <w:bCs/>
        </w:rPr>
        <w:t xml:space="preserve">instituto público</w:t>
      </w:r>
      <w:r>
        <w:t xml:space="preserve">: un</w:t>
      </w:r>
      <w:r>
        <w:t xml:space="preserve"> </w:t>
      </w:r>
      <w:r>
        <w:t xml:space="preserve">tecnológico o un pedagógico que no cobra pensión y queda cerca de casa. Este texto parte de un pronunciamiento de</w:t>
      </w:r>
      <w:r>
        <w:t xml:space="preserve"> </w:t>
      </w:r>
      <w:r>
        <w:t xml:space="preserve">estudiantes de institutos de Ayacucho que circula con una consigna sencilla,</w:t>
      </w:r>
      <w:r>
        <w:t xml:space="preserve"> </w:t>
      </w:r>
      <w:r>
        <w:rPr>
          <w:i/>
          <w:iCs/>
        </w:rPr>
        <w:t xml:space="preserve">sin luchas no hay victorias</w:t>
      </w:r>
      <w:r>
        <w:t xml:space="preserve">, y lo</w:t>
      </w:r>
      <w:r>
        <w:t xml:space="preserve"> </w:t>
      </w:r>
      <w:r>
        <w:t xml:space="preserve">desarrolla con cifras, normas y algunas lecturas de fondo.</w:t>
      </w:r>
    </w:p>
    <w:p>
      <w:pPr>
        <w:pStyle w:val="BodyText"/>
      </w:pPr>
      <w:r>
        <w:t xml:space="preserve">La idea es responder tres preguntas que el pronunciamiento plantea: por qué los institutos públicos están como están,</w:t>
      </w:r>
      <w:r>
        <w:t xml:space="preserve"> </w:t>
      </w:r>
      <w:r>
        <w:t xml:space="preserve">de quién es la responsabilidad y qué pueden hacer quienes estudian en ellos. Al final hay una lista de demandas, cada</w:t>
      </w:r>
      <w:r>
        <w:t xml:space="preserve"> </w:t>
      </w:r>
      <w:r>
        <w:t xml:space="preserve">una con la norma que la respalda y la autoridad a la que se le pide.</w:t>
      </w:r>
    </w:p>
    <w:bookmarkEnd w:id="28"/>
    <w:bookmarkStart w:id="29" w:name="Xffc90c36ce8ba54db2e6f19bb104f7880562ef5"/>
    <w:p>
      <w:pPr>
        <w:pStyle w:val="Heading1"/>
      </w:pPr>
      <w:r>
        <w:t xml:space="preserve">La puerta que el Estado deja entreabierta</w:t>
      </w:r>
    </w:p>
    <w:p>
      <w:pPr>
        <w:pStyle w:val="FirstParagraph"/>
      </w:pPr>
      <w:r>
        <w:rPr>
          <w:b/>
          <w:bCs/>
        </w:rPr>
        <w:t xml:space="preserve">Estudiar en un instituto es, para miles de jóvenes, la única forma realista de mejorar su vida.</w:t>
      </w:r>
      <w:r>
        <w:t xml:space="preserve"> </w:t>
      </w:r>
      <w:r>
        <w:t xml:space="preserve">La educación</w:t>
      </w:r>
      <w:r>
        <w:t xml:space="preserve"> </w:t>
      </w:r>
      <w:r>
        <w:t xml:space="preserve">superior en el Perú es desigual desde la entrada: de los egresados de secundaria del 20 % más pobre de la población,</w:t>
      </w:r>
      <w:r>
        <w:t xml:space="preserve"> </w:t>
      </w:r>
      <w:r>
        <w:t xml:space="preserve">solo el 21,8 % pasa a la educación superior; del 20 % más rico, el 52,7 %</w:t>
      </w:r>
      <w:r>
        <w:t xml:space="preserve"> </w:t>
      </w:r>
      <w:r>
        <w:t xml:space="preserve">(</w:t>
      </w:r>
      <w:hyperlink w:anchor="Xb5abf6363222422de87a3e537634bee9a463dfb">
        <w:r>
          <w:rPr>
            <w:rStyle w:val="Hyperlink"/>
          </w:rPr>
          <w:t xml:space="preserve">Ministerio de Educación, 2020</w:t>
        </w:r>
      </w:hyperlink>
      <w:r>
        <w:t xml:space="preserve">)</w:t>
      </w:r>
      <w:r>
        <w:t xml:space="preserve">. La misma política nacional reconoce algo más: los egresados de</w:t>
      </w:r>
      <w:r>
        <w:t xml:space="preserve"> </w:t>
      </w:r>
      <w:r>
        <w:t xml:space="preserve">la educación superior tecnológica son más buscados en el mercado laboral que los universitarios, aunque la matrícula se</w:t>
      </w:r>
      <w:r>
        <w:t xml:space="preserve"> </w:t>
      </w:r>
      <w:r>
        <w:t xml:space="preserve">concentra en las universidades.</w:t>
      </w:r>
    </w:p>
    <w:p>
      <w:pPr>
        <w:pStyle w:val="BodyText"/>
      </w:pPr>
      <w:r>
        <w:t xml:space="preserve">El instituto público cumple entonces una función que nadie más cumple. En el periodo 2025-I, 343 institutos</w:t>
      </w:r>
      <w:r>
        <w:t xml:space="preserve"> </w:t>
      </w:r>
      <w:r>
        <w:t xml:space="preserve">tecnológicos públicos ofrecieron 48 196 vacantes en todo el país, con carreras de tres años y sin mensualidades</w:t>
      </w:r>
      <w:r>
        <w:t xml:space="preserve"> </w:t>
      </w:r>
      <w:r>
        <w:t xml:space="preserve">(</w:t>
      </w:r>
      <w:hyperlink w:anchor="ref-andinaInstitutosPublicosOfrecen2025">
        <w:r>
          <w:rPr>
            <w:rStyle w:val="Hyperlink"/>
          </w:rPr>
          <w:t xml:space="preserve">Agencia Andina, 2025</w:t>
        </w:r>
      </w:hyperlink>
      <w:r>
        <w:t xml:space="preserve">)</w:t>
      </w:r>
      <w:r>
        <w:t xml:space="preserve">. Es una puerta abierta, pero solo a medias. En recorridos recientes por</w:t>
      </w:r>
      <w:r>
        <w:t xml:space="preserve"> </w:t>
      </w:r>
      <w:r>
        <w:t xml:space="preserve">institutos del sur de Ayacucho vi locales de adobe con techos que dejan pasar el agua, una carrera de Enfermería con un</w:t>
      </w:r>
      <w:r>
        <w:t xml:space="preserve"> </w:t>
      </w:r>
      <w:r>
        <w:t xml:space="preserve">solo microscopio para todos sus estudiantes y domos de emergencia guardados en un almacén, a la espera de que alguien</w:t>
      </w:r>
      <w:r>
        <w:t xml:space="preserve"> </w:t>
      </w:r>
      <w:r>
        <w:t xml:space="preserve">los arme. Casi todos esos institutos tienen ya su expediente técnico; lo que falta es que alguien lo financie.</w:t>
      </w:r>
    </w:p>
    <w:bookmarkEnd w:id="29"/>
    <w:bookmarkStart w:id="30" w:name="la-crisis-no-empieza-en-el-aula"/>
    <w:p>
      <w:pPr>
        <w:pStyle w:val="Heading1"/>
      </w:pPr>
      <w:r>
        <w:t xml:space="preserve">La crisis no empieza en el aula</w:t>
      </w:r>
    </w:p>
    <w:p>
      <w:pPr>
        <w:pStyle w:val="FirstParagraph"/>
      </w:pPr>
      <w:r>
        <w:rPr>
          <w:b/>
          <w:bCs/>
        </w:rPr>
        <w:t xml:space="preserve">Los problemas de los institutos no se explican solo mirando al instituto.</w:t>
      </w:r>
      <w:r>
        <w:t xml:space="preserve"> </w:t>
      </w:r>
      <w:r>
        <w:t xml:space="preserve">José Carlos Mariátegui lo escribió hace</w:t>
      </w:r>
      <w:r>
        <w:t xml:space="preserve"> </w:t>
      </w:r>
      <w:r>
        <w:t xml:space="preserve">casi un siglo: «El problema de la enseñanza no puede ser bien comprendido en nuestro tiempo, si no es considerado un</w:t>
      </w:r>
      <w:r>
        <w:t xml:space="preserve"> </w:t>
      </w:r>
      <w:r>
        <w:t xml:space="preserve">problema económico y como un problema social»</w:t>
      </w:r>
      <w:r>
        <w:t xml:space="preserve"> </w:t>
      </w:r>
      <w:r>
        <w:t xml:space="preserve">(</w:t>
      </w:r>
      <w:hyperlink w:anchor="Xccfef57cc9043559143325f3b21cb667a6e1ebe">
        <w:r>
          <w:rPr>
            <w:rStyle w:val="Hyperlink"/>
          </w:rPr>
          <w:t xml:space="preserve">Mariátegui, 2007, p. 129</w:t>
        </w:r>
      </w:hyperlink>
      <w:r>
        <w:t xml:space="preserve">)</w:t>
      </w:r>
      <w:r>
        <w:t xml:space="preserve">. Un país que vive</w:t>
      </w:r>
      <w:r>
        <w:t xml:space="preserve"> </w:t>
      </w:r>
      <w:r>
        <w:t xml:space="preserve">una crisis económica, política y social la reproduce en sus escuelas, y una educación pobre devuelve al país</w:t>
      </w:r>
      <w:r>
        <w:t xml:space="preserve"> </w:t>
      </w:r>
      <w:r>
        <w:t xml:space="preserve">trabajadores con menos herramientas.</w:t>
      </w:r>
    </w:p>
    <w:p>
      <w:pPr>
        <w:pStyle w:val="BodyText"/>
      </w:pPr>
      <w:r>
        <w:t xml:space="preserve">Los resultados de la prueba PISA 2022 muestran ese círculo. Apenas el 34 % de los estudiantes peruanos de quince años</w:t>
      </w:r>
      <w:r>
        <w:t xml:space="preserve"> </w:t>
      </w:r>
      <w:r>
        <w:t xml:space="preserve">alcanzó el nivel mínimo en Matemática, el 47 % en Ciencia y el 50 % en Lectura</w:t>
      </w:r>
      <w:r>
        <w:t xml:space="preserve"> </w:t>
      </w:r>
      <w:r>
        <w:t xml:space="preserve">(</w:t>
      </w:r>
      <w:hyperlink w:anchor="Xe071b12f3ac7376e9b6ebcf7667debbfb92f8e2">
        <w:r>
          <w:rPr>
            <w:rStyle w:val="Hyperlink"/>
          </w:rPr>
          <w:t xml:space="preserve">El Peruano, 2023</w:t>
        </w:r>
      </w:hyperlink>
      <w:r>
        <w:t xml:space="preserve">)</w:t>
      </w:r>
      <w:r>
        <w:t xml:space="preserve">. Esos jóvenes son los que, tres años después, llegan a un instituto que debe</w:t>
      </w:r>
      <w:r>
        <w:t xml:space="preserve"> </w:t>
      </w:r>
      <w:r>
        <w:t xml:space="preserve">nivelarlos con menos recursos que una universidad. Cuando desde el gobierno se dice que no se atiende a la población</w:t>
      </w:r>
      <w:r>
        <w:t xml:space="preserve"> </w:t>
      </w:r>
      <w:r>
        <w:t xml:space="preserve">porque «no les quieren dar las facultades», la pregunta del pronunciamiento es legítima: ¿hasta cuándo se va a</w:t>
      </w:r>
      <w:r>
        <w:t xml:space="preserve"> </w:t>
      </w:r>
      <w:r>
        <w:t xml:space="preserve">postergar la educación pública en todos sus niveles?</w:t>
      </w:r>
    </w:p>
    <w:bookmarkEnd w:id="30"/>
    <w:bookmarkStart w:id="31" w:name="Xaea7cdbe32d12d40d44da8e3c6e3a896eaac67c"/>
    <w:p>
      <w:pPr>
        <w:pStyle w:val="Heading1"/>
      </w:pPr>
      <w:r>
        <w:t xml:space="preserve">El abandono en cifras: poco y mal repartido</w:t>
      </w:r>
    </w:p>
    <w:p>
      <w:pPr>
        <w:pStyle w:val="FirstParagraph"/>
      </w:pPr>
      <w:r>
        <w:rPr>
          <w:b/>
          <w:bCs/>
        </w:rPr>
        <w:t xml:space="preserve">El Estado invierte poco en la educación superior y lo poco que invierte no llega a los institutos.</w:t>
      </w:r>
      <w:r>
        <w:t xml:space="preserve"> </w:t>
      </w:r>
      <w:r>
        <w:t xml:space="preserve">En 2017, el</w:t>
      </w:r>
      <w:r>
        <w:t xml:space="preserve"> </w:t>
      </w:r>
      <w:r>
        <w:t xml:space="preserve">gasto por estudiante de educación terciaria en el Perú fue el 10,9 % del PBI por habitante; en Chile fue el 20,3 % y en</w:t>
      </w:r>
      <w:r>
        <w:t xml:space="preserve"> </w:t>
      </w:r>
      <w:r>
        <w:t xml:space="preserve">Colombia el 20,4 %</w:t>
      </w:r>
      <w:r>
        <w:t xml:space="preserve"> </w:t>
      </w:r>
      <w:r>
        <w:t xml:space="preserve">(</w:t>
      </w:r>
      <w:hyperlink w:anchor="Xb5abf6363222422de87a3e537634bee9a463dfb">
        <w:r>
          <w:rPr>
            <w:rStyle w:val="Hyperlink"/>
          </w:rPr>
          <w:t xml:space="preserve">Ministerio de Educación, 2020</w:t>
        </w:r>
      </w:hyperlink>
      <w:r>
        <w:t xml:space="preserve">)</w:t>
      </w:r>
      <w:r>
        <w:t xml:space="preserve">. Dicho de otro modo, por cada estudiante de</w:t>
      </w:r>
      <w:r>
        <w:t xml:space="preserve"> </w:t>
      </w:r>
      <w:r>
        <w:t xml:space="preserve">educación superior, nuestros vecinos invierten casi el doble.</w:t>
      </w:r>
    </w:p>
    <w:p>
      <w:pPr>
        <w:pStyle w:val="BodyText"/>
      </w:pPr>
      <w:r>
        <w:t xml:space="preserve">Además, el reparto es desigual. Del gasto público en educación superior y técnico-productiva, el 73,4 % va a las</w:t>
      </w:r>
      <w:r>
        <w:t xml:space="preserve"> </w:t>
      </w:r>
      <w:r>
        <w:t xml:space="preserve">universidades, el 20,4 % a los institutos y escuelas tecnológicos, pedagógicos y artísticos, y el 6,2 % a los centros</w:t>
      </w:r>
      <w:r>
        <w:t xml:space="preserve"> </w:t>
      </w:r>
      <w:r>
        <w:t xml:space="preserve">técnico-productivos</w:t>
      </w:r>
      <w:r>
        <w:t xml:space="preserve"> </w:t>
      </w:r>
      <w:r>
        <w:t xml:space="preserve">(</w:t>
      </w:r>
      <w:hyperlink w:anchor="Xb5abf6363222422de87a3e537634bee9a463dfb">
        <w:r>
          <w:rPr>
            <w:rStyle w:val="Hyperlink"/>
          </w:rPr>
          <w:t xml:space="preserve">Ministerio de Educación, 2020</w:t>
        </w:r>
      </w:hyperlink>
      <w:r>
        <w:t xml:space="preserve">)</w:t>
      </w:r>
      <w:r>
        <w:t xml:space="preserve">. Por eso, cuando un estudiante de un</w:t>
      </w:r>
      <w:r>
        <w:t xml:space="preserve"> </w:t>
      </w:r>
      <w:r>
        <w:t xml:space="preserve">tecnológico agropecuario pide un tractor o un laboratorio, no está pidiendo un lujo: está pidiendo una parte de lo que</w:t>
      </w:r>
      <w:r>
        <w:t xml:space="preserve"> </w:t>
      </w:r>
      <w:r>
        <w:t xml:space="preserve">ya recibe la universidad de al lado.</w:t>
      </w:r>
    </w:p>
    <w:bookmarkEnd w:id="31"/>
    <w:bookmarkStart w:id="32" w:name="X8f6db47241efb23516f87b439c8e5fc7105ebae"/>
    <w:p>
      <w:pPr>
        <w:pStyle w:val="Heading1"/>
      </w:pPr>
      <w:r>
        <w:t xml:space="preserve">Del Decreto Legislativo 882 al mercado de títulos</w:t>
      </w:r>
    </w:p>
    <w:p>
      <w:pPr>
        <w:pStyle w:val="FirstParagraph"/>
      </w:pPr>
      <w:r>
        <w:rPr>
          <w:b/>
          <w:bCs/>
        </w:rPr>
        <w:t xml:space="preserve">En los noventa, el país decidió que la educación también podía ser un negocio.</w:t>
      </w:r>
      <w:r>
        <w:t xml:space="preserve"> </w:t>
      </w:r>
      <w:r>
        <w:t xml:space="preserve">El Decreto Legislativo 882 de 1996</w:t>
      </w:r>
      <w:r>
        <w:t xml:space="preserve"> </w:t>
      </w:r>
      <w:r>
        <w:t xml:space="preserve">reconoció a toda persona el derecho a fundar y conducir instituciones educativas «con o sin finalidad lucrativa» y les</w:t>
      </w:r>
      <w:r>
        <w:t xml:space="preserve"> </w:t>
      </w:r>
      <w:r>
        <w:t xml:space="preserve">extendió las garantías de la inversión privada</w:t>
      </w:r>
      <w:r>
        <w:t xml:space="preserve"> </w:t>
      </w:r>
      <w:r>
        <w:t xml:space="preserve">(</w:t>
      </w:r>
      <w:hyperlink w:anchor="ref-peruDecretoLegislativo8821996">
        <w:r>
          <w:rPr>
            <w:rStyle w:val="Hyperlink"/>
          </w:rPr>
          <w:t xml:space="preserve">Decreto Legislativo N.° 882, Ley de Promoción de la Inversión en la Educación, 1996</w:t>
        </w:r>
      </w:hyperlink>
      <w:r>
        <w:t xml:space="preserve">, arts. 2 y 7)</w:t>
      </w:r>
      <w:r>
        <w:t xml:space="preserve">. La oferta privada creció</w:t>
      </w:r>
      <w:r>
        <w:t xml:space="preserve"> </w:t>
      </w:r>
      <w:r>
        <w:t xml:space="preserve">rápido; la pública no recibió una inversión que la acompañara.</w:t>
      </w:r>
    </w:p>
    <w:p>
      <w:pPr>
        <w:pStyle w:val="BodyText"/>
      </w:pPr>
      <w:r>
        <w:t xml:space="preserve">El resultado se ve hoy en la matrícula. Según el gremio de los institutos privados, de cada diez estudiantes de la</w:t>
      </w:r>
      <w:r>
        <w:t xml:space="preserve"> </w:t>
      </w:r>
      <w:r>
        <w:t xml:space="preserve">educación superior tecnológica, siete estudian en un instituto privado</w:t>
      </w:r>
      <w:r>
        <w:t xml:space="preserve"> </w:t>
      </w:r>
      <w:r>
        <w:t xml:space="preserve">(</w:t>
      </w:r>
      <w:hyperlink w:anchor="Xd5c07d7b29cb8e74d7f26e71cc8faac82b320ec">
        <w:r>
          <w:rPr>
            <w:rStyle w:val="Hyperlink"/>
          </w:rPr>
          <w:t xml:space="preserve">Guardia Quispe, 2024</w:t>
        </w:r>
      </w:hyperlink>
      <w:r>
        <w:t xml:space="preserve">)</w:t>
      </w:r>
      <w:r>
        <w:t xml:space="preserve">. Y en la calidad: de los 105 institutos tecnológicos licenciados</w:t>
      </w:r>
      <w:r>
        <w:t xml:space="preserve"> </w:t>
      </w:r>
      <w:r>
        <w:t xml:space="preserve">entre 2018 y 2023, solo 11 eran públicos</w:t>
      </w:r>
      <w:r>
        <w:t xml:space="preserve"> </w:t>
      </w:r>
      <w:r>
        <w:t xml:space="preserve">(</w:t>
      </w:r>
      <w:hyperlink w:anchor="ref-gestionCualesSon105Institutos2023">
        <w:r>
          <w:rPr>
            <w:rStyle w:val="Hyperlink"/>
          </w:rPr>
          <w:t xml:space="preserve">Gestión, 2023</w:t>
        </w:r>
      </w:hyperlink>
      <w:r>
        <w:t xml:space="preserve">)</w:t>
      </w:r>
      <w:r>
        <w:t xml:space="preserve">. El licenciamiento es la autorización para</w:t>
      </w:r>
      <w:r>
        <w:t xml:space="preserve"> </w:t>
      </w:r>
      <w:r>
        <w:t xml:space="preserve">funcionar que se obtiene cumpliendo condiciones básicas de calidad</w:t>
      </w:r>
      <w:r>
        <w:t xml:space="preserve"> </w:t>
      </w:r>
      <w:r>
        <w:t xml:space="preserve">(</w:t>
      </w:r>
      <w:hyperlink w:anchor="X73352a938e6a9d05e069c26d98010cc8cb8366f">
        <w:r>
          <w:rPr>
            <w:rStyle w:val="Hyperlink"/>
          </w:rPr>
          <w:t xml:space="preserve">Ley N.° 30512, Ley de Institutos y Escuelas de Educación Superior y de la Carrera Pública de sus Docentes, 2016</w:t>
        </w:r>
      </w:hyperlink>
      <w:r>
        <w:t xml:space="preserve">, art. 24)</w:t>
      </w:r>
      <w:r>
        <w:t xml:space="preserve">; si el instituto público no tiene laboratorios, bibliotecas ni</w:t>
      </w:r>
      <w:r>
        <w:t xml:space="preserve"> </w:t>
      </w:r>
      <w:r>
        <w:t xml:space="preserve">locales adecuados, no se licencia, y el joven que no puede pagar un privado se queda sin alternativa. Así, la</w:t>
      </w:r>
      <w:r>
        <w:t xml:space="preserve"> </w:t>
      </w:r>
      <w:r>
        <w:t xml:space="preserve">privatización no solo abre negocios: también cierra puertas, sobre todo en las zonas rurales.</w:t>
      </w:r>
    </w:p>
    <w:bookmarkEnd w:id="32"/>
    <w:bookmarkStart w:id="33" w:name="lo-que-la-ley-ya-promete-y-no-se-cumple"/>
    <w:p>
      <w:pPr>
        <w:pStyle w:val="Heading1"/>
      </w:pPr>
      <w:r>
        <w:t xml:space="preserve">Lo que la ley ya promete y no se cumple</w:t>
      </w:r>
    </w:p>
    <w:p>
      <w:pPr>
        <w:pStyle w:val="FirstParagraph"/>
      </w:pPr>
      <w:r>
        <w:rPr>
          <w:b/>
          <w:bCs/>
        </w:rPr>
        <w:t xml:space="preserve">Casi todo lo que piden los estudiantes ya está escrito en la ley.</w:t>
      </w:r>
      <w:r>
        <w:t xml:space="preserve"> </w:t>
      </w:r>
      <w:r>
        <w:t xml:space="preserve">La Ley 30512, que rige los institutos y escuelas</w:t>
      </w:r>
      <w:r>
        <w:t xml:space="preserve"> </w:t>
      </w:r>
      <w:r>
        <w:t xml:space="preserve">desde 2016, obliga al Ministerio de Educación y a los gobiernos regionales a considerar en sus presupuestos, «bajo</w:t>
      </w:r>
      <w:r>
        <w:t xml:space="preserve"> </w:t>
      </w:r>
      <w:r>
        <w:t xml:space="preserve">responsabilidad de ley», los recursos necesarios para la infraestructura, el mobiliario y el equipamiento de las</w:t>
      </w:r>
      <w:r>
        <w:t xml:space="preserve"> </w:t>
      </w:r>
      <w:r>
        <w:t xml:space="preserve">escuelas pedagógicas públicas</w:t>
      </w:r>
      <w:r>
        <w:t xml:space="preserve"> </w:t>
      </w:r>
      <w:r>
        <w:t xml:space="preserve">(</w:t>
      </w:r>
      <w:hyperlink w:anchor="X73352a938e6a9d05e069c26d98010cc8cb8366f">
        <w:r>
          <w:rPr>
            <w:rStyle w:val="Hyperlink"/>
          </w:rPr>
          <w:t xml:space="preserve">Ley N.° 30512, Ley de Institutos y Escuelas de Educación Superior y de la Carrera Pública de sus Docentes, 2016</w:t>
        </w:r>
      </w:hyperlink>
      <w:r>
        <w:t xml:space="preserve">, art. 61)</w:t>
      </w:r>
      <w:r>
        <w:t xml:space="preserve">. Para los institutos tecnológicos</w:t>
      </w:r>
      <w:r>
        <w:t xml:space="preserve"> </w:t>
      </w:r>
      <w:r>
        <w:t xml:space="preserve">públicos no hay una cláusula igual: la ley les exige condiciones básicas de calidad para licenciarse, pero no obliga a</w:t>
      </w:r>
      <w:r>
        <w:t xml:space="preserve"> </w:t>
      </w:r>
      <w:r>
        <w:t xml:space="preserve">nadie a darles los medios para cumplirlas, y esa omisión también es una demanda. La ley manda, además, que cada</w:t>
      </w:r>
      <w:r>
        <w:t xml:space="preserve"> </w:t>
      </w:r>
      <w:r>
        <w:t xml:space="preserve">instituto y escuela pública tenga una unidad de bienestar y empleabilidad, con orientación, tutoría y consejería, y con</w:t>
      </w:r>
      <w:r>
        <w:t xml:space="preserve"> </w:t>
      </w:r>
      <w:r>
        <w:t xml:space="preserve">la atención de los casos de acoso o discriminación</w:t>
      </w:r>
      <w:r>
        <w:t xml:space="preserve"> </w:t>
      </w:r>
      <w:r>
        <w:t xml:space="preserve">(</w:t>
      </w:r>
      <w:hyperlink w:anchor="X73352a938e6a9d05e069c26d98010cc8cb8366f">
        <w:r>
          <w:rPr>
            <w:rStyle w:val="Hyperlink"/>
          </w:rPr>
          <w:t xml:space="preserve">Ley N.° 30512, Ley de Institutos y Escuelas de Educación Superior y de la Carrera Pública de sus Docentes, 2016</w:t>
        </w:r>
      </w:hyperlink>
      <w:r>
        <w:t xml:space="preserve">, art. 29)</w:t>
      </w:r>
      <w:r>
        <w:t xml:space="preserve">. Y modificó la Ley de Canon para que cada</w:t>
      </w:r>
      <w:r>
        <w:t xml:space="preserve"> </w:t>
      </w:r>
      <w:r>
        <w:t xml:space="preserve">gobierno regional entregue el 10 % del canon que recibe a los institutos y escuelas de su región, destinado a la</w:t>
      </w:r>
      <w:r>
        <w:t xml:space="preserve"> </w:t>
      </w:r>
      <w:r>
        <w:t xml:space="preserve">investigación científica y tecnológica</w:t>
      </w:r>
      <w:r>
        <w:t xml:space="preserve"> </w:t>
      </w:r>
      <w:r>
        <w:t xml:space="preserve">(</w:t>
      </w:r>
      <w:hyperlink w:anchor="X73352a938e6a9d05e069c26d98010cc8cb8366f">
        <w:r>
          <w:rPr>
            <w:rStyle w:val="Hyperlink"/>
          </w:rPr>
          <w:t xml:space="preserve">Ley N.° 30512, Ley de Institutos y Escuelas de Educación Superior y de la Carrera Pública de sus Docentes, 2016</w:t>
        </w:r>
      </w:hyperlink>
      <w:r>
        <w:t xml:space="preserve">, tercera disposición complementaria</w:t>
      </w:r>
      <w:r>
        <w:t xml:space="preserve"> </w:t>
      </w:r>
      <w:r>
        <w:t xml:space="preserve">modificatoria)</w:t>
      </w:r>
      <w:r>
        <w:t xml:space="preserve">.</w:t>
      </w:r>
    </w:p>
    <w:p>
      <w:pPr>
        <w:pStyle w:val="BodyText"/>
      </w:pPr>
      <w:r>
        <w:t xml:space="preserve">La trampa está en otra disposición de la misma ley: su implementación se financiaría con el presupuesto del Ministerio</w:t>
      </w:r>
      <w:r>
        <w:t xml:space="preserve"> </w:t>
      </w:r>
      <w:r>
        <w:t xml:space="preserve">de Educación «sin demandar recursos adicionales al Tesoro Público»</w:t>
      </w:r>
      <w:r>
        <w:t xml:space="preserve"> </w:t>
      </w:r>
      <w:r>
        <w:t xml:space="preserve">(</w:t>
      </w:r>
      <w:hyperlink w:anchor="X73352a938e6a9d05e069c26d98010cc8cb8366f">
        <w:r>
          <w:rPr>
            <w:rStyle w:val="Hyperlink"/>
          </w:rPr>
          <w:t xml:space="preserve">Ley N.° 30512, Ley de Institutos y Escuelas de Educación Superior y de la Carrera Pública de sus Docentes, 2016</w:t>
        </w:r>
      </w:hyperlink>
      <w:r>
        <w:t xml:space="preserve">, décima cuarta disposición complementaria final)</w:t>
      </w:r>
      <w:r>
        <w:t xml:space="preserve">. Se reformó el sistema, se le</w:t>
      </w:r>
      <w:r>
        <w:t xml:space="preserve"> </w:t>
      </w:r>
      <w:r>
        <w:t xml:space="preserve">exigieron más condiciones de calidad y no se le dio más dinero para cumplirlas. La pregunta del pronunciamiento, ¿por</w:t>
      </w:r>
      <w:r>
        <w:t xml:space="preserve"> </w:t>
      </w:r>
      <w:r>
        <w:t xml:space="preserve">qué no se quiere invertir en educación?, tiene aquí una respuesta concreta: porque se legisla sin presupuesto.</w:t>
      </w:r>
    </w:p>
    <w:bookmarkEnd w:id="33"/>
    <w:bookmarkStart w:id="34" w:name="por-qué-no-se-invierte-en-educación"/>
    <w:p>
      <w:pPr>
        <w:pStyle w:val="Heading1"/>
      </w:pPr>
      <w:r>
        <w:t xml:space="preserve">¿Por qué no se invierte en educación?</w:t>
      </w:r>
    </w:p>
    <w:p>
      <w:pPr>
        <w:pStyle w:val="FirstParagraph"/>
      </w:pPr>
      <w:r>
        <w:rPr>
          <w:b/>
          <w:bCs/>
        </w:rPr>
        <w:t xml:space="preserve">El abandono de la educación pública no es un descuido: es coherente con un modelo.</w:t>
      </w:r>
      <w:r>
        <w:t xml:space="preserve"> </w:t>
      </w:r>
      <w:r>
        <w:t xml:space="preserve">Pierre Bourdieu describió el</w:t>
      </w:r>
      <w:r>
        <w:t xml:space="preserve"> </w:t>
      </w:r>
      <w:r>
        <w:t xml:space="preserve">neoliberalismo como una política que, en nombre de la eficiencia del mercado, impone la restricción del gasto público y</w:t>
      </w:r>
      <w:r>
        <w:t xml:space="preserve"> </w:t>
      </w:r>
      <w:r>
        <w:t xml:space="preserve">la flexibilización del trabajo, y que funciona como «un programa de destrucción metódica de los colectivos»</w:t>
      </w:r>
      <w:r>
        <w:t xml:space="preserve"> </w:t>
      </w:r>
      <w:r>
        <w:t xml:space="preserve">(</w:t>
      </w:r>
      <w:hyperlink w:anchor="ref-bourdieuEsenciaNeoliberalismo101">
        <w:r>
          <w:rPr>
            <w:rStyle w:val="Hyperlink"/>
          </w:rPr>
          <w:t xml:space="preserve">Bourdieu, 1998</w:t>
        </w:r>
      </w:hyperlink>
      <w:r>
        <w:t xml:space="preserve">)</w:t>
      </w:r>
      <w:r>
        <w:t xml:space="preserve">. Un país que forma técnicos sin laboratorios ni pensamiento crítico obtiene mano de</w:t>
      </w:r>
      <w:r>
        <w:t xml:space="preserve"> </w:t>
      </w:r>
      <w:r>
        <w:t xml:space="preserve">obra barata y dócil, útil para quien contrata, pero no ciudadanos capaces de exigir.</w:t>
      </w:r>
    </w:p>
    <w:p>
      <w:pPr>
        <w:pStyle w:val="BodyText"/>
      </w:pPr>
      <w:r>
        <w:t xml:space="preserve">Por eso la responsabilidad es de quienes deciden el presupuesto y lo administran: el Gobierno nacional, el Ministerio de</w:t>
      </w:r>
      <w:r>
        <w:t xml:space="preserve"> </w:t>
      </w:r>
      <w:r>
        <w:t xml:space="preserve">Educación y el Gobierno Regional. Y por eso la respuesta no puede ser individual. Si lo que debilita a la educación</w:t>
      </w:r>
      <w:r>
        <w:t xml:space="preserve"> </w:t>
      </w:r>
      <w:r>
        <w:t xml:space="preserve">pública es la dispersión de quienes la necesitan, lo que la defiende es su unidad.</w:t>
      </w:r>
    </w:p>
    <w:bookmarkEnd w:id="34"/>
    <w:bookmarkStart w:id="37" w:name="la-unidad-como-respuesta"/>
    <w:p>
      <w:pPr>
        <w:pStyle w:val="Heading1"/>
      </w:pPr>
      <w:r>
        <w:t xml:space="preserve">La unidad como respuesta</w:t>
      </w:r>
    </w:p>
    <w:p>
      <w:pPr>
        <w:pStyle w:val="FirstParagraph"/>
      </w:pPr>
      <w:r>
        <w:rPr>
          <w:b/>
          <w:bCs/>
        </w:rPr>
        <w:t xml:space="preserve">Nadie nos ha regalado nada: todo lo que existe se consiguió con organización y esfuerzo.</w:t>
      </w:r>
      <w:r>
        <w:t xml:space="preserve"> </w:t>
      </w:r>
      <w:r>
        <w:t xml:space="preserve">Cada instituto, por su</w:t>
      </w:r>
      <w:r>
        <w:t xml:space="preserve"> </w:t>
      </w:r>
      <w:r>
        <w:t xml:space="preserve">cuenta, puede presentar un oficio, pero un consejo estudiantil aislado es fácil de ignorar. Lo que propone el</w:t>
      </w:r>
      <w:r>
        <w:t xml:space="preserve"> </w:t>
      </w:r>
      <w:r>
        <w:t xml:space="preserve">pronunciamiento es dar el paso siguiente: constituir una</w:t>
      </w:r>
      <w:r>
        <w:t xml:space="preserve"> </w:t>
      </w:r>
      <w:r>
        <w:rPr>
          <w:b/>
          <w:bCs/>
        </w:rPr>
        <w:t xml:space="preserve">Coordinadora de estudiantes de institutos de Ayacucho</w:t>
      </w:r>
      <w:r>
        <w:t xml:space="preserve">, un</w:t>
      </w:r>
      <w:r>
        <w:t xml:space="preserve"> </w:t>
      </w:r>
      <w:r>
        <w:t xml:space="preserve">espacio que reúna a los consejos de los tecnológicos y pedagógicos públicos de las once provincias, que articule sus</w:t>
      </w:r>
      <w:r>
        <w:t xml:space="preserve"> </w:t>
      </w:r>
      <w:r>
        <w:t xml:space="preserve">demandas, les dé seguimiento y exija respuesta a sus autoridades y a quienes los representan en el Congreso y en el</w:t>
      </w:r>
      <w:r>
        <w:t xml:space="preserve"> </w:t>
      </w:r>
      <w:r>
        <w:t xml:space="preserve">Gobierno Regional.</w:t>
      </w:r>
    </w:p>
    <w:p>
      <w:pPr>
        <w:pStyle w:val="BodyText"/>
      </w:pPr>
      <w:r>
        <w:t xml:space="preserve">Una coordinadora así sirve para tres cosas. Primero, para hablar con una sola voz y con datos: un pliego regional pesa</w:t>
      </w:r>
      <w:r>
        <w:t xml:space="preserve"> </w:t>
      </w:r>
      <w:r>
        <w:t xml:space="preserve">más que veinte oficios sueltos. Segundo, para vigilar que se cumpla lo que la ley ya manda, como el 10 % del canon o los</w:t>
      </w:r>
      <w:r>
        <w:t xml:space="preserve"> </w:t>
      </w:r>
      <w:r>
        <w:t xml:space="preserve">recursos del artículo 61, y para pedir que esa garantía alcance también a los tecnológicos. Tercero, para formar dirigentes que conozcan sus derechos y las normas que los respaldan.</w:t>
      </w:r>
    </w:p>
    <w:bookmarkStart w:id="36" w:name="las-demandas-una-por-una"/>
    <w:p>
      <w:pPr>
        <w:pStyle w:val="Heading2"/>
      </w:pPr>
      <w:r>
        <w:t xml:space="preserve">Las demandas, una por una</w:t>
      </w:r>
    </w:p>
    <w:p>
      <w:pPr>
        <w:pStyle w:val="FirstParagraph"/>
      </w:pPr>
      <w:r>
        <w:t xml:space="preserve">La</w:t>
      </w:r>
      <w:r>
        <w:t xml:space="preserve"> </w:t>
      </w:r>
      <w:hyperlink w:anchor="tbl-demandas">
        <w:r>
          <w:rPr>
            <w:rStyle w:val="Hyperlink"/>
          </w:rPr>
          <w:t xml:space="preserve">Tabla 1</w:t>
        </w:r>
      </w:hyperlink>
      <w:r>
        <w:t xml:space="preserve"> </w:t>
      </w:r>
      <w:r>
        <w:t xml:space="preserve">ordena el pliego del pronunciamiento: cada demanda con la norma que la respalda y la autoridad que debe responder.</w:t>
      </w:r>
    </w:p>
    <w:bookmarkStart w:id="35" w:name="tbl-demandas"/>
    <w:p>
      <w:pPr>
        <w:pStyle w:val="FigureTitle"/>
      </w:pPr>
      <w:r>
        <w:t xml:space="preserve">Tabla 1</w:t>
      </w:r>
    </w:p>
    <w:p>
      <w:pPr>
        <w:pStyle w:val="Caption"/>
      </w:pPr>
      <w:r>
        <w:t xml:space="preserve">Demandas estudiantiles, su base y a quién se le piden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Demanda</w:t>
            </w:r>
          </w:p>
        </w:tc>
        <w:tc>
          <w:tcPr/>
          <w:p>
            <w:pPr>
              <w:pStyle w:val="Compact"/>
            </w:pPr>
            <w:r>
              <w:t xml:space="preserve">Base</w:t>
            </w:r>
          </w:p>
        </w:tc>
        <w:tc>
          <w:tcPr/>
          <w:p>
            <w:pPr>
              <w:pStyle w:val="Compact"/>
            </w:pPr>
            <w:r>
              <w:t xml:space="preserve">A quién se le pide</w:t>
            </w:r>
          </w:p>
        </w:tc>
      </w:tr>
      <w:tr>
        <w:tc>
          <w:tcPr/>
          <w:p>
            <w:pPr>
              <w:pStyle w:val="Compact"/>
            </w:pPr>
            <w:r>
              <w:t xml:space="preserve">Equipamiento de laboratorios y maquinaria agrícola, como tractores</w:t>
            </w:r>
          </w:p>
        </w:tc>
        <w:tc>
          <w:tcPr/>
          <w:p>
            <w:pPr>
              <w:pStyle w:val="Compact"/>
            </w:pPr>
            <w:r>
              <w:t xml:space="preserve">Condiciones básicas de calidad (Ley 30512, art. 24); en los pedagógicos, art. 61</w:t>
            </w:r>
          </w:p>
        </w:tc>
        <w:tc>
          <w:tcPr/>
          <w:p>
            <w:pPr>
              <w:pStyle w:val="Compact"/>
            </w:pPr>
            <w:r>
              <w:t xml:space="preserve">Gobierno Regional y Ministerio de Educación</w:t>
            </w:r>
          </w:p>
        </w:tc>
      </w:tr>
      <w:tr>
        <w:tc>
          <w:tcPr/>
          <w:p>
            <w:pPr>
              <w:pStyle w:val="Compact"/>
            </w:pPr>
            <w:r>
              <w:t xml:space="preserve">Equipos para Enfermería Técnica y las demás carreras</w:t>
            </w:r>
          </w:p>
        </w:tc>
        <w:tc>
          <w:tcPr/>
          <w:p>
            <w:pPr>
              <w:pStyle w:val="Compact"/>
            </w:pPr>
            <w:r>
              <w:t xml:space="preserve">Condiciones básicas de calidad (Ley 30512, art. 24)</w:t>
            </w:r>
          </w:p>
        </w:tc>
        <w:tc>
          <w:tcPr/>
          <w:p>
            <w:pPr>
              <w:pStyle w:val="Compact"/>
            </w:pPr>
            <w:r>
              <w:t xml:space="preserve">Gobierno Regional y Ministerio de Educación</w:t>
            </w:r>
          </w:p>
        </w:tc>
      </w:tr>
      <w:tr>
        <w:tc>
          <w:tcPr/>
          <w:p>
            <w:pPr>
              <w:pStyle w:val="Compact"/>
            </w:pPr>
            <w:r>
              <w:t xml:space="preserve">Culminación de la nueva infraestructura</w:t>
            </w:r>
          </w:p>
        </w:tc>
        <w:tc>
          <w:tcPr/>
          <w:p>
            <w:pPr>
              <w:pStyle w:val="Compact"/>
            </w:pPr>
            <w:r>
              <w:t xml:space="preserve">Expedientes técnicos ya formulados; en los pedagógicos, Ley 30512, art. 61</w:t>
            </w:r>
          </w:p>
        </w:tc>
        <w:tc>
          <w:tcPr/>
          <w:p>
            <w:pPr>
              <w:pStyle w:val="Compact"/>
            </w:pPr>
            <w:r>
              <w:t xml:space="preserve">Gobierno Regional</w:t>
            </w:r>
          </w:p>
        </w:tc>
      </w:tr>
      <w:tr>
        <w:tc>
          <w:tcPr/>
          <w:p>
            <w:pPr>
              <w:pStyle w:val="Compact"/>
            </w:pPr>
            <w:r>
              <w:t xml:space="preserve">Bibliotecas y salas de informática con internet en toda la institución</w:t>
            </w:r>
          </w:p>
        </w:tc>
        <w:tc>
          <w:tcPr/>
          <w:p>
            <w:pPr>
              <w:pStyle w:val="Compact"/>
            </w:pPr>
            <w:r>
              <w:t xml:space="preserve">Condiciones básicas de calidad (Ley 30512, art. 24)</w:t>
            </w:r>
          </w:p>
        </w:tc>
        <w:tc>
          <w:tcPr/>
          <w:p>
            <w:pPr>
              <w:pStyle w:val="Compact"/>
            </w:pPr>
            <w:r>
              <w:t xml:space="preserve">Gobierno Regional y Ministerio de Educación</w:t>
            </w:r>
          </w:p>
        </w:tc>
      </w:tr>
      <w:tr>
        <w:tc>
          <w:tcPr/>
          <w:p>
            <w:pPr>
              <w:pStyle w:val="Compact"/>
            </w:pPr>
            <w:r>
              <w:t xml:space="preserve">Que la garantía de recursos del art. 61 alcance también a los institutos tecnológicos públicos</w:t>
            </w:r>
          </w:p>
        </w:tc>
        <w:tc>
          <w:tcPr/>
          <w:p>
            <w:pPr>
              <w:pStyle w:val="Compact"/>
            </w:pPr>
            <w:r>
              <w:t xml:space="preserve">Ley 30512, art. 61 (hoy solo para los pedagógicos)</w:t>
            </w:r>
          </w:p>
        </w:tc>
        <w:tc>
          <w:tcPr/>
          <w:p>
            <w:pPr>
              <w:pStyle w:val="Compact"/>
            </w:pPr>
            <w:r>
              <w:t xml:space="preserve">Congreso de la República</w:t>
            </w:r>
          </w:p>
        </w:tc>
      </w:tr>
      <w:tr>
        <w:tc>
          <w:tcPr/>
          <w:p>
            <w:pPr>
              <w:pStyle w:val="Compact"/>
            </w:pPr>
            <w:r>
              <w:t xml:space="preserve">Atención a la salud mental y áreas de psicología</w:t>
            </w:r>
          </w:p>
        </w:tc>
        <w:tc>
          <w:tcPr/>
          <w:p>
            <w:pPr>
              <w:pStyle w:val="Compact"/>
            </w:pPr>
            <w:r>
              <w:t xml:space="preserve">Unidad de bienestar y empleabilidad (Ley 30512, art. 29)</w:t>
            </w:r>
          </w:p>
        </w:tc>
        <w:tc>
          <w:tcPr/>
          <w:p>
            <w:pPr>
              <w:pStyle w:val="Compact"/>
            </w:pPr>
            <w:r>
              <w:t xml:space="preserve">Dirección del instituto y Gobierno Regional</w:t>
            </w:r>
          </w:p>
        </w:tc>
      </w:tr>
      <w:tr>
        <w:tc>
          <w:tcPr/>
          <w:p>
            <w:pPr>
              <w:pStyle w:val="Compact"/>
            </w:pPr>
            <w:r>
              <w:t xml:space="preserve">Bienestar estudiantil: comedor y residencia</w:t>
            </w:r>
          </w:p>
        </w:tc>
        <w:tc>
          <w:tcPr/>
          <w:p>
            <w:pPr>
              <w:pStyle w:val="Compact"/>
            </w:pPr>
            <w:r>
              <w:t xml:space="preserve">Unidad de bienestar y empleabilidad (Ley 30512, art. 29)</w:t>
            </w:r>
          </w:p>
        </w:tc>
        <w:tc>
          <w:tcPr/>
          <w:p>
            <w:pPr>
              <w:pStyle w:val="Compact"/>
            </w:pPr>
            <w:r>
              <w:t xml:space="preserve">Gobierno Regional y Ministerio de Educación</w:t>
            </w:r>
          </w:p>
        </w:tc>
      </w:tr>
      <w:tr>
        <w:tc>
          <w:tcPr/>
          <w:p>
            <w:pPr>
              <w:pStyle w:val="Compact"/>
            </w:pPr>
            <w:r>
              <w:t xml:space="preserve">Movilidad estudiantil</w:t>
            </w:r>
          </w:p>
        </w:tc>
        <w:tc>
          <w:tcPr/>
          <w:p>
            <w:pPr>
              <w:pStyle w:val="Compact"/>
            </w:pPr>
            <w:r>
              <w:t xml:space="preserve">Política de acceso equitativo de la educación superior</w:t>
            </w:r>
          </w:p>
        </w:tc>
        <w:tc>
          <w:tcPr/>
          <w:p>
            <w:pPr>
              <w:pStyle w:val="Compact"/>
            </w:pPr>
            <w:r>
              <w:t xml:space="preserve">Gobierno Regional y municipalidades</w:t>
            </w:r>
          </w:p>
        </w:tc>
      </w:tr>
      <w:tr>
        <w:tc>
          <w:tcPr/>
          <w:p>
            <w:pPr>
              <w:pStyle w:val="Compact"/>
            </w:pPr>
            <w:r>
              <w:t xml:space="preserve">Contratación de personal de vigilancia</w:t>
            </w:r>
          </w:p>
        </w:tc>
        <w:tc>
          <w:tcPr/>
          <w:p>
            <w:pPr>
              <w:pStyle w:val="Compact"/>
            </w:pPr>
            <w:r>
              <w:t xml:space="preserve">Presupuesto institucional</w:t>
            </w:r>
          </w:p>
        </w:tc>
        <w:tc>
          <w:tcPr/>
          <w:p>
            <w:pPr>
              <w:pStyle w:val="Compact"/>
            </w:pPr>
            <w:r>
              <w:t xml:space="preserve">Gobierno Regional</w:t>
            </w:r>
          </w:p>
        </w:tc>
      </w:tr>
      <w:tr>
        <w:tc>
          <w:tcPr/>
          <w:p>
            <w:pPr>
              <w:pStyle w:val="Compact"/>
            </w:pPr>
            <w:r>
              <w:t xml:space="preserve">El 10 % del canon para investigación en institutos</w:t>
            </w:r>
          </w:p>
        </w:tc>
        <w:tc>
          <w:tcPr/>
          <w:p>
            <w:pPr>
              <w:pStyle w:val="Compact"/>
            </w:pPr>
            <w:r>
              <w:t xml:space="preserve">Ley 30512, tercera disposición complementaria modificatoria</w:t>
            </w:r>
          </w:p>
        </w:tc>
        <w:tc>
          <w:tcPr/>
          <w:p>
            <w:pPr>
              <w:pStyle w:val="Compact"/>
            </w:pPr>
            <w:r>
              <w:t xml:space="preserve">Gobierno Regional</w:t>
            </w:r>
          </w:p>
        </w:tc>
      </w:tr>
    </w:tbl>
    <w:bookmarkEnd w:id="35"/>
    <w:p>
      <w:pPr>
        <w:pStyle w:val="FigureNote"/>
      </w:pPr>
      <w:r>
        <w:rPr>
          <w:i/>
          <w:iCs/>
        </w:rPr>
        <w:t xml:space="preserve">Nota</w:t>
      </w:r>
      <w:r>
        <w:t xml:space="preserve">. Elaboración propia a partir del pronunciamiento estudiantil y de la Ley 30512.</w:t>
      </w:r>
    </w:p>
    <w:bookmarkEnd w:id="36"/>
    <w:bookmarkEnd w:id="37"/>
    <w:bookmarkStart w:id="38" w:name="nadie-nos-ha-regalado-nada"/>
    <w:p>
      <w:pPr>
        <w:pStyle w:val="Heading1"/>
      </w:pPr>
      <w:r>
        <w:t xml:space="preserve">Nadie nos ha regalado nada</w:t>
      </w:r>
    </w:p>
    <w:p>
      <w:pPr>
        <w:pStyle w:val="FirstParagraph"/>
      </w:pPr>
      <w:r>
        <w:rPr>
          <w:b/>
          <w:bCs/>
        </w:rPr>
        <w:t xml:space="preserve">Un pueblo sin educación no tiene futuro, y la educación pública no se defiende sola.</w:t>
      </w:r>
      <w:r>
        <w:t xml:space="preserve"> </w:t>
      </w:r>
      <w:r>
        <w:t xml:space="preserve">Las cifras muestran un Estado</w:t>
      </w:r>
      <w:r>
        <w:t xml:space="preserve"> </w:t>
      </w:r>
      <w:r>
        <w:t xml:space="preserve">que invierte la mitad que sus vecinos y que entrega a los institutos la quinta parte de lo que destina a la educación</w:t>
      </w:r>
      <w:r>
        <w:t xml:space="preserve"> </w:t>
      </w:r>
      <w:r>
        <w:t xml:space="preserve">superior. Las normas muestran que casi todo lo que se pide ya es una obligación. Lo que falta es la fuerza organizada que</w:t>
      </w:r>
      <w:r>
        <w:t xml:space="preserve"> </w:t>
      </w:r>
      <w:r>
        <w:t xml:space="preserve">haga cumplir esa obligación.</w:t>
      </w:r>
    </w:p>
    <w:p>
      <w:pPr>
        <w:pStyle w:val="BodyText"/>
      </w:pPr>
      <w:r>
        <w:t xml:space="preserve">Esa fuerza no la va a poner nadie desde arriba. La tienen los estudiantes de los institutos de Ayacucho, si se unen.</w:t>
      </w:r>
    </w:p>
    <w:p>
      <w:pPr>
        <w:pStyle w:val="BodyText"/>
      </w:pPr>
      <w:r>
        <w:rPr>
          <w:b/>
          <w:bCs/>
        </w:rPr>
        <w:t xml:space="preserve">¡Por la unidad de los estudiantes de institutos de la región de Ayacucho!</w:t>
      </w:r>
      <w:r>
        <w:t xml:space="preserve"> </w:t>
      </w:r>
      <w:r>
        <w:rPr>
          <w:b/>
          <w:bCs/>
        </w:rPr>
        <w:t xml:space="preserve">¡Sin luchas no hay victorias!</w:t>
      </w:r>
    </w:p>
    <w:bookmarkEnd w:id="38"/>
    <w:bookmarkStart w:id="53" w:name="referencias"/>
    <w:p>
      <w:pPr>
        <w:pStyle w:val="Heading1"/>
      </w:pPr>
      <w:r>
        <w:t xml:space="preserve">Referencias</w:t>
      </w:r>
    </w:p>
    <w:bookmarkStart w:id="52" w:name="refs"/>
    <w:bookmarkStart w:id="40" w:name="ref-andinaInstitutosPublicosOfrecen2025"/>
    <w:p>
      <w:pPr>
        <w:pStyle w:val="Bibliography"/>
      </w:pPr>
      <w:r>
        <w:t xml:space="preserve">Agencia Andina. (2025, abril 7).</w:t>
      </w:r>
      <w:r>
        <w:t xml:space="preserve"> </w:t>
      </w:r>
      <w:r>
        <w:rPr>
          <w:i/>
          <w:iCs/>
        </w:rPr>
        <w:t xml:space="preserve">Institutos públicos ofrecen 48 000 vacantes para estudiar gratis una carrera técnica</w:t>
      </w:r>
      <w:r>
        <w:t xml:space="preserve">.</w:t>
      </w:r>
      <w:r>
        <w:t xml:space="preserve"> </w:t>
      </w:r>
      <w:hyperlink r:id="rId39">
        <w:r>
          <w:rPr>
            <w:rStyle w:val="Hyperlink"/>
          </w:rPr>
          <w:t xml:space="preserve">https://andina.pe/agencia/noticia-institutos-publicos-ofrecen-48000-vacantes-para-estudiar-gratis-una-carrera-tecnica-1025015.aspx</w:t>
        </w:r>
      </w:hyperlink>
    </w:p>
    <w:bookmarkEnd w:id="40"/>
    <w:bookmarkStart w:id="41" w:name="ref-bourdieuEsenciaNeoliberalismo101"/>
    <w:p>
      <w:pPr>
        <w:pStyle w:val="Bibliography"/>
      </w:pPr>
      <w:r>
        <w:t xml:space="preserve">Bourdieu, P. (1998). La esencia del neoliberalismo.</w:t>
      </w:r>
      <w:r>
        <w:t xml:space="preserve"> </w:t>
      </w:r>
      <w:r>
        <w:rPr>
          <w:i/>
          <w:iCs/>
        </w:rPr>
        <w:t xml:space="preserve">Le Monde Diplomatique</w:t>
      </w:r>
      <w:r>
        <w:t xml:space="preserve">.</w:t>
      </w:r>
    </w:p>
    <w:bookmarkEnd w:id="41"/>
    <w:bookmarkStart w:id="42" w:name="ref-peruDecretoLegislativo8821996"/>
    <w:p>
      <w:pPr>
        <w:pStyle w:val="Bibliography"/>
      </w:pPr>
      <w:r>
        <w:t xml:space="preserve">Decreto Legislativo N.° 882, Ley de Promoción de la Inversión en la Educación, Diario Oficial El Peruano (1996).</w:t>
      </w:r>
    </w:p>
    <w:bookmarkEnd w:id="42"/>
    <w:bookmarkStart w:id="44" w:name="Xe071b12f3ac7376e9b6ebcf7667debbfb92f8e2"/>
    <w:p>
      <w:pPr>
        <w:pStyle w:val="Bibliography"/>
      </w:pPr>
      <w:r>
        <w:t xml:space="preserve">El Peruano. (2023, diciembre 5).</w:t>
      </w:r>
      <w:r>
        <w:t xml:space="preserve"> </w:t>
      </w:r>
      <w:r>
        <w:rPr>
          <w:i/>
          <w:iCs/>
        </w:rPr>
        <w:t xml:space="preserve">Minedu evalúa positivamente los resultados de la prueba PISA 2022 para Perú</w:t>
      </w:r>
      <w:r>
        <w:t xml:space="preserve">.</w:t>
      </w:r>
      <w:r>
        <w:t xml:space="preserve"> </w:t>
      </w:r>
      <w:hyperlink r:id="rId43">
        <w:r>
          <w:rPr>
            <w:rStyle w:val="Hyperlink"/>
          </w:rPr>
          <w:t xml:space="preserve">https://www.elperuano.pe/noticia/230571-minedu-evalua-positivamente-los-resultados-de-la-prueba-pisa-2022-para-peru</w:t>
        </w:r>
      </w:hyperlink>
    </w:p>
    <w:bookmarkEnd w:id="44"/>
    <w:bookmarkStart w:id="46" w:name="ref-gestionCualesSon105Institutos2023"/>
    <w:p>
      <w:pPr>
        <w:pStyle w:val="Bibliography"/>
      </w:pPr>
      <w:r>
        <w:t xml:space="preserve">Gestión. (2023, octubre 16).</w:t>
      </w:r>
      <w:r>
        <w:t xml:space="preserve"> </w:t>
      </w:r>
      <w:r>
        <w:rPr>
          <w:i/>
          <w:iCs/>
        </w:rPr>
        <w:t xml:space="preserve">¿Cuáles son los 105 institutos superiores licenciados por Minedu?</w:t>
      </w:r>
      <w:r>
        <w:t xml:space="preserve"> </w:t>
      </w:r>
      <w:hyperlink r:id="rId45">
        <w:r>
          <w:rPr>
            <w:rStyle w:val="Hyperlink"/>
          </w:rPr>
          <w:t xml:space="preserve">https://gestion.pe/peru/cuales-son-los-105-institutos-superiores-licenciados-por-minedu-noticia/</w:t>
        </w:r>
      </w:hyperlink>
    </w:p>
    <w:bookmarkEnd w:id="46"/>
    <w:bookmarkStart w:id="48" w:name="Xd5c07d7b29cb8e74d7f26e71cc8faac82b320ec"/>
    <w:p>
      <w:pPr>
        <w:pStyle w:val="Bibliography"/>
      </w:pPr>
      <w:r>
        <w:t xml:space="preserve">Guardia Quispe, K. (2024, junio 13).</w:t>
      </w:r>
      <w:r>
        <w:t xml:space="preserve"> </w:t>
      </w:r>
      <w:r>
        <w:rPr>
          <w:i/>
          <w:iCs/>
        </w:rPr>
        <w:t xml:space="preserve">Institutos y escuelas destinarán US$ 1000 millones para potenciar oferta educativa este año</w:t>
      </w:r>
      <w:r>
        <w:t xml:space="preserve">. Gestión.</w:t>
      </w:r>
      <w:r>
        <w:t xml:space="preserve"> </w:t>
      </w:r>
      <w:hyperlink r:id="rId47">
        <w:r>
          <w:rPr>
            <w:rStyle w:val="Hyperlink"/>
          </w:rPr>
          <w:t xml:space="preserve">https://gestion.pe/economia/empresas/institutos-y-escuelas-destinaran-us-1000-mllns-para-potenciar-oferta-educativa-este-ano-educacion-superior-empresas-peru-asiste-minedu-carreras-tecnicas-noticia/</w:t>
        </w:r>
      </w:hyperlink>
    </w:p>
    <w:bookmarkEnd w:id="48"/>
    <w:bookmarkStart w:id="49" w:name="X73352a938e6a9d05e069c26d98010cc8cb8366f"/>
    <w:p>
      <w:pPr>
        <w:pStyle w:val="Bibliography"/>
      </w:pPr>
      <w:r>
        <w:t xml:space="preserve">Ley N.° 30512, Ley de Institutos y Escuelas de Educación Superior y de la Carrera Pública de sus Docentes, Diario Oficial El Peruano (2016).</w:t>
      </w:r>
    </w:p>
    <w:bookmarkEnd w:id="49"/>
    <w:bookmarkStart w:id="50" w:name="Xccfef57cc9043559143325f3b21cb667a6e1ebe"/>
    <w:p>
      <w:pPr>
        <w:pStyle w:val="Bibliography"/>
      </w:pPr>
      <w:r>
        <w:t xml:space="preserve">Mariátegui, J. C. (2007).</w:t>
      </w:r>
      <w:r>
        <w:t xml:space="preserve"> </w:t>
      </w:r>
      <w:r>
        <w:rPr>
          <w:i/>
          <w:iCs/>
        </w:rPr>
        <w:t xml:space="preserve">Siete ensayos de interpretación de la realidad peruana</w:t>
      </w:r>
      <w:r>
        <w:t xml:space="preserve"> </w:t>
      </w:r>
      <w:r>
        <w:t xml:space="preserve">(3.ª ed.). Fundación Biblioteca Ayacucho.</w:t>
      </w:r>
    </w:p>
    <w:bookmarkEnd w:id="50"/>
    <w:bookmarkStart w:id="51" w:name="Xb5abf6363222422de87a3e537634bee9a463dfb"/>
    <w:p>
      <w:pPr>
        <w:pStyle w:val="Bibliography"/>
      </w:pPr>
      <w:r>
        <w:t xml:space="preserve">Ministerio de Educación. (2020).</w:t>
      </w:r>
      <w:r>
        <w:t xml:space="preserve"> </w:t>
      </w:r>
      <w:r>
        <w:rPr>
          <w:i/>
          <w:iCs/>
        </w:rPr>
        <w:t xml:space="preserve">Política Nacional de Educación Superior y Técnico-Productiva: resumen ejecutivo</w:t>
      </w:r>
      <w:r>
        <w:t xml:space="preserve">. Ministerio de Educación.</w:t>
      </w:r>
    </w:p>
    <w:bookmarkEnd w:id="51"/>
    <w:bookmarkEnd w:id="52"/>
    <w:bookmarkEnd w:id="53"/>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9" Target="https://andina.pe/agencia/noticia-institutos-publicos-ofrecen-48000-vacantes-para-estudiar-gratis-una-carrera-tecnica-1025015.aspx" TargetMode="External" /><Relationship Type="http://schemas.openxmlformats.org/officeDocument/2006/relationships/hyperlink" Id="rId47" Target="https://gestion.pe/economia/empresas/institutos-y-escuelas-destinaran-us-1000-mllns-para-potenciar-oferta-educativa-este-ano-educacion-superior-empresas-peru-asiste-minedu-carreras-tecnicas-noticia/" TargetMode="External" /><Relationship Type="http://schemas.openxmlformats.org/officeDocument/2006/relationships/hyperlink" Id="rId45" Target="https://gestion.pe/peru/cuales-son-los-105-institutos-superiores-licenciados-por-minedu-noticia/" TargetMode="External" /><Relationship Type="http://schemas.openxmlformats.org/officeDocument/2006/relationships/hyperlink" Id="rId24" Target="https://orcid.org/0000-0001-6996-3364" TargetMode="External" /><Relationship Type="http://schemas.openxmlformats.org/officeDocument/2006/relationships/hyperlink" Id="rId43" Target="https://www.elperuano.pe/noticia/230571-minedu-evalua-positivamente-los-resultados-de-la-prueba-pisa-2022-para-peru"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9" Target="https://andina.pe/agencia/noticia-institutos-publicos-ofrecen-48000-vacantes-para-estudiar-gratis-una-carrera-tecnica-1025015.aspx" TargetMode="External" /><Relationship Type="http://schemas.openxmlformats.org/officeDocument/2006/relationships/hyperlink" Id="rId47" Target="https://gestion.pe/economia/empresas/institutos-y-escuelas-destinaran-us-1000-mllns-para-potenciar-oferta-educativa-este-ano-educacion-superior-empresas-peru-asiste-minedu-carreras-tecnicas-noticia/" TargetMode="External" /><Relationship Type="http://schemas.openxmlformats.org/officeDocument/2006/relationships/hyperlink" Id="rId45" Target="https://gestion.pe/peru/cuales-son-los-105-institutos-superiores-licenciados-por-minedu-noticia/" TargetMode="External" /><Relationship Type="http://schemas.openxmlformats.org/officeDocument/2006/relationships/hyperlink" Id="rId24" Target="https://orcid.org/0000-0001-6996-3364" TargetMode="External" /><Relationship Type="http://schemas.openxmlformats.org/officeDocument/2006/relationships/hyperlink" Id="rId43" Target="https://www.elperuano.pe/noticia/230571-minedu-evalua-positivamente-los-resultados-de-la-prueba-pisa-2022-para-peru"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INSTITUTOS PÚBLICOS DE AYACUCHO</dc:description>
  <dc:language>es</dc:language>
  <cp:keywords>public higher education, technical and pedagogical institutes, education spending, student organization, Ayacucho</cp:keywords>
  <dcterms:created xsi:type="dcterms:W3CDTF">2026-10-24T15:29:42Z</dcterms:created>
  <dcterms:modified xsi:type="dcterms:W3CDTF">2026-10-24T15:29:42Z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essay examines the situation of public technological and pedagogical institutes in Ayacucho, Peru, and turns a student manifesto into an argument supported by data and law. It starts from Mariátegui’s claim that the problem of education is an economic and social problem and uses official figures to show that Peru invests little in tertiary education and distributes it unevenly: only three in ten graduates of basic education reach higher education, the poorest quintile transits at less than half the rate of the richest, spending per tertiary student was 10.9 percent of GDP per capita in 2017 against 20.3 percent in Chile, and 73.4 percent of public spending on higher education goes to universities. It traces how Legislative Decree 882 of 1996 opened education to profit while public institutes were left without a matching investment, so that most technical students now attend private institutions and few public institutes have been licensed. It then shows that Law 30512 already obliges the State to fund infrastructure, equipment and student welfare, but its reform was enacted without additional resources. Drawing on Bourdieu, the essay reads this neglect as part of a program that weakens collective action, and it proposes a regional coordinating body of institute students as the means to demand what the law already promises, with a list of demands, their legal basis and the authority responsible for each.</vt:lpwstr>
  </property>
  <property fmtid="{D5CDD505-2E9C-101B-9397-08002B2CF9AE}" pid="6" name="apaauthor">
    <vt:lpwstr/>
  </property>
  <property fmtid="{D5CDD505-2E9C-101B-9397-08002B2CF9AE}" pid="7" name="apadate">
    <vt:lpwstr>2026-10-24</vt:lpwstr>
  </property>
  <property fmtid="{D5CDD505-2E9C-101B-9397-08002B2CF9AE}" pid="8" name="apasubtitle">
    <vt:lpwstr>Por qué los institutos públicos están abandonados y cómo la unidad estudiantil puede cambiarlo</vt:lpwstr>
  </property>
  <property fmtid="{D5CDD505-2E9C-101B-9397-08002B2CF9AE}" pid="9" name="apatitle">
    <vt:lpwstr>Institutos públicos de Ayacucho: sin lucha no hay victoria</vt:lpwstr>
  </property>
  <property fmtid="{D5CDD505-2E9C-101B-9397-08002B2CF9AE}" pid="10" name="apatitledisplay">
    <vt:lpwstr>Institutos públicos de Ayacucho: sin lucha no hay victoria: Por qué los institutos públicos están abandonados y cómo la unidad estudiantil puede cambiarlo</vt:lpwstr>
  </property>
  <property fmtid="{D5CDD505-2E9C-101B-9397-08002B2CF9AE}" pid="11" name="appendix-cite-as">
    <vt:lpwstr>display</vt:lpwstr>
  </property>
  <property fmtid="{D5CDD505-2E9C-101B-9397-08002B2CF9AE}" pid="12" name="author-note">
    <vt:lpwstr/>
  </property>
  <property fmtid="{D5CDD505-2E9C-101B-9397-08002B2CF9AE}" pid="13" name="authors">
    <vt:lpwstr/>
  </property>
  <property fmtid="{D5CDD505-2E9C-101B-9397-08002B2CF9AE}" pid="14" name="biblio-config">
    <vt:lpwstr>True</vt:lpwstr>
  </property>
  <property fmtid="{D5CDD505-2E9C-101B-9397-08002B2CF9AE}" pid="15" name="by-affiliation">
    <vt:lpwstr/>
  </property>
  <property fmtid="{D5CDD505-2E9C-101B-9397-08002B2CF9AE}" pid="16" name="by-author">
    <vt:lpwstr/>
  </property>
  <property fmtid="{D5CDD505-2E9C-101B-9397-08002B2CF9AE}" pid="17" name="cap-location">
    <vt:lpwstr>top</vt:lpwstr>
  </property>
  <property fmtid="{D5CDD505-2E9C-101B-9397-08002B2CF9AE}" pid="18" name="categories">
    <vt:lpwstr/>
  </property>
  <property fmtid="{D5CDD505-2E9C-101B-9397-08002B2CF9AE}" pid="19" name="citation">
    <vt:lpwstr/>
  </property>
  <property fmtid="{D5CDD505-2E9C-101B-9397-08002B2CF9AE}" pid="20" name="citation-last-author-separator">
    <vt:lpwstr>y</vt:lpwstr>
  </property>
  <property fmtid="{D5CDD505-2E9C-101B-9397-08002B2CF9AE}" pid="21" name="citation-location">
    <vt:lpwstr>document</vt:lpwstr>
  </property>
  <property fmtid="{D5CDD505-2E9C-101B-9397-08002B2CF9AE}" pid="22" name="citation-masked-author">
    <vt:lpwstr>Cita Enmascarada</vt:lpwstr>
  </property>
  <property fmtid="{D5CDD505-2E9C-101B-9397-08002B2CF9AE}" pid="23" name="citation-masked-date">
    <vt:lpwstr>n.f.</vt:lpwstr>
  </property>
  <property fmtid="{D5CDD505-2E9C-101B-9397-08002B2CF9AE}" pid="24" name="citation-masked-title">
    <vt:lpwstr>Título Enmascarado</vt:lpwstr>
  </property>
  <property fmtid="{D5CDD505-2E9C-101B-9397-08002B2CF9AE}" pid="25" name="comments">
    <vt:lpwstr/>
  </property>
  <property fmtid="{D5CDD505-2E9C-101B-9397-08002B2CF9AE}" pid="26" name="crossref">
    <vt:lpwstr/>
  </property>
  <property fmtid="{D5CDD505-2E9C-101B-9397-08002B2CF9AE}" pid="27" name="csl">
    <vt:lpwstr>../../_extensions/wjschne/apaquarto/apa.csl</vt:lpwstr>
  </property>
  <property fmtid="{D5CDD505-2E9C-101B-9397-08002B2CF9AE}" pid="28" name="date-modified">
    <vt:lpwstr>2026-10-24</vt:lpwstr>
  </property>
  <property fmtid="{D5CDD505-2E9C-101B-9397-08002B2CF9AE}" pid="29" name="documentmode">
    <vt:lpwstr>man</vt:lpwstr>
  </property>
  <property fmtid="{D5CDD505-2E9C-101B-9397-08002B2CF9AE}" pid="30" name="draft">
    <vt:lpwstr>False</vt:lpwstr>
  </property>
  <property fmtid="{D5CDD505-2E9C-101B-9397-08002B2CF9AE}" pid="31" name="draftall">
    <vt:lpwstr>False</vt:lpwstr>
  </property>
  <property fmtid="{D5CDD505-2E9C-101B-9397-08002B2CF9AE}" pid="32" name="draftfirst">
    <vt:lpwstr>False</vt:lpwstr>
  </property>
  <property fmtid="{D5CDD505-2E9C-101B-9397-08002B2CF9AE}" pid="33" name="editor">
    <vt:lpwstr/>
  </property>
  <property fmtid="{D5CDD505-2E9C-101B-9397-08002B2CF9AE}" pid="34" name="engines">
    <vt:lpwstr/>
  </property>
  <property fmtid="{D5CDD505-2E9C-101B-9397-08002B2CF9AE}" pid="35" name="fig-cap-location">
    <vt:lpwstr>top</vt:lpwstr>
  </property>
  <property fmtid="{D5CDD505-2E9C-101B-9397-08002B2CF9AE}" pid="36" name="floatsintext">
    <vt:lpwstr>True</vt:lpwstr>
  </property>
  <property fmtid="{D5CDD505-2E9C-101B-9397-08002B2CF9AE}" pid="37" name="fontsize">
    <vt:lpwstr>12pt</vt:lpwstr>
  </property>
  <property fmtid="{D5CDD505-2E9C-101B-9397-08002B2CF9AE}" pid="38" name="google-scholar">
    <vt:lpwstr>True</vt:lpwstr>
  </property>
  <property fmtid="{D5CDD505-2E9C-101B-9397-08002B2CF9AE}" pid="39" name="header-includes">
    <vt:lpwstr/>
  </property>
  <property fmtid="{D5CDD505-2E9C-101B-9397-08002B2CF9AE}" pid="40" name="image">
    <vt:lpwstr>../featured.jpg</vt:lpwstr>
  </property>
  <property fmtid="{D5CDD505-2E9C-101B-9397-08002B2CF9AE}" pid="41" name="include-after">
    <vt:lpwstr/>
  </property>
  <property fmtid="{D5CDD505-2E9C-101B-9397-08002B2CF9AE}" pid="42" name="include-before">
    <vt:lpwstr/>
  </property>
  <property fmtid="{D5CDD505-2E9C-101B-9397-08002B2CF9AE}" pid="43" name="is-particlejs-enabled">
    <vt:lpwstr>True</vt:lpwstr>
  </property>
  <property fmtid="{D5CDD505-2E9C-101B-9397-08002B2CF9AE}" pid="44" name="jupyter">
    <vt:lpwstr>python3</vt:lpwstr>
  </property>
  <property fmtid="{D5CDD505-2E9C-101B-9397-08002B2CF9AE}" pid="45" name="knitr">
    <vt:lpwstr/>
  </property>
  <property fmtid="{D5CDD505-2E9C-101B-9397-08002B2CF9AE}" pid="46" name="labels">
    <vt:lpwstr/>
  </property>
  <property fmtid="{D5CDD505-2E9C-101B-9397-08002B2CF9AE}" pid="47" name="language">
    <vt:lpwstr/>
  </property>
  <property fmtid="{D5CDD505-2E9C-101B-9397-08002B2CF9AE}" pid="48" name="license">
    <vt:lpwstr/>
  </property>
  <property fmtid="{D5CDD505-2E9C-101B-9397-08002B2CF9AE}" pid="49" name="lightbox">
    <vt:lpwstr>True</vt:lpwstr>
  </property>
  <property fmtid="{D5CDD505-2E9C-101B-9397-08002B2CF9AE}" pid="50" name="link-citations">
    <vt:lpwstr>True</vt:lpwstr>
  </property>
  <property fmtid="{D5CDD505-2E9C-101B-9397-08002B2CF9AE}" pid="51" name="mask">
    <vt:lpwstr>False</vt:lpwstr>
  </property>
  <property fmtid="{D5CDD505-2E9C-101B-9397-08002B2CF9AE}" pid="52" name="no-ampersand-parenthetical">
    <vt:lpwstr>False</vt:lpwstr>
  </property>
  <property fmtid="{D5CDD505-2E9C-101B-9397-08002B2CF9AE}" pid="53" name="number-depth">
    <vt:lpwstr>3</vt:lpwstr>
  </property>
  <property fmtid="{D5CDD505-2E9C-101B-9397-08002B2CF9AE}" pid="54" name="numbered-lines">
    <vt:lpwstr>False</vt:lpwstr>
  </property>
  <property fmtid="{D5CDD505-2E9C-101B-9397-08002B2CF9AE}" pid="55" name="numbersections">
    <vt:lpwstr>False</vt:lpwstr>
  </property>
  <property fmtid="{D5CDD505-2E9C-101B-9397-08002B2CF9AE}" pid="56" name="oneaffiliation">
    <vt:lpwstr>True</vt:lpwstr>
  </property>
  <property fmtid="{D5CDD505-2E9C-101B-9397-08002B2CF9AE}" pid="57" name="oneauthor">
    <vt:lpwstr>True</vt:lpwstr>
  </property>
  <property fmtid="{D5CDD505-2E9C-101B-9397-08002B2CF9AE}" pid="58" name="references">
    <vt:lpwstr/>
  </property>
  <property fmtid="{D5CDD505-2E9C-101B-9397-08002B2CF9AE}" pid="59" name="references-meta-analysis">
    <vt:lpwstr>Las referencias marcadas con un asterisco indican estudios incluidos en el metanálisis.</vt:lpwstr>
  </property>
  <property fmtid="{D5CDD505-2E9C-101B-9397-08002B2CF9AE}" pid="60" name="revealjs-plugins">
    <vt:lpwstr/>
  </property>
  <property fmtid="{D5CDD505-2E9C-101B-9397-08002B2CF9AE}" pid="61" name="search">
    <vt:lpwstr>True</vt:lpwstr>
  </property>
  <property fmtid="{D5CDD505-2E9C-101B-9397-08002B2CF9AE}" pid="62" name="shorttitle">
    <vt:lpwstr>INSTITUTOS PÚBLICOS DE AYACUCHO</vt:lpwstr>
  </property>
  <property fmtid="{D5CDD505-2E9C-101B-9397-08002B2CF9AE}" pid="63" name="suppress-abstract">
    <vt:lpwstr>False</vt:lpwstr>
  </property>
  <property fmtid="{D5CDD505-2E9C-101B-9397-08002B2CF9AE}" pid="64" name="suppress-affiliation">
    <vt:lpwstr>False</vt:lpwstr>
  </property>
  <property fmtid="{D5CDD505-2E9C-101B-9397-08002B2CF9AE}" pid="65" name="suppress-author">
    <vt:lpwstr>False</vt:lpwstr>
  </property>
  <property fmtid="{D5CDD505-2E9C-101B-9397-08002B2CF9AE}" pid="66" name="suppress-author-note">
    <vt:lpwstr>False</vt:lpwstr>
  </property>
  <property fmtid="{D5CDD505-2E9C-101B-9397-08002B2CF9AE}" pid="67" name="suppress-corresponding-address">
    <vt:lpwstr>False</vt:lpwstr>
  </property>
  <property fmtid="{D5CDD505-2E9C-101B-9397-08002B2CF9AE}" pid="68" name="suppress-corresponding-affiliation-name">
    <vt:lpwstr>False</vt:lpwstr>
  </property>
  <property fmtid="{D5CDD505-2E9C-101B-9397-08002B2CF9AE}" pid="69" name="suppress-corresponding-city">
    <vt:lpwstr>False</vt:lpwstr>
  </property>
  <property fmtid="{D5CDD505-2E9C-101B-9397-08002B2CF9AE}" pid="70" name="suppress-corresponding-department">
    <vt:lpwstr>False</vt:lpwstr>
  </property>
  <property fmtid="{D5CDD505-2E9C-101B-9397-08002B2CF9AE}" pid="71" name="suppress-corresponding-email">
    <vt:lpwstr>False</vt:lpwstr>
  </property>
  <property fmtid="{D5CDD505-2E9C-101B-9397-08002B2CF9AE}" pid="72" name="suppress-corresponding-group">
    <vt:lpwstr>False</vt:lpwstr>
  </property>
  <property fmtid="{D5CDD505-2E9C-101B-9397-08002B2CF9AE}" pid="73" name="suppress-corresponding-paragraph">
    <vt:lpwstr>False</vt:lpwstr>
  </property>
  <property fmtid="{D5CDD505-2E9C-101B-9397-08002B2CF9AE}" pid="74" name="suppress-corresponding-postal-code">
    <vt:lpwstr>False</vt:lpwstr>
  </property>
  <property fmtid="{D5CDD505-2E9C-101B-9397-08002B2CF9AE}" pid="75" name="suppress-corresponding-region">
    <vt:lpwstr>False</vt:lpwstr>
  </property>
  <property fmtid="{D5CDD505-2E9C-101B-9397-08002B2CF9AE}" pid="76" name="suppress-credit-statement">
    <vt:lpwstr>False</vt:lpwstr>
  </property>
  <property fmtid="{D5CDD505-2E9C-101B-9397-08002B2CF9AE}" pid="77" name="suppress-disclosures-paragraph">
    <vt:lpwstr>False</vt:lpwstr>
  </property>
  <property fmtid="{D5CDD505-2E9C-101B-9397-08002B2CF9AE}" pid="78" name="suppress-impact-statement">
    <vt:lpwstr>False</vt:lpwstr>
  </property>
  <property fmtid="{D5CDD505-2E9C-101B-9397-08002B2CF9AE}" pid="79" name="suppress-keywords">
    <vt:lpwstr>False</vt:lpwstr>
  </property>
  <property fmtid="{D5CDD505-2E9C-101B-9397-08002B2CF9AE}" pid="80" name="suppress-orcid">
    <vt:lpwstr>False</vt:lpwstr>
  </property>
  <property fmtid="{D5CDD505-2E9C-101B-9397-08002B2CF9AE}" pid="81" name="suppress-short-title">
    <vt:lpwstr>False</vt:lpwstr>
  </property>
  <property fmtid="{D5CDD505-2E9C-101B-9397-08002B2CF9AE}" pid="82" name="suppress-status-change-paragraph">
    <vt:lpwstr>False</vt:lpwstr>
  </property>
  <property fmtid="{D5CDD505-2E9C-101B-9397-08002B2CF9AE}" pid="83" name="suppress-title">
    <vt:lpwstr>False</vt:lpwstr>
  </property>
  <property fmtid="{D5CDD505-2E9C-101B-9397-08002B2CF9AE}" pid="84" name="suppress-title-introduction">
    <vt:lpwstr>False</vt:lpwstr>
  </property>
  <property fmtid="{D5CDD505-2E9C-101B-9397-08002B2CF9AE}" pid="85" name="suppress-title-page">
    <vt:lpwstr>False</vt:lpwstr>
  </property>
  <property fmtid="{D5CDD505-2E9C-101B-9397-08002B2CF9AE}" pid="86" name="suppress-title-page-number">
    <vt:lpwstr>False</vt:lpwstr>
  </property>
  <property fmtid="{D5CDD505-2E9C-101B-9397-08002B2CF9AE}" pid="87" name="tags">
    <vt:lpwstr/>
  </property>
  <property fmtid="{D5CDD505-2E9C-101B-9397-08002B2CF9AE}" pid="88" name="tbl-cap-location">
    <vt:lpwstr>top</vt:lpwstr>
  </property>
  <property fmtid="{D5CDD505-2E9C-101B-9397-08002B2CF9AE}" pid="89" name="title-block-author-note">
    <vt:lpwstr>Nota de Autores</vt:lpwstr>
  </property>
  <property fmtid="{D5CDD505-2E9C-101B-9397-08002B2CF9AE}" pid="90" name="title-block-banner">
    <vt:lpwstr>True</vt:lpwstr>
  </property>
  <property fmtid="{D5CDD505-2E9C-101B-9397-08002B2CF9AE}" pid="91" name="title-block-correspondence-note">
    <vt:lpwstr>La correspondencia relativa a este artículo debe dirigirse a</vt:lpwstr>
  </property>
  <property fmtid="{D5CDD505-2E9C-101B-9397-08002B2CF9AE}" pid="92" name="title-block-role-introduction">
    <vt:lpwstr>Los roles de autor se clasificaron utilizando la taxonomía de roles de colaborador (CRediT; https://credit.niso.org/) de la siguiente manera:</vt:lpwstr>
  </property>
  <property fmtid="{D5CDD505-2E9C-101B-9397-08002B2CF9AE}" pid="93" name="toc-expand">
    <vt:lpwstr>2</vt:lpwstr>
  </property>
  <property fmtid="{D5CDD505-2E9C-101B-9397-08002B2CF9AE}" pid="94" name="toc-float">
    <vt:lpwstr>True</vt:lpwstr>
  </property>
  <property fmtid="{D5CDD505-2E9C-101B-9397-08002B2CF9AE}" pid="95" name="toc-location">
    <vt:lpwstr>right</vt:lpwstr>
  </property>
  <property fmtid="{D5CDD505-2E9C-101B-9397-08002B2CF9AE}" pid="96" name="toc-title">
    <vt:lpwstr/>
  </property>
  <property fmtid="{D5CDD505-2E9C-101B-9397-08002B2CF9AE}" pid="97" name="wordn">
    <vt:lpwstr>1573</vt:lpwstr>
  </property>
  <property fmtid="{D5CDD505-2E9C-101B-9397-08002B2CF9AE}" pid="98" name="zerocitations">
    <vt:lpwstr>False</vt:lpwstr>
  </property>
</Properties>
</file>