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Consistencia y propiedades asintóticas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Consistencia y propiedades asintóticas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INFINITAS</dc:description>
  <dc:language>es</dc:language>
  <cp:keywords>keyword1, keyword2</cp:keywords>
  <dcterms:created xsi:type="dcterms:W3CDTF">2025-12-22T11:34:50Z</dcterms:created>
  <dcterms:modified xsi:type="dcterms:W3CDTF">2025-12-22T11:34:50Z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2021-03-29</vt:lpwstr>
  </property>
  <property fmtid="{D5CDD505-2E9C-101B-9397-08002B2CF9AE}" pid="8" name="apatitle">
    <vt:lpwstr>Consistencia y propiedades asintóticas MCO</vt:lpwstr>
  </property>
  <property fmtid="{D5CDD505-2E9C-101B-9397-08002B2CF9AE}" pid="9" name="apatitledisplay">
    <vt:lpwstr>Consistencia y propiedades asintóticas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PROPIEDADES MCO INFINITAS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128</vt:lpwstr>
  </property>
  <property fmtid="{D5CDD505-2E9C-101B-9397-08002B2CF9AE}" pid="95" name="zerocitations">
    <vt:lpwstr>True</vt:lpwstr>
  </property>
</Properties>
</file>