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Trade-off sesgo-varianza en estimación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Trade-off sesgo-varianza en estimación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SESGO-VARIANZA TRADE OFF</dc:description>
  <dc:language>es</dc:language>
  <cp:keywords>keyword1, keyword2</cp:keywords>
  <dcterms:created xsi:type="dcterms:W3CDTF">2025-12-22T11:31:25Z</dcterms:created>
  <dcterms:modified xsi:type="dcterms:W3CDTF">2025-12-22T11:31:25Z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2021-04-10</vt:lpwstr>
  </property>
  <property fmtid="{D5CDD505-2E9C-101B-9397-08002B2CF9AE}" pid="8" name="apatitle">
    <vt:lpwstr>Trade-off sesgo-varianza en estimación</vt:lpwstr>
  </property>
  <property fmtid="{D5CDD505-2E9C-101B-9397-08002B2CF9AE}" pid="9" name="apatitledisplay">
    <vt:lpwstr>Trade-off sesgo-varianza en estimación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SESGO-VARIANZA TRADE OFF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