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 general con heterocedasticidad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 general con heterocedasticidad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HETEROCEDÁSTICA</dc:description>
  <dc:language>es</dc:language>
  <cp:keywords>keyword1, keyword2</cp:keywords>
  <dcterms:created xsi:type="dcterms:W3CDTF">2025-12-22T11:35:13Z</dcterms:created>
  <dcterms:modified xsi:type="dcterms:W3CDTF">2025-12-22T11:35:13Z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2021-05-10</vt:lpwstr>
  </property>
  <property fmtid="{D5CDD505-2E9C-101B-9397-08002B2CF9AE}" pid="8" name="apatitle">
    <vt:lpwstr>Modelo general con heterocedasticidad</vt:lpwstr>
  </property>
  <property fmtid="{D5CDD505-2E9C-101B-9397-08002B2CF9AE}" pid="9" name="apatitledisplay">
    <vt:lpwstr>Modelo general con heterocedasticidad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REGRESIÓN HETEROCEDÁSTICA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128</vt:lpwstr>
  </property>
  <property fmtid="{D5CDD505-2E9C-101B-9397-08002B2CF9AE}" pid="95" name="zerocitations">
    <vt:lpwstr>True</vt:lpwstr>
  </property>
</Properties>
</file>