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factores latentes dinámicos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factores latentes dinámicos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>keyword1, keyword2</cp:keywords>
  <dcterms:created xsi:type="dcterms:W3CDTF">2025-12-22T11:25:16Z</dcterms:created>
  <dcterms:modified xsi:type="dcterms:W3CDTF">2025-12-22T11:25:16Z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title">
    <vt:lpwstr>Modelos de factores latentes dinámicos</vt:lpwstr>
  </property>
  <property fmtid="{D5CDD505-2E9C-101B-9397-08002B2CF9AE}" pid="9" name="apatitledisplay">
    <vt:lpwstr>Modelos de factores latentes dinámicos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FACTORES LATENTES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76</vt:lpwstr>
  </property>
  <property fmtid="{D5CDD505-2E9C-101B-9397-08002B2CF9AE}" pid="95" name="zerocitations">
    <vt:lpwstr>True</vt:lpwstr>
  </property>
</Properties>
</file>