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Efectos fijos y diferencias en diferencias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Efectos fijos y diferencias en diferencias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EFECTOS FIJOS Y DIFERENCIAS</dc:description>
  <dc:language>es</dc:language>
  <cp:keywords>keyword1, keyword2</cp:keywords>
  <dcterms:created xsi:type="dcterms:W3CDTF">2025-12-22T11:29:54Z</dcterms:created>
  <dcterms:modified xsi:type="dcterms:W3CDTF">2025-12-22T11:29:54Z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title">
    <vt:lpwstr>Efectos fijos y diferencias en diferencias</vt:lpwstr>
  </property>
  <property fmtid="{D5CDD505-2E9C-101B-9397-08002B2CF9AE}" pid="9" name="apatitledisplay">
    <vt:lpwstr>Efectos fijos y diferencias en diferencias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EFECTOS FIJOS Y DIFERENCIAS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99</vt:lpwstr>
  </property>
  <property fmtid="{D5CDD505-2E9C-101B-9397-08002B2CF9AE}" pid="95" name="zerocitations">
    <vt:lpwstr>True</vt:lpwstr>
  </property>
</Properties>
</file>