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Trade-off sesgo-varianza en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Trade-off sesgo-varianza en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title">
    <vt:lpwstr>Trade-off sesgo-varianza en estimación</vt:lpwstr>
  </property>
  <property fmtid="{D5CDD505-2E9C-101B-9397-08002B2CF9AE}" pid="9" name="apatitledisplay">
    <vt:lpwstr>Trade-off sesgo-varianza en estimación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SESGO-VARIANZA TRADE OFF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