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Método de control sintético explicado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Método de control sintético explicado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MÉTODO DE CONTROL SINTÉTICO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2022-05-16</vt:lpwstr>
  </property>
  <property fmtid="{D5CDD505-2E9C-101B-9397-08002B2CF9AE}" pid="8" name="apatitle">
    <vt:lpwstr>Método de control sintético explicado</vt:lpwstr>
  </property>
  <property fmtid="{D5CDD505-2E9C-101B-9397-08002B2CF9AE}" pid="9" name="apatitledisplay">
    <vt:lpwstr>Método de control sintético explicado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MÉTODO DE CONTROL SINTÉTICO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100</vt:lpwstr>
  </property>
  <property fmtid="{D5CDD505-2E9C-101B-9397-08002B2CF9AE}" pid="102" name="zerocitations">
    <vt:lpwstr>True</vt:lpwstr>
  </property>
</Properties>
</file>