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Estimador MCO: mínimos cuadrados ordinarios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Estimador MCO: mínimos cuadrados ordinarios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mínimos cuadrados ordinarios</vt:lpwstr>
  </property>
  <property fmtid="{D5CDD505-2E9C-101B-9397-08002B2CF9AE}" pid="9" name="apatitle">
    <vt:lpwstr>Estimador MCO</vt:lpwstr>
  </property>
  <property fmtid="{D5CDD505-2E9C-101B-9397-08002B2CF9AE}" pid="10" name="apatitledisplay">
    <vt:lpwstr>Estimador MCO: mínimos cuadrados ordinarios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ESTIMADOR MCO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128</vt:lpwstr>
  </property>
  <property fmtid="{D5CDD505-2E9C-101B-9397-08002B2CF9AE}" pid="103" name="zerocitations">
    <vt:lpwstr>True</vt:lpwstr>
  </property>
</Properties>
</file>